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44" w:rsidRDefault="00021744">
      <w:pPr>
        <w:pStyle w:val="Title"/>
        <w:rPr>
          <w:sz w:val="28"/>
        </w:rPr>
      </w:pPr>
      <w:r>
        <w:rPr>
          <w:sz w:val="28"/>
        </w:rPr>
        <w:t>TERMES DE REFERENCE</w:t>
      </w:r>
    </w:p>
    <w:p w:rsidR="00021744" w:rsidRDefault="00021744">
      <w:pPr>
        <w:jc w:val="center"/>
        <w:rPr>
          <w:rFonts w:ascii="Arial" w:hAnsi="Arial"/>
          <w:b/>
          <w:sz w:val="28"/>
        </w:rPr>
      </w:pPr>
    </w:p>
    <w:p w:rsidR="00021744" w:rsidRDefault="00021744">
      <w:pPr>
        <w:pStyle w:val="Outline"/>
        <w:spacing w:before="0"/>
        <w:jc w:val="center"/>
        <w:rPr>
          <w:rFonts w:ascii="Arial" w:hAnsi="Arial"/>
          <w:b/>
          <w:kern w:val="0"/>
          <w:sz w:val="28"/>
        </w:rPr>
      </w:pPr>
      <w:r>
        <w:rPr>
          <w:rFonts w:ascii="Arial" w:hAnsi="Arial"/>
          <w:b/>
          <w:kern w:val="0"/>
          <w:sz w:val="28"/>
        </w:rPr>
        <w:t>“Assistance Pour Préparer la nouvelle loi sur les télécommunications.”</w:t>
      </w:r>
    </w:p>
    <w:p w:rsidR="00021744" w:rsidRDefault="00021744">
      <w:pPr>
        <w:rPr>
          <w:rFonts w:ascii="Arial" w:hAnsi="Arial"/>
        </w:rPr>
      </w:pPr>
    </w:p>
    <w:p w:rsidR="00021744" w:rsidRDefault="00021744">
      <w:pPr>
        <w:rPr>
          <w:rFonts w:ascii="Arial" w:hAnsi="Arial"/>
          <w:b/>
          <w:u w:val="single"/>
        </w:rPr>
      </w:pPr>
      <w:r>
        <w:rPr>
          <w:rFonts w:ascii="Arial" w:hAnsi="Arial"/>
          <w:b/>
          <w:u w:val="single"/>
        </w:rPr>
        <w:t>1. Introduction</w:t>
      </w:r>
    </w:p>
    <w:p w:rsidR="00021744" w:rsidRDefault="00021744">
      <w:pPr>
        <w:pStyle w:val="ListBullet"/>
        <w:tabs>
          <w:tab w:val="clear" w:pos="360"/>
        </w:tabs>
        <w:ind w:left="0" w:firstLine="0"/>
        <w:rPr>
          <w:rFonts w:ascii="Arial" w:hAnsi="Arial"/>
        </w:rPr>
      </w:pPr>
    </w:p>
    <w:p w:rsidR="00021744" w:rsidRDefault="00021744">
      <w:pPr>
        <w:pStyle w:val="Outline"/>
        <w:spacing w:before="0"/>
        <w:jc w:val="both"/>
        <w:rPr>
          <w:rFonts w:ascii="Arial" w:hAnsi="Arial"/>
          <w:kern w:val="0"/>
        </w:rPr>
      </w:pPr>
      <w:r>
        <w:rPr>
          <w:rFonts w:ascii="Arial" w:hAnsi="Arial"/>
          <w:kern w:val="0"/>
        </w:rPr>
        <w:t>Le Gouvernement [PAYS] a récemment manifesté la volonté de réformer le secteur des postes et des télécommunications. Afin d'avancer dans ces réformes, le gouvernement a fait appel à la Banque mondiale pour que cette dernière l'assiste à identifier les meilleures options envisageables pour mener à bien la réforme sectorielle.</w:t>
      </w:r>
    </w:p>
    <w:p w:rsidR="00021744" w:rsidRDefault="00021744">
      <w:pPr>
        <w:pStyle w:val="Outline"/>
        <w:spacing w:before="0"/>
        <w:jc w:val="both"/>
        <w:rPr>
          <w:rFonts w:ascii="Arial" w:hAnsi="Arial"/>
          <w:kern w:val="0"/>
        </w:rPr>
      </w:pPr>
    </w:p>
    <w:p w:rsidR="00021744" w:rsidRDefault="00021744">
      <w:pPr>
        <w:ind w:firstLine="737"/>
        <w:jc w:val="both"/>
        <w:rPr>
          <w:rFonts w:ascii="Arial" w:hAnsi="Arial"/>
        </w:rPr>
      </w:pPr>
      <w:r>
        <w:rPr>
          <w:rFonts w:ascii="Arial" w:hAnsi="Arial"/>
        </w:rPr>
        <w:t>Les principaux objectifs de cette réforme sont :</w:t>
      </w:r>
    </w:p>
    <w:p w:rsidR="00021744" w:rsidRDefault="00021744">
      <w:pPr>
        <w:jc w:val="both"/>
        <w:rPr>
          <w:rFonts w:ascii="Arial" w:hAnsi="Arial"/>
        </w:rPr>
      </w:pPr>
    </w:p>
    <w:p w:rsidR="00021744" w:rsidRDefault="00021744">
      <w:pPr>
        <w:numPr>
          <w:ilvl w:val="0"/>
          <w:numId w:val="1"/>
        </w:numPr>
        <w:spacing w:before="60"/>
        <w:jc w:val="both"/>
        <w:rPr>
          <w:rFonts w:ascii="Arial" w:hAnsi="Arial"/>
        </w:rPr>
      </w:pPr>
      <w:r>
        <w:rPr>
          <w:rFonts w:ascii="Arial" w:hAnsi="Arial"/>
        </w:rPr>
        <w:t xml:space="preserve">Accroître l'offre de services téléphoniques et faciliter l'accès aux services de télécommunications au plus grand nombre d'usagers, en particulier en zones rurales. Le gouvernement ambitionne de porter la </w:t>
      </w:r>
      <w:proofErr w:type="spellStart"/>
      <w:r>
        <w:rPr>
          <w:rFonts w:ascii="Arial" w:hAnsi="Arial"/>
        </w:rPr>
        <w:t>télédensité</w:t>
      </w:r>
      <w:proofErr w:type="spellEnd"/>
      <w:r>
        <w:rPr>
          <w:rFonts w:ascii="Arial" w:hAnsi="Arial"/>
        </w:rPr>
        <w:t xml:space="preserve"> à au moins [  ] lignes téléphoniques pour 100 habitants à l’horizon [DATE].</w:t>
      </w:r>
    </w:p>
    <w:p w:rsidR="00021744" w:rsidRDefault="00021744">
      <w:pPr>
        <w:numPr>
          <w:ilvl w:val="0"/>
          <w:numId w:val="1"/>
        </w:numPr>
        <w:spacing w:before="60"/>
        <w:jc w:val="both"/>
        <w:rPr>
          <w:rFonts w:ascii="Arial" w:hAnsi="Arial"/>
        </w:rPr>
      </w:pPr>
      <w:r>
        <w:rPr>
          <w:rFonts w:ascii="Arial" w:hAnsi="Arial"/>
        </w:rPr>
        <w:t>Accroître la qualité des services offerts et la gamme de prestations rendue et rendre plus compétitifs les prix des services de télécommunications;</w:t>
      </w:r>
    </w:p>
    <w:p w:rsidR="00021744" w:rsidRDefault="00021744">
      <w:pPr>
        <w:numPr>
          <w:ilvl w:val="0"/>
          <w:numId w:val="1"/>
        </w:numPr>
        <w:spacing w:before="60"/>
        <w:jc w:val="both"/>
        <w:rPr>
          <w:rFonts w:ascii="Arial" w:hAnsi="Arial"/>
        </w:rPr>
      </w:pPr>
      <w:r>
        <w:rPr>
          <w:rFonts w:ascii="Arial" w:hAnsi="Arial"/>
        </w:rPr>
        <w:t>Développer un réseau national de télécommunications fiable et connecté aux autoroutes de l'information;</w:t>
      </w:r>
    </w:p>
    <w:p w:rsidR="00021744" w:rsidRDefault="00021744">
      <w:pPr>
        <w:numPr>
          <w:ilvl w:val="0"/>
          <w:numId w:val="1"/>
        </w:numPr>
        <w:spacing w:before="60"/>
        <w:jc w:val="both"/>
        <w:rPr>
          <w:rFonts w:ascii="Arial" w:hAnsi="Arial"/>
        </w:rPr>
      </w:pPr>
      <w:r>
        <w:rPr>
          <w:rFonts w:ascii="Arial" w:hAnsi="Arial"/>
        </w:rPr>
        <w:t>Promouvoir les télécommunications, comme secteur économique essentiel à l'essor d'une économie compétitive, ouverte au monde et où le secteur des services représente une part importante du PIB.</w:t>
      </w:r>
    </w:p>
    <w:p w:rsidR="00021744" w:rsidRDefault="00021744">
      <w:pPr>
        <w:numPr>
          <w:ilvl w:val="0"/>
          <w:numId w:val="1"/>
        </w:numPr>
        <w:spacing w:before="60"/>
        <w:jc w:val="both"/>
        <w:rPr>
          <w:rFonts w:ascii="Arial" w:hAnsi="Arial"/>
        </w:rPr>
      </w:pPr>
      <w:r>
        <w:rPr>
          <w:rFonts w:ascii="Arial" w:hAnsi="Arial"/>
        </w:rPr>
        <w:t xml:space="preserve">Développer les activités de la poste et consolider sa viabilité financière par la mise en </w:t>
      </w:r>
      <w:proofErr w:type="spellStart"/>
      <w:r>
        <w:rPr>
          <w:rFonts w:ascii="Arial" w:hAnsi="Arial"/>
        </w:rPr>
        <w:t>oeuvre</w:t>
      </w:r>
      <w:proofErr w:type="spellEnd"/>
      <w:r>
        <w:rPr>
          <w:rFonts w:ascii="Arial" w:hAnsi="Arial"/>
        </w:rPr>
        <w:t xml:space="preserve"> d’un programme de réforme approprié (modernisation des méthodes de gestion, développement des partenariats et développement des ressources humaines).</w:t>
      </w:r>
    </w:p>
    <w:p w:rsidR="00021744" w:rsidRDefault="00021744">
      <w:pPr>
        <w:numPr>
          <w:ilvl w:val="0"/>
          <w:numId w:val="1"/>
        </w:numPr>
        <w:spacing w:before="60"/>
        <w:jc w:val="both"/>
        <w:rPr>
          <w:rFonts w:ascii="Arial" w:hAnsi="Arial"/>
        </w:rPr>
      </w:pPr>
      <w:r>
        <w:rPr>
          <w:rFonts w:ascii="Arial" w:hAnsi="Arial"/>
        </w:rPr>
        <w:t>Moderniser et diversifier la gamme de services financiers postaux.</w:t>
      </w:r>
    </w:p>
    <w:p w:rsidR="00021744" w:rsidRDefault="00021744">
      <w:pPr>
        <w:pStyle w:val="BodyText2"/>
        <w:ind w:left="567" w:firstLine="0"/>
        <w:rPr>
          <w:rFonts w:ascii="Arial" w:hAnsi="Arial"/>
          <w:u w:val="none"/>
        </w:rPr>
      </w:pPr>
    </w:p>
    <w:p w:rsidR="00021744" w:rsidRDefault="00021744">
      <w:pPr>
        <w:rPr>
          <w:rFonts w:ascii="Arial" w:hAnsi="Arial"/>
          <w:b/>
          <w:u w:val="single"/>
        </w:rPr>
      </w:pPr>
      <w:r>
        <w:rPr>
          <w:rFonts w:ascii="Arial" w:hAnsi="Arial"/>
          <w:b/>
          <w:u w:val="single"/>
        </w:rPr>
        <w:t>2. Objectifs de la consultation</w:t>
      </w:r>
    </w:p>
    <w:p w:rsidR="00021744" w:rsidRDefault="00021744">
      <w:pPr>
        <w:jc w:val="both"/>
        <w:rPr>
          <w:rFonts w:ascii="Arial" w:hAnsi="Arial"/>
        </w:rPr>
      </w:pPr>
    </w:p>
    <w:p w:rsidR="00021744" w:rsidRDefault="00021744">
      <w:pPr>
        <w:jc w:val="both"/>
        <w:rPr>
          <w:rFonts w:ascii="Arial" w:hAnsi="Arial"/>
        </w:rPr>
      </w:pPr>
      <w:r>
        <w:rPr>
          <w:rFonts w:ascii="Arial" w:hAnsi="Arial"/>
        </w:rPr>
        <w:t xml:space="preserve">A la lumière des décisions qui sont attendues pendant le processus de libéralisation, le consultant assistera le Gouvernement à préparer une loi sur les télécommunications, qui sera par la suite adoptée par le Gouvernement après discussion avec l'ensemble des parties prenantes. Il est à noter qu’un groupe de travail a déjà été constitué pour la rédaction d’un avant-projet de loi. </w:t>
      </w:r>
    </w:p>
    <w:p w:rsidR="00021744" w:rsidRDefault="00021744">
      <w:pPr>
        <w:jc w:val="both"/>
        <w:rPr>
          <w:rFonts w:ascii="Arial" w:hAnsi="Arial"/>
        </w:rPr>
      </w:pPr>
    </w:p>
    <w:p w:rsidR="00021744" w:rsidRDefault="00021744">
      <w:pPr>
        <w:rPr>
          <w:rFonts w:ascii="Arial" w:hAnsi="Arial"/>
          <w:b/>
          <w:u w:val="single"/>
        </w:rPr>
      </w:pPr>
      <w:r>
        <w:rPr>
          <w:rFonts w:ascii="Arial" w:hAnsi="Arial"/>
          <w:b/>
          <w:u w:val="single"/>
        </w:rPr>
        <w:t>3. Méthodologie et Structure de la Consultation</w:t>
      </w:r>
    </w:p>
    <w:p w:rsidR="00021744" w:rsidRDefault="00021744">
      <w:pPr>
        <w:spacing w:before="60"/>
        <w:jc w:val="both"/>
        <w:rPr>
          <w:rFonts w:ascii="Arial" w:hAnsi="Arial"/>
        </w:rPr>
      </w:pPr>
    </w:p>
    <w:p w:rsidR="00021744" w:rsidRDefault="00021744">
      <w:pPr>
        <w:spacing w:before="60"/>
        <w:jc w:val="both"/>
        <w:rPr>
          <w:rFonts w:ascii="Arial" w:hAnsi="Arial"/>
        </w:rPr>
      </w:pPr>
      <w:r>
        <w:rPr>
          <w:rFonts w:ascii="Arial" w:hAnsi="Arial"/>
        </w:rPr>
        <w:t>Le consultant devra :</w:t>
      </w:r>
    </w:p>
    <w:p w:rsidR="00021744" w:rsidRDefault="00021744">
      <w:pPr>
        <w:spacing w:before="60"/>
        <w:jc w:val="both"/>
        <w:rPr>
          <w:rFonts w:ascii="Arial" w:hAnsi="Arial"/>
        </w:rPr>
      </w:pPr>
    </w:p>
    <w:p w:rsidR="00021744" w:rsidRDefault="00021744">
      <w:pPr>
        <w:pStyle w:val="BodyTextIndent"/>
        <w:ind w:left="576" w:firstLine="0"/>
        <w:rPr>
          <w:sz w:val="24"/>
        </w:rPr>
      </w:pPr>
      <w:r>
        <w:rPr>
          <w:sz w:val="24"/>
        </w:rPr>
        <w:t>(i) assister le groupe de travail constitué pour la rédaction du projet de loi sur les télécommunications.</w:t>
      </w:r>
    </w:p>
    <w:p w:rsidR="00021744" w:rsidRDefault="00021744">
      <w:pPr>
        <w:pStyle w:val="BodyTextIndent"/>
        <w:ind w:left="576" w:firstLine="0"/>
        <w:rPr>
          <w:sz w:val="24"/>
        </w:rPr>
      </w:pPr>
      <w:r>
        <w:rPr>
          <w:sz w:val="24"/>
        </w:rPr>
        <w:lastRenderedPageBreak/>
        <w:t xml:space="preserve">(ii) fournir les exemples internationaux pertinents de loi en la matière, notamment ceux émanant des pays qui ont déjà libéralisé ainsi qu’une analyse des principales orientations contenues dans les textes de l’OMC et dans les directives européennes et proposera à la lumière de cette analyse, un avant projet d’offre à l’OMC. </w:t>
      </w:r>
    </w:p>
    <w:p w:rsidR="00021744" w:rsidRDefault="00021744">
      <w:pPr>
        <w:pStyle w:val="BodyTextIndent"/>
        <w:ind w:left="576" w:firstLine="0"/>
        <w:rPr>
          <w:sz w:val="24"/>
        </w:rPr>
      </w:pPr>
      <w:r>
        <w:rPr>
          <w:sz w:val="24"/>
        </w:rPr>
        <w:t>(iii) proposer les aménagements et améliorations nécessaires pour assurer la prise en compte des principales composantes et dispositions essentielles (provenant de l’analyse faite au (ii)).</w:t>
      </w:r>
    </w:p>
    <w:p w:rsidR="00021744" w:rsidRDefault="00021744">
      <w:pPr>
        <w:pStyle w:val="BodyTextIndent"/>
        <w:ind w:left="576" w:firstLine="0"/>
        <w:rPr>
          <w:sz w:val="24"/>
        </w:rPr>
      </w:pPr>
      <w:r>
        <w:rPr>
          <w:sz w:val="24"/>
        </w:rPr>
        <w:t>(iv) examiner la faisabilité des amendements proposés et de l’avant-projet au regard des législations en vigueur et surtout de la Constitution.</w:t>
      </w:r>
    </w:p>
    <w:p w:rsidR="00021744" w:rsidRDefault="00021744">
      <w:pPr>
        <w:pStyle w:val="BodyTextIndent"/>
        <w:ind w:left="576" w:firstLine="0"/>
        <w:rPr>
          <w:sz w:val="24"/>
        </w:rPr>
      </w:pPr>
      <w:r>
        <w:rPr>
          <w:sz w:val="24"/>
        </w:rPr>
        <w:t>(v) examiner avec les autorités les dispositions qu’il convient de traiter au niveau de textes d’application.</w:t>
      </w:r>
    </w:p>
    <w:p w:rsidR="00021744" w:rsidRDefault="00021744">
      <w:pPr>
        <w:pStyle w:val="BodyTextIndent"/>
        <w:rPr>
          <w:sz w:val="24"/>
        </w:rPr>
      </w:pPr>
    </w:p>
    <w:p w:rsidR="00021744" w:rsidRDefault="00021744">
      <w:pPr>
        <w:spacing w:before="60"/>
        <w:jc w:val="both"/>
        <w:rPr>
          <w:rFonts w:ascii="Arial" w:hAnsi="Arial"/>
        </w:rPr>
      </w:pPr>
      <w:r>
        <w:rPr>
          <w:rFonts w:ascii="Arial" w:hAnsi="Arial"/>
        </w:rPr>
        <w:t>Le Consultant devra coordonner ses actions avec les autres consultants recrutés par le gouvernement, notamment avec le consultant en charge de l’élaboration de la Déclaration de politique sectorielle.</w:t>
      </w:r>
    </w:p>
    <w:p w:rsidR="00021744" w:rsidRDefault="00021744">
      <w:pPr>
        <w:spacing w:before="60"/>
        <w:jc w:val="both"/>
        <w:rPr>
          <w:rFonts w:ascii="Arial" w:hAnsi="Arial"/>
        </w:rPr>
      </w:pPr>
      <w:r>
        <w:rPr>
          <w:rFonts w:ascii="Arial" w:hAnsi="Arial"/>
        </w:rPr>
        <w:t>Le Consultant proposera des améliorations et/ou additions aux présents termes de référence et présentera une méthodologie de travail. Il sera sélectionné sur la base de ses compétences techniques et sur la méthodologie qu'il aura proposée.</w:t>
      </w:r>
    </w:p>
    <w:p w:rsidR="00021744" w:rsidRDefault="00021744">
      <w:pPr>
        <w:jc w:val="both"/>
        <w:rPr>
          <w:rFonts w:ascii="Arial" w:hAnsi="Arial"/>
        </w:rPr>
      </w:pPr>
    </w:p>
    <w:p w:rsidR="00021744" w:rsidRDefault="00021744">
      <w:pPr>
        <w:pStyle w:val="Outline"/>
        <w:keepNext/>
        <w:keepLines/>
        <w:spacing w:before="0"/>
        <w:rPr>
          <w:rFonts w:ascii="Arial" w:hAnsi="Arial"/>
          <w:b/>
          <w:kern w:val="0"/>
          <w:u w:val="single"/>
        </w:rPr>
      </w:pPr>
      <w:r>
        <w:rPr>
          <w:rFonts w:ascii="Arial" w:hAnsi="Arial"/>
          <w:b/>
          <w:kern w:val="0"/>
          <w:u w:val="single"/>
        </w:rPr>
        <w:t>4. Calendrier et Organisation de la Consultation.</w:t>
      </w:r>
    </w:p>
    <w:p w:rsidR="00021744" w:rsidRDefault="00021744">
      <w:pPr>
        <w:pStyle w:val="Outline"/>
        <w:keepNext/>
        <w:keepLines/>
        <w:spacing w:before="0"/>
        <w:jc w:val="both"/>
        <w:rPr>
          <w:rFonts w:ascii="Arial" w:hAnsi="Arial"/>
          <w:kern w:val="0"/>
        </w:rPr>
      </w:pPr>
    </w:p>
    <w:p w:rsidR="00021744" w:rsidRDefault="00021744">
      <w:pPr>
        <w:pStyle w:val="Outline"/>
        <w:keepNext/>
        <w:keepLines/>
        <w:spacing w:before="0"/>
        <w:jc w:val="both"/>
        <w:rPr>
          <w:rFonts w:ascii="Arial" w:hAnsi="Arial"/>
          <w:kern w:val="0"/>
        </w:rPr>
      </w:pPr>
      <w:r>
        <w:rPr>
          <w:rFonts w:ascii="Arial" w:hAnsi="Arial"/>
          <w:kern w:val="0"/>
        </w:rPr>
        <w:t>Calendrier des actions:</w:t>
      </w:r>
    </w:p>
    <w:p w:rsidR="00021744" w:rsidRDefault="00021744">
      <w:pPr>
        <w:pStyle w:val="Outline"/>
        <w:spacing w:before="0"/>
        <w:jc w:val="both"/>
        <w:rPr>
          <w:rFonts w:ascii="Arial" w:hAnsi="Arial"/>
          <w:kern w:val="0"/>
        </w:rPr>
      </w:pPr>
    </w:p>
    <w:p w:rsidR="00021744" w:rsidRDefault="00021744">
      <w:pPr>
        <w:pStyle w:val="Outline"/>
        <w:spacing w:before="0"/>
        <w:jc w:val="both"/>
        <w:rPr>
          <w:rFonts w:ascii="Arial" w:hAnsi="Arial"/>
          <w:kern w:val="0"/>
        </w:rPr>
      </w:pPr>
      <w:r>
        <w:rPr>
          <w:rFonts w:ascii="Arial" w:hAnsi="Arial"/>
          <w:kern w:val="0"/>
        </w:rPr>
        <w:t>[DATE]</w:t>
      </w:r>
      <w:r>
        <w:rPr>
          <w:rFonts w:ascii="Arial" w:hAnsi="Arial"/>
          <w:kern w:val="0"/>
        </w:rPr>
        <w:tab/>
      </w:r>
      <w:r>
        <w:rPr>
          <w:rFonts w:ascii="Arial" w:hAnsi="Arial"/>
          <w:kern w:val="0"/>
        </w:rPr>
        <w:tab/>
        <w:t>Mobilisation du Consultant</w:t>
      </w:r>
    </w:p>
    <w:p w:rsidR="00021744" w:rsidRDefault="00021744">
      <w:pPr>
        <w:pStyle w:val="Outline"/>
        <w:spacing w:before="0"/>
        <w:jc w:val="both"/>
        <w:rPr>
          <w:rFonts w:ascii="Arial" w:hAnsi="Arial"/>
          <w:kern w:val="0"/>
        </w:rPr>
      </w:pPr>
      <w:r>
        <w:rPr>
          <w:rFonts w:ascii="Arial" w:hAnsi="Arial"/>
          <w:kern w:val="0"/>
        </w:rPr>
        <w:t>[DATE]</w:t>
      </w:r>
      <w:r>
        <w:rPr>
          <w:rFonts w:ascii="Arial" w:hAnsi="Arial"/>
          <w:kern w:val="0"/>
        </w:rPr>
        <w:tab/>
        <w:t>Première Mission du Consultant en [PAYS]</w:t>
      </w:r>
    </w:p>
    <w:p w:rsidR="00021744" w:rsidRDefault="00021744">
      <w:pPr>
        <w:pStyle w:val="Outline"/>
        <w:tabs>
          <w:tab w:val="left" w:pos="1800"/>
        </w:tabs>
        <w:spacing w:before="0"/>
        <w:jc w:val="both"/>
        <w:rPr>
          <w:rFonts w:ascii="Arial" w:hAnsi="Arial"/>
          <w:kern w:val="0"/>
        </w:rPr>
      </w:pPr>
      <w:r>
        <w:rPr>
          <w:rFonts w:ascii="Arial" w:hAnsi="Arial"/>
          <w:kern w:val="0"/>
        </w:rPr>
        <w:t>[DATE]</w:t>
      </w:r>
      <w:r>
        <w:rPr>
          <w:rFonts w:ascii="Arial" w:hAnsi="Arial"/>
          <w:kern w:val="0"/>
        </w:rPr>
        <w:tab/>
        <w:t>Remise du rapport sur les expériences internationales pertinentes</w:t>
      </w:r>
      <w:r>
        <w:rPr>
          <w:rFonts w:ascii="Arial" w:hAnsi="Arial"/>
          <w:kern w:val="0"/>
        </w:rPr>
        <w:br/>
        <w:t xml:space="preserve">                          pour [PAYS] et des propositions d’amendements sur l’avant-projet </w:t>
      </w:r>
      <w:r>
        <w:rPr>
          <w:rFonts w:ascii="Arial" w:hAnsi="Arial"/>
          <w:kern w:val="0"/>
        </w:rPr>
        <w:br/>
        <w:t xml:space="preserve">                          de loi élaboré par le Gouvernement</w:t>
      </w:r>
    </w:p>
    <w:p w:rsidR="00021744" w:rsidRDefault="00021744">
      <w:pPr>
        <w:pStyle w:val="Outline"/>
        <w:spacing w:before="0"/>
        <w:ind w:left="1725" w:hanging="1725"/>
        <w:jc w:val="both"/>
        <w:rPr>
          <w:rFonts w:ascii="Arial" w:hAnsi="Arial"/>
          <w:kern w:val="0"/>
        </w:rPr>
      </w:pPr>
      <w:r>
        <w:rPr>
          <w:rFonts w:ascii="Arial" w:hAnsi="Arial"/>
          <w:kern w:val="0"/>
        </w:rPr>
        <w:t>[DATE]</w:t>
      </w:r>
      <w:r>
        <w:rPr>
          <w:rFonts w:ascii="Arial" w:hAnsi="Arial"/>
          <w:kern w:val="0"/>
        </w:rPr>
        <w:tab/>
        <w:t xml:space="preserve">Remise </w:t>
      </w:r>
      <w:proofErr w:type="gramStart"/>
      <w:r>
        <w:rPr>
          <w:rFonts w:ascii="Arial" w:hAnsi="Arial"/>
          <w:kern w:val="0"/>
        </w:rPr>
        <w:t>du projets</w:t>
      </w:r>
      <w:proofErr w:type="gramEnd"/>
      <w:r>
        <w:rPr>
          <w:rFonts w:ascii="Arial" w:hAnsi="Arial"/>
          <w:kern w:val="0"/>
        </w:rPr>
        <w:t xml:space="preserve"> de loi modifié prenant en compte les amendements convenus avec le groupe de travail</w:t>
      </w:r>
    </w:p>
    <w:p w:rsidR="00021744" w:rsidRDefault="00021744">
      <w:pPr>
        <w:pStyle w:val="Outline"/>
        <w:spacing w:before="0"/>
        <w:ind w:left="1725" w:hanging="1725"/>
        <w:jc w:val="both"/>
        <w:rPr>
          <w:rFonts w:ascii="Arial" w:hAnsi="Arial"/>
          <w:kern w:val="0"/>
        </w:rPr>
      </w:pPr>
      <w:r>
        <w:rPr>
          <w:rFonts w:ascii="Arial" w:hAnsi="Arial"/>
          <w:kern w:val="0"/>
        </w:rPr>
        <w:t>[DATE]</w:t>
      </w:r>
      <w:r>
        <w:rPr>
          <w:rFonts w:ascii="Arial" w:hAnsi="Arial"/>
          <w:kern w:val="0"/>
        </w:rPr>
        <w:tab/>
        <w:t>Remise de la version finalisée du texte de loi sur les télécommunications au Gouvernement</w:t>
      </w:r>
    </w:p>
    <w:p w:rsidR="00021744" w:rsidRDefault="00021744">
      <w:pPr>
        <w:pStyle w:val="Outline"/>
        <w:spacing w:before="0"/>
        <w:jc w:val="both"/>
        <w:rPr>
          <w:rFonts w:ascii="Arial" w:hAnsi="Arial"/>
          <w:kern w:val="0"/>
        </w:rPr>
      </w:pPr>
    </w:p>
    <w:p w:rsidR="00021744" w:rsidRDefault="00021744">
      <w:pPr>
        <w:pStyle w:val="Outline"/>
        <w:spacing w:before="0"/>
        <w:jc w:val="both"/>
        <w:rPr>
          <w:rFonts w:ascii="Arial" w:hAnsi="Arial"/>
          <w:kern w:val="0"/>
        </w:rPr>
      </w:pPr>
    </w:p>
    <w:p w:rsidR="00021744" w:rsidRDefault="00021744">
      <w:pPr>
        <w:pStyle w:val="Outline"/>
        <w:keepNext/>
        <w:spacing w:before="0"/>
        <w:rPr>
          <w:rFonts w:ascii="Arial" w:hAnsi="Arial"/>
          <w:kern w:val="0"/>
          <w:u w:val="single"/>
        </w:rPr>
      </w:pPr>
      <w:r>
        <w:rPr>
          <w:rFonts w:ascii="Arial" w:hAnsi="Arial"/>
          <w:b/>
          <w:kern w:val="0"/>
          <w:u w:val="single"/>
        </w:rPr>
        <w:t>Profil du consultant</w:t>
      </w:r>
      <w:r>
        <w:rPr>
          <w:rFonts w:ascii="Arial" w:hAnsi="Arial"/>
          <w:kern w:val="0"/>
          <w:u w:val="single"/>
        </w:rPr>
        <w:t>:</w:t>
      </w:r>
    </w:p>
    <w:p w:rsidR="00021744" w:rsidRDefault="00021744">
      <w:pPr>
        <w:keepNext/>
        <w:tabs>
          <w:tab w:val="left" w:pos="0"/>
          <w:tab w:val="left" w:pos="900"/>
        </w:tabs>
        <w:suppressAutoHyphens/>
        <w:jc w:val="both"/>
        <w:rPr>
          <w:rFonts w:ascii="Arial" w:hAnsi="Arial"/>
          <w:spacing w:val="-2"/>
        </w:rPr>
      </w:pPr>
    </w:p>
    <w:p w:rsidR="00021744" w:rsidRDefault="00021744">
      <w:pPr>
        <w:keepNext/>
        <w:tabs>
          <w:tab w:val="left" w:pos="0"/>
          <w:tab w:val="left" w:pos="900"/>
        </w:tabs>
        <w:suppressAutoHyphens/>
        <w:jc w:val="both"/>
        <w:rPr>
          <w:rFonts w:ascii="Arial" w:hAnsi="Arial"/>
          <w:u w:val="single"/>
        </w:rPr>
      </w:pPr>
      <w:r>
        <w:rPr>
          <w:rFonts w:ascii="Arial" w:hAnsi="Arial"/>
          <w:spacing w:val="-2"/>
        </w:rPr>
        <w:t xml:space="preserve">Compte tenu des domaines d’intervention envisagés, le Consultant réunira des compétences juridiques appliquées aux télécommunications et techniques nécessaires à la finalisation de sa mission. </w:t>
      </w:r>
    </w:p>
    <w:p w:rsidR="00021744" w:rsidRDefault="00021744">
      <w:pPr>
        <w:jc w:val="both"/>
        <w:rPr>
          <w:rFonts w:ascii="Arial" w:hAnsi="Arial"/>
        </w:rPr>
      </w:pPr>
    </w:p>
    <w:p w:rsidR="00021744" w:rsidRDefault="00021744">
      <w:pPr>
        <w:pStyle w:val="Outline"/>
        <w:spacing w:before="0"/>
        <w:rPr>
          <w:rFonts w:ascii="Arial" w:hAnsi="Arial"/>
          <w:kern w:val="0"/>
          <w:u w:val="single"/>
        </w:rPr>
      </w:pPr>
      <w:r>
        <w:rPr>
          <w:rFonts w:ascii="Arial" w:hAnsi="Arial"/>
          <w:kern w:val="0"/>
          <w:u w:val="single"/>
        </w:rPr>
        <w:t>Langue</w:t>
      </w:r>
    </w:p>
    <w:p w:rsidR="00021744" w:rsidRDefault="00021744">
      <w:pPr>
        <w:jc w:val="both"/>
        <w:rPr>
          <w:rFonts w:ascii="Arial" w:hAnsi="Arial"/>
        </w:rPr>
      </w:pPr>
    </w:p>
    <w:p w:rsidR="00021744" w:rsidRDefault="00021744">
      <w:pPr>
        <w:jc w:val="both"/>
        <w:rPr>
          <w:rFonts w:ascii="Arial" w:hAnsi="Arial"/>
        </w:rPr>
      </w:pPr>
      <w:r>
        <w:rPr>
          <w:rFonts w:ascii="Arial" w:hAnsi="Arial"/>
        </w:rPr>
        <w:t>Le consultant devra être en mesure de s’entretenir avec le gouvernement et de fournir tous les documents en Français sous format électronique.</w:t>
      </w:r>
    </w:p>
    <w:p w:rsidR="00021744" w:rsidRDefault="00021744">
      <w:pPr>
        <w:pStyle w:val="Outline"/>
        <w:spacing w:before="0"/>
        <w:jc w:val="both"/>
        <w:rPr>
          <w:rFonts w:ascii="Arial" w:hAnsi="Arial"/>
          <w:kern w:val="0"/>
        </w:rPr>
      </w:pPr>
    </w:p>
    <w:sectPr w:rsidR="00021744" w:rsidSect="0021016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5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A8" w:rsidRDefault="00640BA8">
      <w:r>
        <w:separator/>
      </w:r>
    </w:p>
  </w:endnote>
  <w:endnote w:type="continuationSeparator" w:id="0">
    <w:p w:rsidR="00640BA8" w:rsidRDefault="0064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4" w:rsidRDefault="004F21FB">
    <w:pPr>
      <w:pStyle w:val="Footer"/>
      <w:framePr w:wrap="around" w:vAnchor="text" w:hAnchor="margin" w:xAlign="center" w:y="1"/>
      <w:rPr>
        <w:rStyle w:val="PageNumber"/>
      </w:rPr>
    </w:pPr>
    <w:r>
      <w:rPr>
        <w:rStyle w:val="PageNumber"/>
      </w:rPr>
      <w:fldChar w:fldCharType="begin"/>
    </w:r>
    <w:r w:rsidR="00021744">
      <w:rPr>
        <w:rStyle w:val="PageNumber"/>
      </w:rPr>
      <w:instrText xml:space="preserve">PAGE  </w:instrText>
    </w:r>
    <w:r>
      <w:rPr>
        <w:rStyle w:val="PageNumber"/>
      </w:rPr>
      <w:fldChar w:fldCharType="separate"/>
    </w:r>
    <w:r w:rsidR="00021744">
      <w:rPr>
        <w:rStyle w:val="PageNumber"/>
        <w:noProof/>
      </w:rPr>
      <w:t>2</w:t>
    </w:r>
    <w:r>
      <w:rPr>
        <w:rStyle w:val="PageNumber"/>
      </w:rPr>
      <w:fldChar w:fldCharType="end"/>
    </w:r>
  </w:p>
  <w:p w:rsidR="00021744" w:rsidRDefault="00021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4" w:rsidRPr="00C2439D" w:rsidRDefault="00021744" w:rsidP="00021744">
    <w:pPr>
      <w:ind w:left="540"/>
      <w:jc w:val="center"/>
      <w:rPr>
        <w:sz w:val="20"/>
      </w:rPr>
    </w:pPr>
    <w:r w:rsidRPr="00C2439D">
      <w:rPr>
        <w:sz w:val="20"/>
      </w:rPr>
      <w:t xml:space="preserve">Page </w:t>
    </w:r>
    <w:r w:rsidR="004F21FB" w:rsidRPr="00C2439D">
      <w:rPr>
        <w:sz w:val="20"/>
      </w:rPr>
      <w:fldChar w:fldCharType="begin"/>
    </w:r>
    <w:r w:rsidRPr="00C2439D">
      <w:rPr>
        <w:sz w:val="20"/>
      </w:rPr>
      <w:instrText xml:space="preserve"> PAGE </w:instrText>
    </w:r>
    <w:r w:rsidR="004F21FB" w:rsidRPr="00C2439D">
      <w:rPr>
        <w:sz w:val="20"/>
      </w:rPr>
      <w:fldChar w:fldCharType="separate"/>
    </w:r>
    <w:r w:rsidR="00D46137">
      <w:rPr>
        <w:noProof/>
        <w:sz w:val="20"/>
      </w:rPr>
      <w:t>2</w:t>
    </w:r>
    <w:r w:rsidR="004F21FB" w:rsidRPr="00C2439D">
      <w:rPr>
        <w:sz w:val="20"/>
      </w:rPr>
      <w:fldChar w:fldCharType="end"/>
    </w:r>
    <w:r w:rsidRPr="00C2439D">
      <w:rPr>
        <w:sz w:val="20"/>
      </w:rPr>
      <w:t xml:space="preserve"> of </w:t>
    </w:r>
    <w:r w:rsidR="004F21FB" w:rsidRPr="00C2439D">
      <w:rPr>
        <w:sz w:val="20"/>
      </w:rPr>
      <w:fldChar w:fldCharType="begin"/>
    </w:r>
    <w:r w:rsidRPr="00C2439D">
      <w:rPr>
        <w:sz w:val="20"/>
      </w:rPr>
      <w:instrText xml:space="preserve"> NUMPAGES  </w:instrText>
    </w:r>
    <w:r w:rsidR="004F21FB" w:rsidRPr="00C2439D">
      <w:rPr>
        <w:sz w:val="20"/>
      </w:rPr>
      <w:fldChar w:fldCharType="separate"/>
    </w:r>
    <w:r w:rsidR="00D46137">
      <w:rPr>
        <w:noProof/>
        <w:sz w:val="20"/>
      </w:rPr>
      <w:t>2</w:t>
    </w:r>
    <w:r w:rsidR="004F21FB" w:rsidRPr="00C2439D">
      <w:rPr>
        <w:sz w:val="20"/>
      </w:rPr>
      <w:fldChar w:fldCharType="end"/>
    </w:r>
  </w:p>
  <w:p w:rsidR="00021744" w:rsidRDefault="00D578A0" w:rsidP="00021744">
    <w:pPr>
      <w:pStyle w:val="Footer"/>
      <w:tabs>
        <w:tab w:val="right" w:pos="9720"/>
      </w:tabs>
      <w:ind w:left="900"/>
      <w:rPr>
        <w:rFonts w:ascii="Arial Narrow" w:hAnsi="Arial Narrow"/>
        <w:sz w:val="20"/>
      </w:rPr>
    </w:pPr>
    <w:r>
      <w:rPr>
        <w:rFonts w:ascii="Arial Narrow" w:hAnsi="Arial Narrow"/>
        <w:noProof/>
        <w:lang w:val="en-US" w:eastAsia="en-US"/>
      </w:rPr>
      <w:drawing>
        <wp:anchor distT="0" distB="0" distL="114300" distR="114300" simplePos="0" relativeHeight="251659264" behindDoc="1" locked="0" layoutInCell="1" allowOverlap="1">
          <wp:simplePos x="0" y="0"/>
          <wp:positionH relativeFrom="column">
            <wp:posOffset>-680085</wp:posOffset>
          </wp:positionH>
          <wp:positionV relativeFrom="paragraph">
            <wp:posOffset>94615</wp:posOffset>
          </wp:positionV>
          <wp:extent cx="1040130" cy="461010"/>
          <wp:effectExtent l="0" t="0" r="0" b="0"/>
          <wp:wrapTight wrapText="bothSides">
            <wp:wrapPolygon edited="0">
              <wp:start x="0" y="893"/>
              <wp:lineTo x="0" y="18744"/>
              <wp:lineTo x="1187" y="20529"/>
              <wp:lineTo x="3560" y="20529"/>
              <wp:lineTo x="18593" y="20529"/>
              <wp:lineTo x="19385" y="20529"/>
              <wp:lineTo x="20571" y="16959"/>
              <wp:lineTo x="20176" y="15174"/>
              <wp:lineTo x="17011" y="1785"/>
              <wp:lineTo x="16615" y="893"/>
              <wp:lineTo x="0" y="893"/>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40130" cy="461010"/>
                  </a:xfrm>
                  <a:prstGeom prst="rect">
                    <a:avLst/>
                  </a:prstGeom>
                  <a:noFill/>
                  <a:ln w="9525">
                    <a:noFill/>
                    <a:miter lim="800000"/>
                    <a:headEnd/>
                    <a:tailEnd/>
                  </a:ln>
                </pic:spPr>
              </pic:pic>
            </a:graphicData>
          </a:graphic>
        </wp:anchor>
      </w:drawing>
    </w:r>
  </w:p>
  <w:p w:rsidR="00021744" w:rsidRPr="001F2BDF" w:rsidRDefault="004F21FB" w:rsidP="003F73D7">
    <w:pPr>
      <w:pStyle w:val="Footer"/>
      <w:tabs>
        <w:tab w:val="clear" w:pos="8640"/>
        <w:tab w:val="right" w:pos="9720"/>
      </w:tabs>
      <w:ind w:left="540"/>
      <w:rPr>
        <w:rFonts w:ascii="Arial Narrow" w:hAnsi="Arial Narrow"/>
        <w:sz w:val="20"/>
      </w:rPr>
    </w:pPr>
    <w:r w:rsidRPr="004F21FB">
      <w:rPr>
        <w:rFonts w:ascii="Arial Narrow" w:hAnsi="Arial Narrow"/>
        <w:noProof/>
        <w:sz w:val="20"/>
      </w:rPr>
      <w:pict>
        <v:shapetype id="_x0000_t32" coordsize="21600,21600" o:spt="32" o:oned="t" path="m,l21600,21600e" filled="f">
          <v:path arrowok="t" fillok="f" o:connecttype="none"/>
          <o:lock v:ext="edit" shapetype="t"/>
        </v:shapetype>
        <v:shape id="_x0000_s2051" type="#_x0000_t32" style="position:absolute;left:0;text-align:left;margin-left:-97.25pt;margin-top:-10.95pt;width:642.5pt;height:0;z-index:251658240" o:connectortype="straight" strokecolor="#1f497d" strokeweight="3pt">
          <v:shadow type="perspective" color="#243f60" opacity=".5" offset="1pt" offset2="-1pt"/>
        </v:shape>
      </w:pict>
    </w:r>
    <w:r w:rsidR="00021744" w:rsidRPr="001F2BDF">
      <w:rPr>
        <w:rFonts w:ascii="Arial Narrow" w:hAnsi="Arial Narrow"/>
        <w:sz w:val="20"/>
      </w:rPr>
      <w:t xml:space="preserve">PPP in Infrastructure Resource Center for </w:t>
    </w:r>
    <w:proofErr w:type="spellStart"/>
    <w:r w:rsidR="00021744" w:rsidRPr="001F2BDF">
      <w:rPr>
        <w:rFonts w:ascii="Arial Narrow" w:hAnsi="Arial Narrow"/>
        <w:sz w:val="20"/>
      </w:rPr>
      <w:t>Contracts</w:t>
    </w:r>
    <w:proofErr w:type="spellEnd"/>
    <w:r w:rsidR="00021744" w:rsidRPr="001F2BDF">
      <w:rPr>
        <w:rFonts w:ascii="Arial Narrow" w:hAnsi="Arial Narrow"/>
        <w:sz w:val="20"/>
      </w:rPr>
      <w:t xml:space="preserve">, </w:t>
    </w:r>
    <w:proofErr w:type="spellStart"/>
    <w:r w:rsidR="00021744" w:rsidRPr="001F2BDF">
      <w:rPr>
        <w:rFonts w:ascii="Arial Narrow" w:hAnsi="Arial Narrow"/>
        <w:sz w:val="20"/>
      </w:rPr>
      <w:t>Laws</w:t>
    </w:r>
    <w:proofErr w:type="spellEnd"/>
    <w:r w:rsidR="00021744" w:rsidRPr="001F2BDF">
      <w:rPr>
        <w:rFonts w:ascii="Arial Narrow" w:hAnsi="Arial Narrow"/>
        <w:sz w:val="20"/>
      </w:rPr>
      <w:t xml:space="preserve"> and </w:t>
    </w:r>
    <w:proofErr w:type="spellStart"/>
    <w:r w:rsidR="00021744" w:rsidRPr="001F2BDF">
      <w:rPr>
        <w:rFonts w:ascii="Arial Narrow" w:hAnsi="Arial Narrow"/>
        <w:sz w:val="20"/>
      </w:rPr>
      <w:t>Regulations</w:t>
    </w:r>
    <w:proofErr w:type="spellEnd"/>
    <w:r w:rsidR="00021744" w:rsidRPr="001F2BDF">
      <w:rPr>
        <w:rFonts w:ascii="Arial Narrow" w:hAnsi="Arial Narrow"/>
        <w:sz w:val="20"/>
      </w:rPr>
      <w:t xml:space="preserve"> (PPPIRC)</w:t>
    </w:r>
    <w:r w:rsidR="00021744" w:rsidRPr="001F2BDF">
      <w:rPr>
        <w:rFonts w:ascii="Arial Narrow" w:hAnsi="Arial Narrow"/>
        <w:sz w:val="20"/>
      </w:rPr>
      <w:tab/>
      <w:t xml:space="preserve">Victoria </w:t>
    </w:r>
    <w:proofErr w:type="spellStart"/>
    <w:r w:rsidR="00021744" w:rsidRPr="001F2BDF">
      <w:rPr>
        <w:rFonts w:ascii="Arial Narrow" w:hAnsi="Arial Narrow"/>
        <w:sz w:val="20"/>
      </w:rPr>
      <w:t>Rigby</w:t>
    </w:r>
    <w:proofErr w:type="spellEnd"/>
    <w:r w:rsidR="00021744" w:rsidRPr="001F2BDF">
      <w:rPr>
        <w:rFonts w:ascii="Arial Narrow" w:hAnsi="Arial Narrow"/>
        <w:sz w:val="20"/>
      </w:rPr>
      <w:t xml:space="preserve"> </w:t>
    </w:r>
    <w:proofErr w:type="spellStart"/>
    <w:r w:rsidR="00021744" w:rsidRPr="001F2BDF">
      <w:rPr>
        <w:rFonts w:ascii="Arial Narrow" w:hAnsi="Arial Narrow"/>
        <w:sz w:val="20"/>
      </w:rPr>
      <w:t>Delmon</w:t>
    </w:r>
    <w:proofErr w:type="spellEnd"/>
    <w:r w:rsidR="00021744">
      <w:rPr>
        <w:rFonts w:ascii="Arial Narrow" w:hAnsi="Arial Narrow"/>
        <w:sz w:val="20"/>
      </w:rPr>
      <w:t>, LEGPS</w:t>
    </w:r>
  </w:p>
  <w:p w:rsidR="00021744" w:rsidRDefault="00021744" w:rsidP="003F73D7">
    <w:pPr>
      <w:pStyle w:val="Footer"/>
      <w:tabs>
        <w:tab w:val="clear" w:pos="8640"/>
        <w:tab w:val="right" w:pos="9720"/>
      </w:tabs>
      <w:ind w:left="540"/>
    </w:pPr>
    <w:r w:rsidRPr="00D46137">
      <w:rPr>
        <w:rFonts w:ascii="Arial Narrow" w:hAnsi="Arial Narrow"/>
        <w:color w:val="0000FF"/>
        <w:sz w:val="20"/>
        <w:u w:val="single"/>
      </w:rPr>
      <w:t>http://www.worldbank.org/</w:t>
    </w:r>
    <w:r w:rsidRPr="00D46137">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proofErr w:type="spellStart"/>
    <w:r>
      <w:rPr>
        <w:rFonts w:ascii="Arial Narrow" w:hAnsi="Arial Narrow"/>
        <w:sz w:val="20"/>
      </w:rPr>
      <w:t>December</w:t>
    </w:r>
    <w:proofErr w:type="spellEnd"/>
    <w:r>
      <w:rPr>
        <w:rFonts w:ascii="Arial Narrow" w:hAnsi="Arial Narrow"/>
        <w:sz w:val="20"/>
      </w:rPr>
      <w:t xml:space="preserve">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4" w:rsidRDefault="00D578A0" w:rsidP="00021744">
    <w:pPr>
      <w:pStyle w:val="Footer"/>
      <w:tabs>
        <w:tab w:val="right" w:pos="9720"/>
      </w:tabs>
      <w:ind w:left="900"/>
      <w:rPr>
        <w:rFonts w:ascii="Arial Narrow" w:hAnsi="Arial Narrow"/>
        <w:sz w:val="20"/>
      </w:rPr>
    </w:pPr>
    <w:r>
      <w:rPr>
        <w:rFonts w:ascii="Arial Narrow" w:hAnsi="Arial Narrow"/>
        <w:noProof/>
        <w:lang w:val="en-US" w:eastAsia="en-US"/>
      </w:rPr>
      <w:drawing>
        <wp:anchor distT="0" distB="0" distL="114300" distR="114300" simplePos="0" relativeHeight="251657216" behindDoc="1" locked="0" layoutInCell="1" allowOverlap="1">
          <wp:simplePos x="0" y="0"/>
          <wp:positionH relativeFrom="column">
            <wp:posOffset>-654685</wp:posOffset>
          </wp:positionH>
          <wp:positionV relativeFrom="paragraph">
            <wp:posOffset>94615</wp:posOffset>
          </wp:positionV>
          <wp:extent cx="1040130" cy="461010"/>
          <wp:effectExtent l="0" t="0" r="0" b="0"/>
          <wp:wrapTight wrapText="bothSides">
            <wp:wrapPolygon edited="0">
              <wp:start x="0" y="893"/>
              <wp:lineTo x="0" y="18744"/>
              <wp:lineTo x="1187" y="20529"/>
              <wp:lineTo x="3560" y="20529"/>
              <wp:lineTo x="18593" y="20529"/>
              <wp:lineTo x="19385" y="20529"/>
              <wp:lineTo x="20571" y="16959"/>
              <wp:lineTo x="20176" y="15174"/>
              <wp:lineTo x="17011" y="1785"/>
              <wp:lineTo x="16615" y="893"/>
              <wp:lineTo x="0" y="893"/>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40130" cy="461010"/>
                  </a:xfrm>
                  <a:prstGeom prst="rect">
                    <a:avLst/>
                  </a:prstGeom>
                  <a:noFill/>
                  <a:ln w="9525">
                    <a:noFill/>
                    <a:miter lim="800000"/>
                    <a:headEnd/>
                    <a:tailEnd/>
                  </a:ln>
                </pic:spPr>
              </pic:pic>
            </a:graphicData>
          </a:graphic>
        </wp:anchor>
      </w:drawing>
    </w:r>
  </w:p>
  <w:p w:rsidR="00021744" w:rsidRPr="001F2BDF" w:rsidRDefault="004F21FB" w:rsidP="003F73D7">
    <w:pPr>
      <w:pStyle w:val="Footer"/>
      <w:tabs>
        <w:tab w:val="clear" w:pos="8640"/>
        <w:tab w:val="right" w:pos="9720"/>
      </w:tabs>
      <w:ind w:left="540"/>
      <w:rPr>
        <w:rFonts w:ascii="Arial Narrow" w:hAnsi="Arial Narrow"/>
        <w:sz w:val="20"/>
      </w:rPr>
    </w:pPr>
    <w:r w:rsidRPr="004F21FB">
      <w:rPr>
        <w:rFonts w:ascii="Arial Narrow" w:hAnsi="Arial Narrow"/>
        <w:noProof/>
        <w:sz w:val="20"/>
      </w:rPr>
      <w:pict>
        <v:shapetype id="_x0000_t32" coordsize="21600,21600" o:spt="32" o:oned="t" path="m,l21600,21600e" filled="f">
          <v:path arrowok="t" fillok="f" o:connecttype="none"/>
          <o:lock v:ext="edit" shapetype="t"/>
        </v:shapetype>
        <v:shape id="_x0000_s2049" type="#_x0000_t32" style="position:absolute;left:0;text-align:left;margin-left:-97.25pt;margin-top:-10.95pt;width:642.5pt;height:0;z-index:251656192" o:connectortype="straight" strokecolor="#1f497d" strokeweight="3pt">
          <v:shadow type="perspective" color="#243f60" opacity=".5" offset="1pt" offset2="-1pt"/>
        </v:shape>
      </w:pict>
    </w:r>
    <w:r w:rsidR="00021744" w:rsidRPr="001F2BDF">
      <w:rPr>
        <w:rFonts w:ascii="Arial Narrow" w:hAnsi="Arial Narrow"/>
        <w:sz w:val="20"/>
      </w:rPr>
      <w:t xml:space="preserve">PPP in Infrastructure Resource Center for </w:t>
    </w:r>
    <w:proofErr w:type="spellStart"/>
    <w:r w:rsidR="00021744" w:rsidRPr="001F2BDF">
      <w:rPr>
        <w:rFonts w:ascii="Arial Narrow" w:hAnsi="Arial Narrow"/>
        <w:sz w:val="20"/>
      </w:rPr>
      <w:t>Contracts</w:t>
    </w:r>
    <w:proofErr w:type="spellEnd"/>
    <w:r w:rsidR="00021744" w:rsidRPr="001F2BDF">
      <w:rPr>
        <w:rFonts w:ascii="Arial Narrow" w:hAnsi="Arial Narrow"/>
        <w:sz w:val="20"/>
      </w:rPr>
      <w:t xml:space="preserve">, </w:t>
    </w:r>
    <w:proofErr w:type="spellStart"/>
    <w:r w:rsidR="00021744" w:rsidRPr="001F2BDF">
      <w:rPr>
        <w:rFonts w:ascii="Arial Narrow" w:hAnsi="Arial Narrow"/>
        <w:sz w:val="20"/>
      </w:rPr>
      <w:t>Laws</w:t>
    </w:r>
    <w:proofErr w:type="spellEnd"/>
    <w:r w:rsidR="00021744" w:rsidRPr="001F2BDF">
      <w:rPr>
        <w:rFonts w:ascii="Arial Narrow" w:hAnsi="Arial Narrow"/>
        <w:sz w:val="20"/>
      </w:rPr>
      <w:t xml:space="preserve"> and </w:t>
    </w:r>
    <w:proofErr w:type="spellStart"/>
    <w:r w:rsidR="00021744" w:rsidRPr="001F2BDF">
      <w:rPr>
        <w:rFonts w:ascii="Arial Narrow" w:hAnsi="Arial Narrow"/>
        <w:sz w:val="20"/>
      </w:rPr>
      <w:t>Regulations</w:t>
    </w:r>
    <w:proofErr w:type="spellEnd"/>
    <w:r w:rsidR="00021744" w:rsidRPr="001F2BDF">
      <w:rPr>
        <w:rFonts w:ascii="Arial Narrow" w:hAnsi="Arial Narrow"/>
        <w:sz w:val="20"/>
      </w:rPr>
      <w:t xml:space="preserve"> (PPPIRC)</w:t>
    </w:r>
    <w:r w:rsidR="00021744" w:rsidRPr="001F2BDF">
      <w:rPr>
        <w:rFonts w:ascii="Arial Narrow" w:hAnsi="Arial Narrow"/>
        <w:sz w:val="20"/>
      </w:rPr>
      <w:tab/>
      <w:t xml:space="preserve">Victoria </w:t>
    </w:r>
    <w:proofErr w:type="spellStart"/>
    <w:r w:rsidR="00021744" w:rsidRPr="001F2BDF">
      <w:rPr>
        <w:rFonts w:ascii="Arial Narrow" w:hAnsi="Arial Narrow"/>
        <w:sz w:val="20"/>
      </w:rPr>
      <w:t>Rigby</w:t>
    </w:r>
    <w:proofErr w:type="spellEnd"/>
    <w:r w:rsidR="00021744" w:rsidRPr="001F2BDF">
      <w:rPr>
        <w:rFonts w:ascii="Arial Narrow" w:hAnsi="Arial Narrow"/>
        <w:sz w:val="20"/>
      </w:rPr>
      <w:t xml:space="preserve"> </w:t>
    </w:r>
    <w:proofErr w:type="spellStart"/>
    <w:r w:rsidR="00021744" w:rsidRPr="001F2BDF">
      <w:rPr>
        <w:rFonts w:ascii="Arial Narrow" w:hAnsi="Arial Narrow"/>
        <w:sz w:val="20"/>
      </w:rPr>
      <w:t>Delmon</w:t>
    </w:r>
    <w:proofErr w:type="spellEnd"/>
    <w:r w:rsidR="00021744">
      <w:rPr>
        <w:rFonts w:ascii="Arial Narrow" w:hAnsi="Arial Narrow"/>
        <w:sz w:val="20"/>
      </w:rPr>
      <w:t>, LEGPS</w:t>
    </w:r>
  </w:p>
  <w:p w:rsidR="00021744" w:rsidRDefault="00021744" w:rsidP="003F73D7">
    <w:pPr>
      <w:pStyle w:val="Footer"/>
      <w:tabs>
        <w:tab w:val="clear" w:pos="8640"/>
        <w:tab w:val="right" w:pos="9720"/>
      </w:tabs>
      <w:ind w:left="540"/>
    </w:pPr>
    <w:r w:rsidRPr="00D46137">
      <w:rPr>
        <w:rFonts w:ascii="Arial Narrow" w:hAnsi="Arial Narrow"/>
        <w:color w:val="0000FF"/>
        <w:sz w:val="20"/>
        <w:u w:val="single"/>
      </w:rPr>
      <w:t>http://www.worldbank.org/</w:t>
    </w:r>
    <w:r w:rsidR="00D46137" w:rsidRPr="00D46137">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proofErr w:type="spellStart"/>
    <w:r>
      <w:rPr>
        <w:rFonts w:ascii="Arial Narrow" w:hAnsi="Arial Narrow"/>
        <w:sz w:val="20"/>
      </w:rPr>
      <w:t>December</w:t>
    </w:r>
    <w:proofErr w:type="spellEnd"/>
    <w:r>
      <w:rPr>
        <w:rFonts w:ascii="Arial Narrow" w:hAnsi="Arial Narrow"/>
        <w:sz w:val="20"/>
      </w:rPr>
      <w:t xml:space="preserve">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A8" w:rsidRDefault="00640BA8">
      <w:r>
        <w:separator/>
      </w:r>
    </w:p>
  </w:footnote>
  <w:footnote w:type="continuationSeparator" w:id="0">
    <w:p w:rsidR="00640BA8" w:rsidRDefault="00640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37" w:rsidRDefault="00D46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4" w:rsidRPr="00021744" w:rsidRDefault="00021744" w:rsidP="00021744">
    <w:pPr>
      <w:pStyle w:val="Header"/>
      <w:pBdr>
        <w:top w:val="single" w:sz="4" w:space="0" w:color="1F497D"/>
        <w:left w:val="single" w:sz="4" w:space="4" w:color="1F497D"/>
        <w:bottom w:val="single" w:sz="4" w:space="1" w:color="1F497D"/>
        <w:right w:val="single" w:sz="4" w:space="4" w:color="1F497D"/>
      </w:pBdr>
      <w:jc w:val="center"/>
      <w:rPr>
        <w:rFonts w:ascii="Arial Narrow" w:hAnsi="Arial Narrow" w:cs="Arial"/>
        <w:sz w:val="20"/>
      </w:rPr>
    </w:pPr>
    <w:r w:rsidRPr="00021744">
      <w:rPr>
        <w:rFonts w:ascii="Arial Narrow" w:hAnsi="Arial Narrow" w:cs="Arial"/>
        <w:sz w:val="20"/>
      </w:rPr>
      <w:t xml:space="preserve">THIS DOCUMENT HAS BEEN PREPARED FOR THE PURPOSES OF THE </w:t>
    </w:r>
    <w:r w:rsidRPr="00021744">
      <w:rPr>
        <w:rFonts w:ascii="Arial Narrow" w:hAnsi="Arial Narrow" w:cs="Arial"/>
        <w:sz w:val="20"/>
      </w:rPr>
      <w:br/>
    </w:r>
    <w:r w:rsidRPr="00021744">
      <w:rPr>
        <w:rFonts w:ascii="Arial Narrow" w:hAnsi="Arial Narrow" w:cs="Arial"/>
        <w:b/>
        <w:sz w:val="20"/>
      </w:rPr>
      <w:t>PPP IN INFRASTRUCTURE RESOURCE CENTER</w:t>
    </w:r>
    <w:r w:rsidRPr="00021744">
      <w:rPr>
        <w:rFonts w:ascii="Arial Narrow" w:hAnsi="Arial Narrow" w:cs="Arial"/>
        <w:sz w:val="20"/>
      </w:rPr>
      <w:t xml:space="preserve"> </w:t>
    </w:r>
    <w:r w:rsidRPr="00021744">
      <w:rPr>
        <w:rFonts w:ascii="Arial Narrow" w:hAnsi="Arial Narrow" w:cs="Arial"/>
        <w:b/>
        <w:sz w:val="20"/>
      </w:rPr>
      <w:t>FOR CONTRACTS, LAWS AND REGULATIONS</w:t>
    </w:r>
    <w:r w:rsidRPr="00021744">
      <w:rPr>
        <w:rFonts w:ascii="Arial Narrow" w:hAnsi="Arial Narrow" w:cs="Arial"/>
        <w:sz w:val="20"/>
      </w:rPr>
      <w:t xml:space="preserve">. </w:t>
    </w:r>
    <w:r w:rsidRPr="00021744">
      <w:rPr>
        <w:rFonts w:ascii="Arial Narrow" w:hAnsi="Arial Narrow" w:cs="Arial"/>
        <w:sz w:val="20"/>
      </w:rPr>
      <w:br/>
      <w:t xml:space="preserve"> IT IS FOR GENERAL GUIDANCE PURPOSES ONLY AND SHOULD NOT BE USED AS A SUBSTITUTE </w:t>
    </w:r>
    <w:r w:rsidRPr="00021744">
      <w:rPr>
        <w:rFonts w:ascii="Arial Narrow" w:hAnsi="Arial Narrow" w:cs="Arial"/>
        <w:sz w:val="20"/>
      </w:rPr>
      <w:br/>
      <w:t>FOR SPECIFIC LEGAL ADVICE FOR A PROJECT.</w:t>
    </w:r>
  </w:p>
  <w:p w:rsidR="00021744" w:rsidRPr="000B583C" w:rsidRDefault="000B583C" w:rsidP="000B583C">
    <w:pPr>
      <w:pStyle w:val="Header"/>
      <w:spacing w:after="120"/>
      <w:jc w:val="center"/>
      <w:rPr>
        <w:color w:val="1F497D" w:themeColor="text2"/>
        <w:sz w:val="20"/>
      </w:rPr>
    </w:pPr>
    <w:r w:rsidRPr="000B583C">
      <w:rPr>
        <w:rFonts w:ascii="Arial" w:hAnsi="Arial"/>
        <w:b/>
        <w:color w:val="1F497D" w:themeColor="text2"/>
        <w:sz w:val="20"/>
      </w:rPr>
      <w:t xml:space="preserve">Termes de </w:t>
    </w:r>
    <w:r w:rsidR="00E462E6" w:rsidRPr="000B583C">
      <w:rPr>
        <w:rFonts w:ascii="Arial" w:hAnsi="Arial"/>
        <w:b/>
        <w:color w:val="1F497D" w:themeColor="text2"/>
        <w:sz w:val="20"/>
      </w:rPr>
      <w:t>Référence</w:t>
    </w:r>
    <w:r w:rsidRPr="000B583C">
      <w:rPr>
        <w:rFonts w:ascii="Arial" w:hAnsi="Arial"/>
        <w:b/>
        <w:color w:val="1F497D" w:themeColor="text2"/>
        <w:sz w:val="20"/>
      </w:rPr>
      <w:t xml:space="preserve"> - Assistance Pour Préparer la nouvelle loi sur les télécommunications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4" w:rsidRPr="00021744" w:rsidRDefault="00021744" w:rsidP="00021744">
    <w:pPr>
      <w:pStyle w:val="Header"/>
      <w:pBdr>
        <w:top w:val="single" w:sz="4" w:space="0" w:color="1F497D"/>
        <w:left w:val="single" w:sz="4" w:space="4" w:color="1F497D"/>
        <w:bottom w:val="single" w:sz="4" w:space="1" w:color="1F497D"/>
        <w:right w:val="single" w:sz="4" w:space="4" w:color="1F497D"/>
      </w:pBdr>
      <w:jc w:val="center"/>
      <w:rPr>
        <w:rFonts w:ascii="Arial Narrow" w:hAnsi="Arial Narrow" w:cs="Arial"/>
        <w:sz w:val="20"/>
      </w:rPr>
    </w:pPr>
    <w:r w:rsidRPr="00021744">
      <w:rPr>
        <w:rFonts w:ascii="Arial Narrow" w:hAnsi="Arial Narrow" w:cs="Arial"/>
        <w:sz w:val="20"/>
      </w:rPr>
      <w:t xml:space="preserve">THIS DOCUMENT HAS BEEN PREPARED FOR THE PURPOSES OF THE </w:t>
    </w:r>
    <w:r w:rsidRPr="00021744">
      <w:rPr>
        <w:rFonts w:ascii="Arial Narrow" w:hAnsi="Arial Narrow" w:cs="Arial"/>
        <w:sz w:val="20"/>
      </w:rPr>
      <w:br/>
    </w:r>
    <w:r w:rsidRPr="00021744">
      <w:rPr>
        <w:rFonts w:ascii="Arial Narrow" w:hAnsi="Arial Narrow" w:cs="Arial"/>
        <w:b/>
        <w:sz w:val="20"/>
      </w:rPr>
      <w:t>PPP IN INFRASTRUCTURE RESOURCE CENTER</w:t>
    </w:r>
    <w:r w:rsidRPr="00021744">
      <w:rPr>
        <w:rFonts w:ascii="Arial Narrow" w:hAnsi="Arial Narrow" w:cs="Arial"/>
        <w:sz w:val="20"/>
      </w:rPr>
      <w:t xml:space="preserve"> </w:t>
    </w:r>
    <w:r w:rsidRPr="00021744">
      <w:rPr>
        <w:rFonts w:ascii="Arial Narrow" w:hAnsi="Arial Narrow" w:cs="Arial"/>
        <w:b/>
        <w:sz w:val="20"/>
      </w:rPr>
      <w:t>FOR CONTRACTS, LAWS AND REGULATIONS</w:t>
    </w:r>
    <w:r w:rsidRPr="00021744">
      <w:rPr>
        <w:rFonts w:ascii="Arial Narrow" w:hAnsi="Arial Narrow" w:cs="Arial"/>
        <w:sz w:val="20"/>
      </w:rPr>
      <w:t xml:space="preserve">. </w:t>
    </w:r>
    <w:r w:rsidRPr="00021744">
      <w:rPr>
        <w:rFonts w:ascii="Arial Narrow" w:hAnsi="Arial Narrow" w:cs="Arial"/>
        <w:sz w:val="20"/>
      </w:rPr>
      <w:br/>
      <w:t xml:space="preserve"> IT IS FOR GENERAL GUIDANCE PURPOSES ONLY AND SHOULD NOT BE USED AS A SUBSTITUTE </w:t>
    </w:r>
    <w:r w:rsidRPr="00021744">
      <w:rPr>
        <w:rFonts w:ascii="Arial Narrow" w:hAnsi="Arial Narrow" w:cs="Arial"/>
        <w:sz w:val="20"/>
      </w:rPr>
      <w:br/>
      <w:t>FOR SPECIFIC LEGAL ADVICE FOR A PROJECT.</w:t>
    </w:r>
  </w:p>
  <w:p w:rsidR="00021744" w:rsidRPr="00021744" w:rsidRDefault="0002174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86980"/>
    <w:multiLevelType w:val="singleLevel"/>
    <w:tmpl w:val="4050979A"/>
    <w:lvl w:ilvl="0">
      <w:start w:val="5"/>
      <w:numFmt w:val="lowerLetter"/>
      <w:lvlText w:val="%1)"/>
      <w:legacy w:legacy="1" w:legacySpace="0" w:legacyIndent="360"/>
      <w:lvlJc w:val="left"/>
    </w:lvl>
  </w:abstractNum>
  <w:abstractNum w:abstractNumId="2">
    <w:nsid w:val="19BE3588"/>
    <w:multiLevelType w:val="singleLevel"/>
    <w:tmpl w:val="BF56C906"/>
    <w:lvl w:ilvl="0">
      <w:start w:val="6"/>
      <w:numFmt w:val="lowerRoman"/>
      <w:lvlText w:val="(%1)"/>
      <w:lvlJc w:val="left"/>
      <w:pPr>
        <w:tabs>
          <w:tab w:val="num" w:pos="1296"/>
        </w:tabs>
        <w:ind w:left="1296" w:hanging="720"/>
      </w:pPr>
      <w:rPr>
        <w:rFonts w:hint="default"/>
      </w:rPr>
    </w:lvl>
  </w:abstractNum>
  <w:abstractNum w:abstractNumId="3">
    <w:nsid w:val="34393700"/>
    <w:multiLevelType w:val="singleLevel"/>
    <w:tmpl w:val="A2680C8E"/>
    <w:lvl w:ilvl="0">
      <w:start w:val="1"/>
      <w:numFmt w:val="decimal"/>
      <w:lvlText w:val="%1."/>
      <w:legacy w:legacy="1" w:legacySpace="0" w:legacyIndent="360"/>
      <w:lvlJc w:val="left"/>
      <w:pPr>
        <w:ind w:left="360" w:hanging="360"/>
      </w:pPr>
    </w:lvl>
  </w:abstractNum>
  <w:abstractNum w:abstractNumId="4">
    <w:nsid w:val="59235497"/>
    <w:multiLevelType w:val="singleLevel"/>
    <w:tmpl w:val="A2680C8E"/>
    <w:lvl w:ilvl="0">
      <w:start w:val="1"/>
      <w:numFmt w:val="decimal"/>
      <w:lvlText w:val="%1."/>
      <w:legacy w:legacy="1" w:legacySpace="0" w:legacyIndent="360"/>
      <w:lvlJc w:val="left"/>
      <w:pPr>
        <w:ind w:left="360" w:hanging="360"/>
      </w:pPr>
    </w:lvl>
  </w:abstractNum>
  <w:abstractNum w:abstractNumId="5">
    <w:nsid w:val="785D471F"/>
    <w:multiLevelType w:val="singleLevel"/>
    <w:tmpl w:val="82465A8A"/>
    <w:lvl w:ilvl="0">
      <w:start w:val="1"/>
      <w:numFmt w:val="bullet"/>
      <w:lvlText w:val="-"/>
      <w:lvlJc w:val="left"/>
      <w:pPr>
        <w:tabs>
          <w:tab w:val="num" w:pos="936"/>
        </w:tabs>
        <w:ind w:left="936" w:hanging="360"/>
      </w:pPr>
      <w:rPr>
        <w:rFonts w:ascii="Times New Roman" w:hAnsi="Times New Roman" w:hint="default"/>
      </w:rPr>
    </w:lvl>
  </w:abstractNum>
  <w:abstractNum w:abstractNumId="6">
    <w:nsid w:val="7E205385"/>
    <w:multiLevelType w:val="singleLevel"/>
    <w:tmpl w:val="A2680C8E"/>
    <w:lvl w:ilvl="0">
      <w:start w:val="1"/>
      <w:numFmt w:val="decimal"/>
      <w:lvlText w:val="%1."/>
      <w:legacy w:legacy="1" w:legacySpace="0" w:legacyIndent="360"/>
      <w:lvlJc w:val="left"/>
      <w:pPr>
        <w:ind w:left="720" w:hanging="360"/>
      </w:pPr>
    </w:lvl>
  </w:abstractNum>
  <w:num w:numId="1">
    <w:abstractNumId w:val="6"/>
  </w:num>
  <w:num w:numId="2">
    <w:abstractNumId w:val="0"/>
    <w:lvlOverride w:ilvl="0">
      <w:lvl w:ilvl="0">
        <w:start w:val="1"/>
        <w:numFmt w:val="bullet"/>
        <w:lvlText w:val=""/>
        <w:legacy w:legacy="1" w:legacySpace="0" w:legacyIndent="360"/>
        <w:lvlJc w:val="left"/>
        <w:pPr>
          <w:ind w:left="1282" w:hanging="360"/>
        </w:pPr>
        <w:rPr>
          <w:rFonts w:ascii="Symbol" w:hAnsi="Symbol" w:hint="default"/>
        </w:rPr>
      </w:lvl>
    </w:lvlOverride>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576"/>
  <w:doNotHyphenateCaps/>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021744"/>
    <w:rsid w:val="00021744"/>
    <w:rsid w:val="000B583C"/>
    <w:rsid w:val="00210165"/>
    <w:rsid w:val="003F73D7"/>
    <w:rsid w:val="004F21FB"/>
    <w:rsid w:val="00511F91"/>
    <w:rsid w:val="00640BA8"/>
    <w:rsid w:val="00736AFE"/>
    <w:rsid w:val="007935F4"/>
    <w:rsid w:val="009171F6"/>
    <w:rsid w:val="00A17698"/>
    <w:rsid w:val="00A43262"/>
    <w:rsid w:val="00D46137"/>
    <w:rsid w:val="00D578A0"/>
    <w:rsid w:val="00E4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62"/>
    <w:rPr>
      <w:sz w:val="24"/>
      <w:lang w:val="fr-FR" w:eastAsia="ja-JP"/>
    </w:rPr>
  </w:style>
  <w:style w:type="paragraph" w:styleId="Heading1">
    <w:name w:val="heading 1"/>
    <w:basedOn w:val="Normal"/>
    <w:next w:val="Normal"/>
    <w:qFormat/>
    <w:rsid w:val="00A43262"/>
    <w:pPr>
      <w:keepNext/>
      <w:outlineLvl w:val="0"/>
    </w:pPr>
    <w:rPr>
      <w:rFonts w:ascii="Arial" w:hAnsi="Arial"/>
      <w:i/>
    </w:rPr>
  </w:style>
  <w:style w:type="paragraph" w:styleId="Heading2">
    <w:name w:val="heading 2"/>
    <w:basedOn w:val="Normal"/>
    <w:next w:val="BankNormal"/>
    <w:qFormat/>
    <w:rsid w:val="00A43262"/>
    <w:pPr>
      <w:keepNext/>
      <w:keepLines/>
      <w:widowControl w:val="0"/>
      <w:spacing w:before="120" w:after="240"/>
      <w:ind w:left="720" w:hanging="720"/>
      <w:outlineLvl w:val="1"/>
    </w:pPr>
    <w:rPr>
      <w:rFonts w:ascii="Arial" w:hAnsi="Arial"/>
      <w:b/>
      <w:smallCaps/>
    </w:rPr>
  </w:style>
  <w:style w:type="paragraph" w:styleId="Heading3">
    <w:name w:val="heading 3"/>
    <w:basedOn w:val="Normal"/>
    <w:next w:val="BankNormal"/>
    <w:qFormat/>
    <w:rsid w:val="00A43262"/>
    <w:pPr>
      <w:keepNext/>
      <w:keepLines/>
      <w:widowControl w:val="0"/>
      <w:spacing w:before="120" w:after="240"/>
      <w:ind w:left="1440" w:hanging="720"/>
      <w:outlineLvl w:val="2"/>
    </w:pPr>
    <w:rPr>
      <w:rFonts w:ascii="Arial" w:hAnsi="Arial"/>
      <w:b/>
    </w:rPr>
  </w:style>
  <w:style w:type="paragraph" w:styleId="Heading5">
    <w:name w:val="heading 5"/>
    <w:basedOn w:val="Normal"/>
    <w:next w:val="BankNormal"/>
    <w:qFormat/>
    <w:rsid w:val="00A43262"/>
    <w:pPr>
      <w:widowControl w:val="0"/>
      <w:spacing w:after="240"/>
      <w:ind w:left="288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A43262"/>
    <w:pPr>
      <w:spacing w:before="240"/>
    </w:pPr>
    <w:rPr>
      <w:kern w:val="28"/>
    </w:rPr>
  </w:style>
  <w:style w:type="paragraph" w:customStyle="1" w:styleId="Outline1">
    <w:name w:val="Outline1"/>
    <w:basedOn w:val="Outline"/>
    <w:next w:val="Outline2"/>
    <w:rsid w:val="00A43262"/>
    <w:pPr>
      <w:keepNext/>
      <w:tabs>
        <w:tab w:val="num" w:pos="360"/>
      </w:tabs>
      <w:ind w:left="360" w:hanging="360"/>
    </w:pPr>
  </w:style>
  <w:style w:type="paragraph" w:customStyle="1" w:styleId="Outline2">
    <w:name w:val="Outline2"/>
    <w:basedOn w:val="Normal"/>
    <w:rsid w:val="00A43262"/>
    <w:pPr>
      <w:tabs>
        <w:tab w:val="num" w:pos="864"/>
      </w:tabs>
      <w:spacing w:before="240"/>
      <w:ind w:left="864" w:hanging="504"/>
    </w:pPr>
    <w:rPr>
      <w:kern w:val="28"/>
    </w:rPr>
  </w:style>
  <w:style w:type="paragraph" w:customStyle="1" w:styleId="Outline3">
    <w:name w:val="Outline3"/>
    <w:basedOn w:val="Normal"/>
    <w:rsid w:val="00A43262"/>
    <w:pPr>
      <w:tabs>
        <w:tab w:val="num" w:pos="1368"/>
      </w:tabs>
      <w:spacing w:before="240"/>
      <w:ind w:left="1368" w:hanging="504"/>
    </w:pPr>
    <w:rPr>
      <w:kern w:val="28"/>
    </w:rPr>
  </w:style>
  <w:style w:type="paragraph" w:customStyle="1" w:styleId="Outline4">
    <w:name w:val="Outline4"/>
    <w:basedOn w:val="Normal"/>
    <w:rsid w:val="00A43262"/>
    <w:pPr>
      <w:tabs>
        <w:tab w:val="num" w:pos="1872"/>
      </w:tabs>
      <w:spacing w:before="240"/>
      <w:ind w:left="1872" w:hanging="504"/>
    </w:pPr>
    <w:rPr>
      <w:kern w:val="28"/>
    </w:rPr>
  </w:style>
  <w:style w:type="paragraph" w:customStyle="1" w:styleId="outlinebullet">
    <w:name w:val="outlinebullet"/>
    <w:basedOn w:val="Normal"/>
    <w:rsid w:val="00A43262"/>
    <w:pPr>
      <w:tabs>
        <w:tab w:val="left" w:pos="1440"/>
      </w:tabs>
      <w:spacing w:before="120"/>
      <w:ind w:left="1440" w:hanging="450"/>
    </w:pPr>
  </w:style>
  <w:style w:type="paragraph" w:styleId="ListBullet">
    <w:name w:val="List Bullet"/>
    <w:basedOn w:val="Normal"/>
    <w:rsid w:val="00A43262"/>
    <w:pPr>
      <w:tabs>
        <w:tab w:val="num" w:pos="360"/>
      </w:tabs>
      <w:ind w:left="360" w:hanging="360"/>
    </w:pPr>
  </w:style>
  <w:style w:type="paragraph" w:styleId="BodyText">
    <w:name w:val="Body Text"/>
    <w:basedOn w:val="Normal"/>
    <w:rsid w:val="00A43262"/>
    <w:pPr>
      <w:jc w:val="both"/>
    </w:pPr>
    <w:rPr>
      <w:rFonts w:ascii="Arial" w:hAnsi="Arial"/>
    </w:rPr>
  </w:style>
  <w:style w:type="paragraph" w:styleId="BodyText2">
    <w:name w:val="Body Text 2"/>
    <w:basedOn w:val="Normal"/>
    <w:rsid w:val="00A432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260" w:hanging="720"/>
      <w:jc w:val="both"/>
    </w:pPr>
    <w:rPr>
      <w:u w:val="single"/>
    </w:rPr>
  </w:style>
  <w:style w:type="paragraph" w:styleId="Title">
    <w:name w:val="Title"/>
    <w:basedOn w:val="Normal"/>
    <w:qFormat/>
    <w:rsid w:val="00A43262"/>
    <w:pPr>
      <w:jc w:val="center"/>
    </w:pPr>
    <w:rPr>
      <w:rFonts w:ascii="Arial" w:hAnsi="Arial"/>
      <w:b/>
      <w:sz w:val="20"/>
    </w:rPr>
  </w:style>
  <w:style w:type="paragraph" w:styleId="BodyText3">
    <w:name w:val="Body Text 3"/>
    <w:basedOn w:val="Normal"/>
    <w:rsid w:val="00A43262"/>
    <w:pPr>
      <w:jc w:val="both"/>
    </w:pPr>
    <w:rPr>
      <w:rFonts w:ascii="Arial" w:hAnsi="Arial"/>
      <w:color w:val="000000"/>
      <w:sz w:val="20"/>
    </w:rPr>
  </w:style>
  <w:style w:type="paragraph" w:customStyle="1" w:styleId="BankNormal">
    <w:name w:val="BankNormal"/>
    <w:basedOn w:val="Normal"/>
    <w:rsid w:val="00A43262"/>
    <w:pPr>
      <w:widowControl w:val="0"/>
      <w:spacing w:after="240"/>
    </w:pPr>
  </w:style>
  <w:style w:type="paragraph" w:styleId="BodyTextIndent2">
    <w:name w:val="Body Text Indent 2"/>
    <w:basedOn w:val="Normal"/>
    <w:rsid w:val="00A43262"/>
    <w:pPr>
      <w:tabs>
        <w:tab w:val="left" w:pos="540"/>
      </w:tabs>
      <w:ind w:left="687" w:hanging="687"/>
      <w:jc w:val="both"/>
    </w:pPr>
  </w:style>
  <w:style w:type="paragraph" w:styleId="BodyTextIndent3">
    <w:name w:val="Body Text Indent 3"/>
    <w:basedOn w:val="Normal"/>
    <w:rsid w:val="00A43262"/>
    <w:pPr>
      <w:widowControl w:val="0"/>
      <w:ind w:left="1440" w:hanging="720"/>
      <w:jc w:val="both"/>
    </w:pPr>
    <w:rPr>
      <w:u w:val="single"/>
    </w:rPr>
  </w:style>
  <w:style w:type="paragraph" w:customStyle="1" w:styleId="ChapterNumber">
    <w:name w:val="ChapterNumber"/>
    <w:basedOn w:val="Normal"/>
    <w:next w:val="Normal"/>
    <w:rsid w:val="00A43262"/>
    <w:pPr>
      <w:widowControl w:val="0"/>
      <w:spacing w:after="360"/>
    </w:pPr>
  </w:style>
  <w:style w:type="paragraph" w:styleId="Footer">
    <w:name w:val="footer"/>
    <w:basedOn w:val="Normal"/>
    <w:link w:val="FooterChar"/>
    <w:uiPriority w:val="99"/>
    <w:rsid w:val="00A43262"/>
    <w:pPr>
      <w:tabs>
        <w:tab w:val="center" w:pos="4320"/>
        <w:tab w:val="right" w:pos="8640"/>
      </w:tabs>
    </w:pPr>
  </w:style>
  <w:style w:type="character" w:styleId="PageNumber">
    <w:name w:val="page number"/>
    <w:basedOn w:val="DefaultParagraphFont"/>
    <w:rsid w:val="00A43262"/>
  </w:style>
  <w:style w:type="paragraph" w:styleId="BodyTextIndent">
    <w:name w:val="Body Text Indent"/>
    <w:basedOn w:val="Normal"/>
    <w:rsid w:val="00A43262"/>
    <w:pPr>
      <w:spacing w:before="60"/>
      <w:ind w:firstLine="576"/>
      <w:jc w:val="both"/>
    </w:pPr>
    <w:rPr>
      <w:rFonts w:ascii="Arial" w:hAnsi="Arial"/>
      <w:sz w:val="20"/>
    </w:rPr>
  </w:style>
  <w:style w:type="paragraph" w:styleId="Header">
    <w:name w:val="header"/>
    <w:basedOn w:val="Normal"/>
    <w:link w:val="HeaderChar"/>
    <w:rsid w:val="00021744"/>
    <w:pPr>
      <w:tabs>
        <w:tab w:val="center" w:pos="4680"/>
        <w:tab w:val="right" w:pos="9360"/>
      </w:tabs>
    </w:pPr>
  </w:style>
  <w:style w:type="character" w:customStyle="1" w:styleId="HeaderChar">
    <w:name w:val="Header Char"/>
    <w:basedOn w:val="DefaultParagraphFont"/>
    <w:link w:val="Header"/>
    <w:rsid w:val="00021744"/>
    <w:rPr>
      <w:sz w:val="24"/>
      <w:lang w:val="fr-FR" w:eastAsia="ja-JP"/>
    </w:rPr>
  </w:style>
  <w:style w:type="paragraph" w:styleId="BalloonText">
    <w:name w:val="Balloon Text"/>
    <w:basedOn w:val="Normal"/>
    <w:link w:val="BalloonTextChar"/>
    <w:rsid w:val="00021744"/>
    <w:rPr>
      <w:rFonts w:ascii="Tahoma" w:hAnsi="Tahoma" w:cs="Tahoma"/>
      <w:sz w:val="16"/>
      <w:szCs w:val="16"/>
    </w:rPr>
  </w:style>
  <w:style w:type="character" w:customStyle="1" w:styleId="BalloonTextChar">
    <w:name w:val="Balloon Text Char"/>
    <w:basedOn w:val="DefaultParagraphFont"/>
    <w:link w:val="BalloonText"/>
    <w:rsid w:val="00021744"/>
    <w:rPr>
      <w:rFonts w:ascii="Tahoma" w:hAnsi="Tahoma" w:cs="Tahoma"/>
      <w:sz w:val="16"/>
      <w:szCs w:val="16"/>
      <w:lang w:val="fr-FR" w:eastAsia="ja-JP"/>
    </w:rPr>
  </w:style>
  <w:style w:type="character" w:styleId="Hyperlink">
    <w:name w:val="Hyperlink"/>
    <w:basedOn w:val="DefaultParagraphFont"/>
    <w:rsid w:val="00021744"/>
    <w:rPr>
      <w:color w:val="0000FF"/>
      <w:u w:val="single"/>
    </w:rPr>
  </w:style>
  <w:style w:type="character" w:customStyle="1" w:styleId="FooterChar">
    <w:name w:val="Footer Char"/>
    <w:basedOn w:val="DefaultParagraphFont"/>
    <w:link w:val="Footer"/>
    <w:uiPriority w:val="99"/>
    <w:rsid w:val="00021744"/>
    <w:rPr>
      <w:sz w:val="24"/>
      <w:lang w:val="fr-FR"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TERMS OF REFERENCE</vt:lpstr>
    </vt:vector>
  </TitlesOfParts>
  <Company>The World Bank Group</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World Bank User</dc:creator>
  <cp:lastModifiedBy>wb22353</cp:lastModifiedBy>
  <cp:revision>2</cp:revision>
  <cp:lastPrinted>2010-01-13T17:26:00Z</cp:lastPrinted>
  <dcterms:created xsi:type="dcterms:W3CDTF">2012-01-24T19:46:00Z</dcterms:created>
  <dcterms:modified xsi:type="dcterms:W3CDTF">2012-01-24T19:46:00Z</dcterms:modified>
</cp:coreProperties>
</file>