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B3656" w14:textId="1A377A19" w:rsidR="0031204A" w:rsidRPr="00BC66F9" w:rsidRDefault="00000EC4">
      <w:pPr>
        <w:jc w:val="right"/>
        <w:rPr>
          <w:lang w:val="es-ES"/>
        </w:rPr>
      </w:pPr>
      <w:bookmarkStart w:id="0" w:name="_GoBack"/>
      <w:bookmarkEnd w:id="0"/>
      <w:r>
        <w:rPr>
          <w:noProof/>
          <w:lang w:val="en-US"/>
        </w:rPr>
        <mc:AlternateContent>
          <mc:Choice Requires="wps">
            <w:drawing>
              <wp:anchor distT="0" distB="0" distL="114300" distR="114300" simplePos="0" relativeHeight="251658240" behindDoc="1" locked="0" layoutInCell="1" allowOverlap="1" wp14:anchorId="38FA07DC" wp14:editId="573AEDA5">
                <wp:simplePos x="0" y="0"/>
                <wp:positionH relativeFrom="column">
                  <wp:posOffset>-727710</wp:posOffset>
                </wp:positionH>
                <wp:positionV relativeFrom="paragraph">
                  <wp:posOffset>1281430</wp:posOffset>
                </wp:positionV>
                <wp:extent cx="6858000" cy="4410075"/>
                <wp:effectExtent l="0" t="0" r="0" b="0"/>
                <wp:wrapNone/>
                <wp:docPr id="5" name="Text Box 122"/>
                <wp:cNvGraphicFramePr/>
                <a:graphic xmlns:a="http://schemas.openxmlformats.org/drawingml/2006/main">
                  <a:graphicData uri="http://schemas.microsoft.com/office/word/2010/wordprocessingShape">
                    <wps:wsp>
                      <wps:cNvSpPr txBox="1"/>
                      <wps:spPr>
                        <a:xfrm>
                          <a:off x="0" y="0"/>
                          <a:ext cx="6858000" cy="4410075"/>
                        </a:xfrm>
                        <a:prstGeom prst="rect">
                          <a:avLst/>
                        </a:prstGeom>
                      </wps:spPr>
                      <wps:txbx>
                        <w:txbxContent>
                          <w:p w14:paraId="1EEDB9C0" w14:textId="201CDB71" w:rsidR="00A06D5C" w:rsidRPr="00586EC3" w:rsidRDefault="00A06D5C">
                            <w:pPr>
                              <w:pStyle w:val="NoSpacing"/>
                              <w:pBdr>
                                <w:bottom w:val="single" w:sz="6" w:space="4" w:color="7F7F7F"/>
                              </w:pBdr>
                              <w:rPr>
                                <w:lang w:val="es-ES"/>
                              </w:rPr>
                            </w:pPr>
                            <w:r>
                              <w:rPr>
                                <w:rFonts w:ascii="Calibri Light" w:hAnsi="Calibri Light"/>
                                <w:color w:val="002B7F"/>
                                <w:sz w:val="72"/>
                                <w:szCs w:val="108"/>
                                <w:lang w:val="es-ES"/>
                              </w:rPr>
                              <w:t>Programa de Normas y Etiquetado de Eficiencia Energética de Panamá – Productos de Iluminación</w:t>
                            </w:r>
                          </w:p>
                          <w:p w14:paraId="3A083F6F" w14:textId="29AB82DD" w:rsidR="00A06D5C" w:rsidRDefault="00A06D5C">
                            <w:pPr>
                              <w:pStyle w:val="NoSpacing"/>
                              <w:spacing w:before="240"/>
                              <w:rPr>
                                <w:caps/>
                                <w:color w:val="87AF00"/>
                                <w:sz w:val="36"/>
                                <w:szCs w:val="36"/>
                                <w:lang w:val="es-PA"/>
                              </w:rPr>
                            </w:pPr>
                            <w:r w:rsidRPr="0041172D">
                              <w:rPr>
                                <w:caps/>
                                <w:color w:val="87AF00"/>
                                <w:sz w:val="36"/>
                                <w:szCs w:val="36"/>
                                <w:lang w:val="es-PA"/>
                              </w:rPr>
                              <w:t xml:space="preserve">informe </w:t>
                            </w:r>
                            <w:r>
                              <w:rPr>
                                <w:caps/>
                                <w:color w:val="87AF00"/>
                                <w:sz w:val="36"/>
                                <w:szCs w:val="36"/>
                                <w:lang w:val="es-PA"/>
                              </w:rPr>
                              <w:t xml:space="preserve">FINAL (Borrador)  </w:t>
                            </w:r>
                          </w:p>
                          <w:p w14:paraId="1D1D864B" w14:textId="20B97880" w:rsidR="00A06D5C" w:rsidRPr="0041172D" w:rsidRDefault="00A06D5C">
                            <w:pPr>
                              <w:pStyle w:val="NoSpacing"/>
                              <w:spacing w:before="240"/>
                              <w:rPr>
                                <w:caps/>
                                <w:color w:val="87AF00"/>
                                <w:sz w:val="24"/>
                                <w:szCs w:val="24"/>
                                <w:lang w:val="es-PA"/>
                              </w:rPr>
                            </w:pPr>
                            <w:r w:rsidRPr="0041172D">
                              <w:rPr>
                                <w:caps/>
                                <w:color w:val="87AF00"/>
                                <w:sz w:val="24"/>
                                <w:szCs w:val="24"/>
                                <w:lang w:val="es-PA"/>
                              </w:rPr>
                              <w:t xml:space="preserve">preparado por: </w:t>
                            </w:r>
                            <w:r>
                              <w:rPr>
                                <w:caps/>
                                <w:color w:val="87AF00"/>
                                <w:sz w:val="24"/>
                                <w:szCs w:val="24"/>
                                <w:lang w:val="es-PA"/>
                              </w:rPr>
                              <w:t>W</w:t>
                            </w:r>
                            <w:r w:rsidRPr="004A035B">
                              <w:rPr>
                                <w:caps/>
                                <w:color w:val="87AF00"/>
                                <w:sz w:val="24"/>
                                <w:szCs w:val="24"/>
                                <w:lang w:val="es-PA"/>
                              </w:rPr>
                              <w:t>olf</w:t>
                            </w:r>
                            <w:r>
                              <w:rPr>
                                <w:caps/>
                                <w:color w:val="87AF00"/>
                                <w:sz w:val="24"/>
                                <w:szCs w:val="24"/>
                                <w:lang w:val="es-PA"/>
                              </w:rPr>
                              <w:t xml:space="preserve">gang F. Lutz, </w:t>
                            </w:r>
                            <w:r w:rsidRPr="0041172D">
                              <w:rPr>
                                <w:caps/>
                                <w:color w:val="87AF00"/>
                                <w:sz w:val="24"/>
                                <w:szCs w:val="24"/>
                                <w:lang w:val="es-PA"/>
                              </w:rPr>
                              <w:t>consultor</w:t>
                            </w:r>
                            <w:r>
                              <w:rPr>
                                <w:caps/>
                                <w:color w:val="87AF00"/>
                                <w:sz w:val="24"/>
                                <w:szCs w:val="24"/>
                                <w:lang w:val="es-PA"/>
                              </w:rPr>
                              <w:t xml:space="preserve"> </w:t>
                            </w:r>
                            <w:r w:rsidRPr="00F4215C">
                              <w:rPr>
                                <w:caps/>
                                <w:color w:val="87AF00"/>
                                <w:sz w:val="24"/>
                                <w:szCs w:val="24"/>
                                <w:lang w:val="es-PA"/>
                              </w:rPr>
                              <w:t>–</w:t>
                            </w:r>
                            <w:r>
                              <w:rPr>
                                <w:caps/>
                                <w:color w:val="87AF00"/>
                                <w:sz w:val="24"/>
                                <w:szCs w:val="24"/>
                                <w:lang w:val="es-PA"/>
                              </w:rPr>
                              <w:t xml:space="preserve"> Abril de 2018</w:t>
                            </w:r>
                          </w:p>
                          <w:p w14:paraId="2544789B" w14:textId="77777777" w:rsidR="00A06D5C" w:rsidRPr="0041172D" w:rsidRDefault="00A06D5C">
                            <w:pPr>
                              <w:pStyle w:val="NoSpacing"/>
                              <w:spacing w:before="240"/>
                              <w:rPr>
                                <w:caps/>
                                <w:color w:val="87AF00"/>
                                <w:sz w:val="36"/>
                                <w:szCs w:val="36"/>
                                <w:lang w:val="es-PA"/>
                              </w:rPr>
                            </w:pPr>
                          </w:p>
                          <w:p w14:paraId="7543171D" w14:textId="77777777" w:rsidR="00A06D5C" w:rsidRPr="0041172D" w:rsidRDefault="00A06D5C">
                            <w:pPr>
                              <w:pStyle w:val="NoSpacing"/>
                              <w:spacing w:before="240"/>
                              <w:rPr>
                                <w:caps/>
                                <w:color w:val="87AF00"/>
                                <w:sz w:val="36"/>
                                <w:szCs w:val="36"/>
                                <w:lang w:val="es-PA"/>
                              </w:rPr>
                            </w:pPr>
                          </w:p>
                          <w:p w14:paraId="29DAB5FD" w14:textId="77777777" w:rsidR="00A06D5C" w:rsidRPr="0041172D" w:rsidRDefault="00A06D5C">
                            <w:pPr>
                              <w:pStyle w:val="NoSpacing"/>
                              <w:spacing w:before="240"/>
                              <w:rPr>
                                <w:caps/>
                                <w:color w:val="87AF00"/>
                                <w:sz w:val="36"/>
                                <w:szCs w:val="36"/>
                                <w:lang w:val="es-PA"/>
                              </w:rPr>
                            </w:pPr>
                          </w:p>
                          <w:tbl>
                            <w:tblPr>
                              <w:tblW w:w="4802" w:type="pct"/>
                              <w:tblCellMar>
                                <w:left w:w="10" w:type="dxa"/>
                                <w:right w:w="10" w:type="dxa"/>
                              </w:tblCellMar>
                              <w:tblLook w:val="0000" w:firstRow="0" w:lastRow="0" w:firstColumn="0" w:lastColumn="0" w:noHBand="0" w:noVBand="0"/>
                            </w:tblPr>
                            <w:tblGrid>
                              <w:gridCol w:w="8989"/>
                            </w:tblGrid>
                            <w:tr w:rsidR="00A06D5C" w:rsidRPr="00914127" w14:paraId="55DD3644" w14:textId="77777777" w:rsidTr="00000EC4">
                              <w:trPr>
                                <w:trHeight w:val="620"/>
                              </w:trPr>
                              <w:tc>
                                <w:tcPr>
                                  <w:tcW w:w="8995" w:type="dxa"/>
                                  <w:shd w:val="clear" w:color="auto" w:fill="auto"/>
                                  <w:tcMar>
                                    <w:top w:w="0" w:type="dxa"/>
                                    <w:left w:w="0" w:type="dxa"/>
                                    <w:bottom w:w="0" w:type="dxa"/>
                                    <w:right w:w="0" w:type="dxa"/>
                                  </w:tcMar>
                                </w:tcPr>
                                <w:p w14:paraId="60847DDB" w14:textId="1D221DB9" w:rsidR="00A06D5C" w:rsidRPr="00000EC4" w:rsidRDefault="00A06D5C" w:rsidP="00000EC4">
                                  <w:pPr>
                                    <w:rPr>
                                      <w:b/>
                                      <w:sz w:val="24"/>
                                      <w:lang w:val="es-ES"/>
                                    </w:rPr>
                                  </w:pPr>
                                </w:p>
                              </w:tc>
                            </w:tr>
                            <w:tr w:rsidR="00A06D5C" w:rsidRPr="00E55A3B" w14:paraId="47884D60" w14:textId="77777777" w:rsidTr="00000EC4">
                              <w:trPr>
                                <w:trHeight w:val="620"/>
                              </w:trPr>
                              <w:tc>
                                <w:tcPr>
                                  <w:tcW w:w="8995" w:type="dxa"/>
                                  <w:shd w:val="clear" w:color="auto" w:fill="auto"/>
                                  <w:tcMar>
                                    <w:top w:w="0" w:type="dxa"/>
                                    <w:left w:w="0" w:type="dxa"/>
                                    <w:bottom w:w="0" w:type="dxa"/>
                                    <w:right w:w="0" w:type="dxa"/>
                                  </w:tcMar>
                                </w:tcPr>
                                <w:p w14:paraId="522A9AFA" w14:textId="00A62E6D" w:rsidR="00A06D5C" w:rsidRPr="003E0799" w:rsidRDefault="00A06D5C" w:rsidP="004A035B">
                                  <w:pPr>
                                    <w:rPr>
                                      <w:lang w:val="es-ES"/>
                                    </w:rPr>
                                  </w:pPr>
                                  <w:r w:rsidRPr="00E55A3B">
                                    <w:rPr>
                                      <w:lang w:val="es-ES"/>
                                    </w:rPr>
                                    <w:t>Preparado para:</w:t>
                                  </w:r>
                                  <w:r>
                                    <w:rPr>
                                      <w:lang w:val="es-ES"/>
                                    </w:rPr>
                                    <w:t xml:space="preserve"> </w:t>
                                  </w:r>
                                </w:p>
                              </w:tc>
                            </w:tr>
                          </w:tbl>
                          <w:p w14:paraId="2277A446" w14:textId="77777777" w:rsidR="00A06D5C" w:rsidRDefault="00A06D5C">
                            <w:pPr>
                              <w:pStyle w:val="NoSpacing"/>
                              <w:spacing w:before="240"/>
                            </w:pPr>
                          </w:p>
                        </w:txbxContent>
                      </wps:txbx>
                      <wps:bodyPr vert="horz" wrap="square" lIns="457200" tIns="457200" rIns="457200" bIns="457200" anchor="b" anchorCtr="0" compatLnSpc="1">
                        <a:noAutofit/>
                      </wps:bodyPr>
                    </wps:wsp>
                  </a:graphicData>
                </a:graphic>
                <wp14:sizeRelV relativeFrom="margin">
                  <wp14:pctHeight>0</wp14:pctHeight>
                </wp14:sizeRelV>
              </wp:anchor>
            </w:drawing>
          </mc:Choice>
          <mc:Fallback>
            <w:pict>
              <v:shapetype w14:anchorId="38FA07DC" id="_x0000_t202" coordsize="21600,21600" o:spt="202" path="m,l,21600r21600,l21600,xe">
                <v:stroke joinstyle="miter"/>
                <v:path gradientshapeok="t" o:connecttype="rect"/>
              </v:shapetype>
              <v:shape id="Text Box 122" o:spid="_x0000_s1026" type="#_x0000_t202" style="position:absolute;left:0;text-align:left;margin-left:-57.3pt;margin-top:100.9pt;width:540pt;height:347.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" filled="f" stroked="f">
                <v:textbox inset="36pt,36pt,36pt,36pt">
                  <w:txbxContent>
                    <w:p w14:paraId="1EEDB9C0" w14:textId="201CDB71" w:rsidR="00A06D5C" w:rsidRPr="00586EC3" w:rsidRDefault="00A06D5C">
                      <w:pPr>
                        <w:pStyle w:val="NoSpacing"/>
                        <w:pBdr>
                          <w:bottom w:val="single" w:sz="6" w:space="4" w:color="7F7F7F"/>
                        </w:pBdr>
                        <w:rPr>
                          <w:lang w:val="es-ES"/>
                        </w:rPr>
                      </w:pPr>
                      <w:r>
                        <w:rPr>
                          <w:rFonts w:ascii="Calibri Light" w:hAnsi="Calibri Light"/>
                          <w:color w:val="002B7F"/>
                          <w:sz w:val="72"/>
                          <w:szCs w:val="108"/>
                          <w:lang w:val="es-ES"/>
                        </w:rPr>
                        <w:t>Programa de Normas y Etiquetado de Eficiencia Energética de Panamá – Productos de Iluminación</w:t>
                      </w:r>
                    </w:p>
                    <w:p w14:paraId="3A083F6F" w14:textId="29AB82DD" w:rsidR="00A06D5C" w:rsidRDefault="00A06D5C">
                      <w:pPr>
                        <w:pStyle w:val="NoSpacing"/>
                        <w:spacing w:before="240"/>
                        <w:rPr>
                          <w:caps/>
                          <w:color w:val="87AF00"/>
                          <w:sz w:val="36"/>
                          <w:szCs w:val="36"/>
                          <w:lang w:val="es-PA"/>
                        </w:rPr>
                      </w:pPr>
                      <w:r w:rsidRPr="0041172D">
                        <w:rPr>
                          <w:caps/>
                          <w:color w:val="87AF00"/>
                          <w:sz w:val="36"/>
                          <w:szCs w:val="36"/>
                          <w:lang w:val="es-PA"/>
                        </w:rPr>
                        <w:t xml:space="preserve">informe </w:t>
                      </w:r>
                      <w:r>
                        <w:rPr>
                          <w:caps/>
                          <w:color w:val="87AF00"/>
                          <w:sz w:val="36"/>
                          <w:szCs w:val="36"/>
                          <w:lang w:val="es-PA"/>
                        </w:rPr>
                        <w:t xml:space="preserve">FINAL (Borrador)  </w:t>
                      </w:r>
                    </w:p>
                    <w:p w14:paraId="1D1D864B" w14:textId="20B97880" w:rsidR="00A06D5C" w:rsidRPr="0041172D" w:rsidRDefault="00A06D5C">
                      <w:pPr>
                        <w:pStyle w:val="NoSpacing"/>
                        <w:spacing w:before="240"/>
                        <w:rPr>
                          <w:caps/>
                          <w:color w:val="87AF00"/>
                          <w:sz w:val="24"/>
                          <w:szCs w:val="24"/>
                          <w:lang w:val="es-PA"/>
                        </w:rPr>
                      </w:pPr>
                      <w:r w:rsidRPr="0041172D">
                        <w:rPr>
                          <w:caps/>
                          <w:color w:val="87AF00"/>
                          <w:sz w:val="24"/>
                          <w:szCs w:val="24"/>
                          <w:lang w:val="es-PA"/>
                        </w:rPr>
                        <w:t xml:space="preserve">preparado por: </w:t>
                      </w:r>
                      <w:r>
                        <w:rPr>
                          <w:caps/>
                          <w:color w:val="87AF00"/>
                          <w:sz w:val="24"/>
                          <w:szCs w:val="24"/>
                          <w:lang w:val="es-PA"/>
                        </w:rPr>
                        <w:t>W</w:t>
                      </w:r>
                      <w:r w:rsidRPr="004A035B">
                        <w:rPr>
                          <w:caps/>
                          <w:color w:val="87AF00"/>
                          <w:sz w:val="24"/>
                          <w:szCs w:val="24"/>
                          <w:lang w:val="es-PA"/>
                        </w:rPr>
                        <w:t>olf</w:t>
                      </w:r>
                      <w:r>
                        <w:rPr>
                          <w:caps/>
                          <w:color w:val="87AF00"/>
                          <w:sz w:val="24"/>
                          <w:szCs w:val="24"/>
                          <w:lang w:val="es-PA"/>
                        </w:rPr>
                        <w:t xml:space="preserve">gang F. Lutz, </w:t>
                      </w:r>
                      <w:r w:rsidRPr="0041172D">
                        <w:rPr>
                          <w:caps/>
                          <w:color w:val="87AF00"/>
                          <w:sz w:val="24"/>
                          <w:szCs w:val="24"/>
                          <w:lang w:val="es-PA"/>
                        </w:rPr>
                        <w:t>consultor</w:t>
                      </w:r>
                      <w:r>
                        <w:rPr>
                          <w:caps/>
                          <w:color w:val="87AF00"/>
                          <w:sz w:val="24"/>
                          <w:szCs w:val="24"/>
                          <w:lang w:val="es-PA"/>
                        </w:rPr>
                        <w:t xml:space="preserve"> </w:t>
                      </w:r>
                      <w:r w:rsidRPr="00F4215C">
                        <w:rPr>
                          <w:caps/>
                          <w:color w:val="87AF00"/>
                          <w:sz w:val="24"/>
                          <w:szCs w:val="24"/>
                          <w:lang w:val="es-PA"/>
                        </w:rPr>
                        <w:t>–</w:t>
                      </w:r>
                      <w:r>
                        <w:rPr>
                          <w:caps/>
                          <w:color w:val="87AF00"/>
                          <w:sz w:val="24"/>
                          <w:szCs w:val="24"/>
                          <w:lang w:val="es-PA"/>
                        </w:rPr>
                        <w:t xml:space="preserve"> Abril de 2018</w:t>
                      </w:r>
                    </w:p>
                    <w:p w14:paraId="2544789B" w14:textId="77777777" w:rsidR="00A06D5C" w:rsidRPr="0041172D" w:rsidRDefault="00A06D5C">
                      <w:pPr>
                        <w:pStyle w:val="NoSpacing"/>
                        <w:spacing w:before="240"/>
                        <w:rPr>
                          <w:caps/>
                          <w:color w:val="87AF00"/>
                          <w:sz w:val="36"/>
                          <w:szCs w:val="36"/>
                          <w:lang w:val="es-PA"/>
                        </w:rPr>
                      </w:pPr>
                    </w:p>
                    <w:p w14:paraId="7543171D" w14:textId="77777777" w:rsidR="00A06D5C" w:rsidRPr="0041172D" w:rsidRDefault="00A06D5C">
                      <w:pPr>
                        <w:pStyle w:val="NoSpacing"/>
                        <w:spacing w:before="240"/>
                        <w:rPr>
                          <w:caps/>
                          <w:color w:val="87AF00"/>
                          <w:sz w:val="36"/>
                          <w:szCs w:val="36"/>
                          <w:lang w:val="es-PA"/>
                        </w:rPr>
                      </w:pPr>
                    </w:p>
                    <w:p w14:paraId="29DAB5FD" w14:textId="77777777" w:rsidR="00A06D5C" w:rsidRPr="0041172D" w:rsidRDefault="00A06D5C">
                      <w:pPr>
                        <w:pStyle w:val="NoSpacing"/>
                        <w:spacing w:before="240"/>
                        <w:rPr>
                          <w:caps/>
                          <w:color w:val="87AF00"/>
                          <w:sz w:val="36"/>
                          <w:szCs w:val="36"/>
                          <w:lang w:val="es-PA"/>
                        </w:rPr>
                      </w:pPr>
                    </w:p>
                    <w:tbl>
                      <w:tblPr>
                        <w:tblW w:w="4802" w:type="pct"/>
                        <w:tblCellMar>
                          <w:left w:w="10" w:type="dxa"/>
                          <w:right w:w="10" w:type="dxa"/>
                        </w:tblCellMar>
                        <w:tblLook w:val="0000" w:firstRow="0" w:lastRow="0" w:firstColumn="0" w:lastColumn="0" w:noHBand="0" w:noVBand="0"/>
                      </w:tblPr>
                      <w:tblGrid>
                        <w:gridCol w:w="8989"/>
                      </w:tblGrid>
                      <w:tr w:rsidR="00A06D5C" w:rsidRPr="00914127" w14:paraId="55DD3644" w14:textId="77777777" w:rsidTr="00000EC4">
                        <w:trPr>
                          <w:trHeight w:val="620"/>
                        </w:trPr>
                        <w:tc>
                          <w:tcPr>
                            <w:tcW w:w="8995" w:type="dxa"/>
                            <w:shd w:val="clear" w:color="auto" w:fill="auto"/>
                            <w:tcMar>
                              <w:top w:w="0" w:type="dxa"/>
                              <w:left w:w="0" w:type="dxa"/>
                              <w:bottom w:w="0" w:type="dxa"/>
                              <w:right w:w="0" w:type="dxa"/>
                            </w:tcMar>
                          </w:tcPr>
                          <w:p w14:paraId="60847DDB" w14:textId="1D221DB9" w:rsidR="00A06D5C" w:rsidRPr="00000EC4" w:rsidRDefault="00A06D5C" w:rsidP="00000EC4">
                            <w:pPr>
                              <w:rPr>
                                <w:b/>
                                <w:sz w:val="24"/>
                                <w:lang w:val="es-ES"/>
                              </w:rPr>
                            </w:pPr>
                          </w:p>
                        </w:tc>
                      </w:tr>
                      <w:tr w:rsidR="00A06D5C" w:rsidRPr="00E55A3B" w14:paraId="47884D60" w14:textId="77777777" w:rsidTr="00000EC4">
                        <w:trPr>
                          <w:trHeight w:val="620"/>
                        </w:trPr>
                        <w:tc>
                          <w:tcPr>
                            <w:tcW w:w="8995" w:type="dxa"/>
                            <w:shd w:val="clear" w:color="auto" w:fill="auto"/>
                            <w:tcMar>
                              <w:top w:w="0" w:type="dxa"/>
                              <w:left w:w="0" w:type="dxa"/>
                              <w:bottom w:w="0" w:type="dxa"/>
                              <w:right w:w="0" w:type="dxa"/>
                            </w:tcMar>
                          </w:tcPr>
                          <w:p w14:paraId="522A9AFA" w14:textId="00A62E6D" w:rsidR="00A06D5C" w:rsidRPr="003E0799" w:rsidRDefault="00A06D5C" w:rsidP="004A035B">
                            <w:pPr>
                              <w:rPr>
                                <w:lang w:val="es-ES"/>
                              </w:rPr>
                            </w:pPr>
                            <w:r w:rsidRPr="00E55A3B">
                              <w:rPr>
                                <w:lang w:val="es-ES"/>
                              </w:rPr>
                              <w:t>Preparado para:</w:t>
                            </w:r>
                            <w:r>
                              <w:rPr>
                                <w:lang w:val="es-ES"/>
                              </w:rPr>
                              <w:t xml:space="preserve"> </w:t>
                            </w:r>
                          </w:p>
                        </w:tc>
                      </w:tr>
                    </w:tbl>
                    <w:p w14:paraId="2277A446" w14:textId="77777777" w:rsidR="00A06D5C" w:rsidRDefault="00A06D5C">
                      <w:pPr>
                        <w:pStyle w:val="NoSpacing"/>
                        <w:spacing w:before="240"/>
                      </w:pPr>
                    </w:p>
                  </w:txbxContent>
                </v:textbox>
              </v:shape>
            </w:pict>
          </mc:Fallback>
        </mc:AlternateContent>
      </w:r>
      <w:r w:rsidR="00EB4623">
        <w:rPr>
          <w:lang w:val="es-ES"/>
        </w:rPr>
        <w:t xml:space="preserve"> </w:t>
      </w:r>
    </w:p>
    <w:tbl>
      <w:tblPr>
        <w:tblW w:w="4834" w:type="pct"/>
        <w:tblCellMar>
          <w:left w:w="10" w:type="dxa"/>
          <w:right w:w="10" w:type="dxa"/>
        </w:tblCellMar>
        <w:tblLook w:val="0000" w:firstRow="0" w:lastRow="0" w:firstColumn="0" w:lastColumn="0" w:noHBand="0" w:noVBand="0"/>
      </w:tblPr>
      <w:tblGrid>
        <w:gridCol w:w="2549"/>
        <w:gridCol w:w="5673"/>
      </w:tblGrid>
      <w:tr w:rsidR="0031204A" w:rsidRPr="00BC66F9" w14:paraId="4950F558" w14:textId="77777777">
        <w:tc>
          <w:tcPr>
            <w:tcW w:w="2549" w:type="dxa"/>
            <w:shd w:val="clear" w:color="auto" w:fill="auto"/>
            <w:tcMar>
              <w:top w:w="0" w:type="dxa"/>
              <w:left w:w="0" w:type="dxa"/>
              <w:bottom w:w="0" w:type="dxa"/>
              <w:right w:w="0" w:type="dxa"/>
            </w:tcMar>
          </w:tcPr>
          <w:p w14:paraId="2CA07682" w14:textId="77777777" w:rsidR="0031204A" w:rsidRPr="00BC66F9" w:rsidRDefault="0031204A">
            <w:pPr>
              <w:spacing w:before="0" w:after="0"/>
              <w:rPr>
                <w:lang w:val="es-ES"/>
              </w:rPr>
            </w:pPr>
          </w:p>
        </w:tc>
        <w:tc>
          <w:tcPr>
            <w:tcW w:w="5673" w:type="dxa"/>
            <w:shd w:val="clear" w:color="auto" w:fill="auto"/>
            <w:tcMar>
              <w:top w:w="0" w:type="dxa"/>
              <w:left w:w="0" w:type="dxa"/>
              <w:bottom w:w="0" w:type="dxa"/>
              <w:right w:w="0" w:type="dxa"/>
            </w:tcMar>
          </w:tcPr>
          <w:p w14:paraId="22EF16F8" w14:textId="77777777" w:rsidR="0031204A" w:rsidRPr="00BC66F9" w:rsidRDefault="0031204A">
            <w:pPr>
              <w:spacing w:before="0" w:after="0"/>
              <w:rPr>
                <w:lang w:val="es-ES"/>
              </w:rPr>
            </w:pPr>
          </w:p>
        </w:tc>
      </w:tr>
      <w:tr w:rsidR="0031204A" w:rsidRPr="00BC66F9" w14:paraId="302D5B34" w14:textId="77777777">
        <w:tc>
          <w:tcPr>
            <w:tcW w:w="2549" w:type="dxa"/>
            <w:shd w:val="clear" w:color="auto" w:fill="auto"/>
            <w:tcMar>
              <w:top w:w="0" w:type="dxa"/>
              <w:left w:w="0" w:type="dxa"/>
              <w:bottom w:w="0" w:type="dxa"/>
              <w:right w:w="0" w:type="dxa"/>
            </w:tcMar>
          </w:tcPr>
          <w:p w14:paraId="41E11539" w14:textId="77777777" w:rsidR="0031204A" w:rsidRPr="00BC66F9" w:rsidRDefault="0031204A">
            <w:pPr>
              <w:spacing w:before="0" w:after="0"/>
              <w:rPr>
                <w:lang w:val="es-ES"/>
              </w:rPr>
            </w:pPr>
          </w:p>
        </w:tc>
        <w:tc>
          <w:tcPr>
            <w:tcW w:w="5673" w:type="dxa"/>
            <w:shd w:val="clear" w:color="auto" w:fill="auto"/>
            <w:tcMar>
              <w:top w:w="0" w:type="dxa"/>
              <w:left w:w="0" w:type="dxa"/>
              <w:bottom w:w="0" w:type="dxa"/>
              <w:right w:w="0" w:type="dxa"/>
            </w:tcMar>
          </w:tcPr>
          <w:p w14:paraId="72F806E4" w14:textId="77777777" w:rsidR="0031204A" w:rsidRPr="00BC66F9" w:rsidRDefault="0031204A">
            <w:pPr>
              <w:spacing w:before="0" w:after="0"/>
              <w:rPr>
                <w:lang w:val="es-ES"/>
              </w:rPr>
            </w:pPr>
          </w:p>
        </w:tc>
      </w:tr>
      <w:tr w:rsidR="0031204A" w:rsidRPr="00BC66F9" w14:paraId="55DB4EA3" w14:textId="77777777">
        <w:tc>
          <w:tcPr>
            <w:tcW w:w="2549" w:type="dxa"/>
            <w:shd w:val="clear" w:color="auto" w:fill="auto"/>
            <w:tcMar>
              <w:top w:w="0" w:type="dxa"/>
              <w:left w:w="0" w:type="dxa"/>
              <w:bottom w:w="0" w:type="dxa"/>
              <w:right w:w="0" w:type="dxa"/>
            </w:tcMar>
          </w:tcPr>
          <w:p w14:paraId="5710B5D4" w14:textId="77777777" w:rsidR="0031204A" w:rsidRPr="00BC66F9" w:rsidRDefault="0031204A">
            <w:pPr>
              <w:spacing w:before="0" w:after="0"/>
              <w:rPr>
                <w:lang w:val="es-ES"/>
              </w:rPr>
            </w:pPr>
          </w:p>
        </w:tc>
        <w:tc>
          <w:tcPr>
            <w:tcW w:w="5673" w:type="dxa"/>
            <w:shd w:val="clear" w:color="auto" w:fill="auto"/>
            <w:tcMar>
              <w:top w:w="0" w:type="dxa"/>
              <w:left w:w="0" w:type="dxa"/>
              <w:bottom w:w="0" w:type="dxa"/>
              <w:right w:w="0" w:type="dxa"/>
            </w:tcMar>
          </w:tcPr>
          <w:p w14:paraId="371C5AFC" w14:textId="77777777" w:rsidR="0031204A" w:rsidRPr="00BC66F9" w:rsidRDefault="0031204A">
            <w:pPr>
              <w:spacing w:before="0" w:after="0"/>
              <w:rPr>
                <w:lang w:val="es-ES"/>
              </w:rPr>
            </w:pPr>
          </w:p>
        </w:tc>
      </w:tr>
      <w:tr w:rsidR="0031204A" w:rsidRPr="00BC66F9" w14:paraId="4B18FE81" w14:textId="77777777">
        <w:tc>
          <w:tcPr>
            <w:tcW w:w="2549" w:type="dxa"/>
            <w:shd w:val="clear" w:color="auto" w:fill="auto"/>
            <w:tcMar>
              <w:top w:w="0" w:type="dxa"/>
              <w:left w:w="0" w:type="dxa"/>
              <w:bottom w:w="0" w:type="dxa"/>
              <w:right w:w="0" w:type="dxa"/>
            </w:tcMar>
          </w:tcPr>
          <w:p w14:paraId="59649BEE" w14:textId="77777777" w:rsidR="0031204A" w:rsidRPr="00BC66F9" w:rsidRDefault="0031204A">
            <w:pPr>
              <w:spacing w:before="0" w:after="0"/>
              <w:rPr>
                <w:lang w:val="es-ES"/>
              </w:rPr>
            </w:pPr>
          </w:p>
        </w:tc>
        <w:tc>
          <w:tcPr>
            <w:tcW w:w="5673" w:type="dxa"/>
            <w:shd w:val="clear" w:color="auto" w:fill="auto"/>
            <w:tcMar>
              <w:top w:w="0" w:type="dxa"/>
              <w:left w:w="0" w:type="dxa"/>
              <w:bottom w:w="0" w:type="dxa"/>
              <w:right w:w="0" w:type="dxa"/>
            </w:tcMar>
          </w:tcPr>
          <w:p w14:paraId="03BED5B4" w14:textId="77777777" w:rsidR="0031204A" w:rsidRPr="00BC66F9" w:rsidRDefault="0031204A">
            <w:pPr>
              <w:spacing w:before="0" w:after="0"/>
              <w:rPr>
                <w:lang w:val="es-ES"/>
              </w:rPr>
            </w:pPr>
          </w:p>
        </w:tc>
      </w:tr>
      <w:tr w:rsidR="0031204A" w:rsidRPr="00BC66F9" w14:paraId="125DB75F" w14:textId="77777777">
        <w:tc>
          <w:tcPr>
            <w:tcW w:w="2549" w:type="dxa"/>
            <w:shd w:val="clear" w:color="auto" w:fill="auto"/>
            <w:tcMar>
              <w:top w:w="0" w:type="dxa"/>
              <w:left w:w="0" w:type="dxa"/>
              <w:bottom w:w="0" w:type="dxa"/>
              <w:right w:w="0" w:type="dxa"/>
            </w:tcMar>
          </w:tcPr>
          <w:p w14:paraId="18E889D6" w14:textId="77777777" w:rsidR="0031204A" w:rsidRPr="00BC66F9" w:rsidRDefault="0031204A">
            <w:pPr>
              <w:spacing w:before="0" w:after="0"/>
              <w:rPr>
                <w:lang w:val="es-ES"/>
              </w:rPr>
            </w:pPr>
          </w:p>
        </w:tc>
        <w:tc>
          <w:tcPr>
            <w:tcW w:w="5673" w:type="dxa"/>
            <w:shd w:val="clear" w:color="auto" w:fill="auto"/>
            <w:tcMar>
              <w:top w:w="0" w:type="dxa"/>
              <w:left w:w="0" w:type="dxa"/>
              <w:bottom w:w="0" w:type="dxa"/>
              <w:right w:w="0" w:type="dxa"/>
            </w:tcMar>
          </w:tcPr>
          <w:p w14:paraId="2BFC8A98" w14:textId="77777777" w:rsidR="0031204A" w:rsidRPr="00BC66F9" w:rsidRDefault="0031204A">
            <w:pPr>
              <w:spacing w:before="0" w:after="0"/>
              <w:rPr>
                <w:lang w:val="es-ES"/>
              </w:rPr>
            </w:pPr>
          </w:p>
        </w:tc>
      </w:tr>
      <w:tr w:rsidR="0031204A" w:rsidRPr="00BC66F9" w14:paraId="6941E342" w14:textId="77777777">
        <w:tc>
          <w:tcPr>
            <w:tcW w:w="2549" w:type="dxa"/>
            <w:shd w:val="clear" w:color="auto" w:fill="auto"/>
            <w:tcMar>
              <w:top w:w="0" w:type="dxa"/>
              <w:left w:w="0" w:type="dxa"/>
              <w:bottom w:w="0" w:type="dxa"/>
              <w:right w:w="0" w:type="dxa"/>
            </w:tcMar>
          </w:tcPr>
          <w:p w14:paraId="30507C4C" w14:textId="77777777" w:rsidR="0031204A" w:rsidRPr="00BC66F9" w:rsidRDefault="0031204A">
            <w:pPr>
              <w:spacing w:before="0" w:after="0"/>
              <w:rPr>
                <w:lang w:val="es-ES"/>
              </w:rPr>
            </w:pPr>
          </w:p>
        </w:tc>
        <w:tc>
          <w:tcPr>
            <w:tcW w:w="5673" w:type="dxa"/>
            <w:shd w:val="clear" w:color="auto" w:fill="auto"/>
            <w:tcMar>
              <w:top w:w="0" w:type="dxa"/>
              <w:left w:w="0" w:type="dxa"/>
              <w:bottom w:w="0" w:type="dxa"/>
              <w:right w:w="0" w:type="dxa"/>
            </w:tcMar>
          </w:tcPr>
          <w:p w14:paraId="1ABD3FB6" w14:textId="77777777" w:rsidR="0031204A" w:rsidRPr="00BC66F9" w:rsidRDefault="0031204A">
            <w:pPr>
              <w:spacing w:before="0" w:after="0"/>
              <w:rPr>
                <w:lang w:val="es-ES"/>
              </w:rPr>
            </w:pPr>
          </w:p>
        </w:tc>
      </w:tr>
    </w:tbl>
    <w:p w14:paraId="1FB85962" w14:textId="0924499D" w:rsidR="0031204A" w:rsidRDefault="0031204A">
      <w:pPr>
        <w:rPr>
          <w:lang w:val="es-ES"/>
        </w:rPr>
      </w:pPr>
    </w:p>
    <w:p w14:paraId="5028AFC6" w14:textId="09E092EF" w:rsidR="00457533" w:rsidRDefault="00457533">
      <w:pPr>
        <w:rPr>
          <w:lang w:val="es-ES"/>
        </w:rPr>
      </w:pPr>
    </w:p>
    <w:p w14:paraId="07718B9C" w14:textId="4D38FCE2" w:rsidR="00457533" w:rsidRDefault="00457533">
      <w:pPr>
        <w:rPr>
          <w:lang w:val="es-ES"/>
        </w:rPr>
      </w:pPr>
    </w:p>
    <w:p w14:paraId="1E4A5780" w14:textId="21120DB3" w:rsidR="00457533" w:rsidRDefault="00457533">
      <w:pPr>
        <w:rPr>
          <w:lang w:val="es-ES"/>
        </w:rPr>
      </w:pPr>
    </w:p>
    <w:p w14:paraId="4CA46318" w14:textId="30799FFE" w:rsidR="00457533" w:rsidRDefault="00457533">
      <w:pPr>
        <w:rPr>
          <w:lang w:val="es-ES"/>
        </w:rPr>
      </w:pPr>
    </w:p>
    <w:p w14:paraId="44FB9536" w14:textId="60379DFE" w:rsidR="00457533" w:rsidRDefault="00457533">
      <w:pPr>
        <w:rPr>
          <w:lang w:val="es-ES"/>
        </w:rPr>
      </w:pPr>
    </w:p>
    <w:p w14:paraId="50B50B3D" w14:textId="22C63A78" w:rsidR="00457533" w:rsidRDefault="00457533">
      <w:pPr>
        <w:rPr>
          <w:lang w:val="es-ES"/>
        </w:rPr>
      </w:pPr>
    </w:p>
    <w:p w14:paraId="29BDDB99" w14:textId="33BBD997" w:rsidR="00457533" w:rsidRDefault="00457533">
      <w:pPr>
        <w:rPr>
          <w:lang w:val="es-ES"/>
        </w:rPr>
      </w:pPr>
    </w:p>
    <w:p w14:paraId="489749A0" w14:textId="24984986" w:rsidR="00457533" w:rsidRDefault="00457533">
      <w:pPr>
        <w:rPr>
          <w:lang w:val="es-ES"/>
        </w:rPr>
      </w:pPr>
    </w:p>
    <w:p w14:paraId="014963DD" w14:textId="0376A6DB" w:rsidR="00457533" w:rsidRDefault="00457533">
      <w:pPr>
        <w:rPr>
          <w:lang w:val="es-ES"/>
        </w:rPr>
      </w:pPr>
    </w:p>
    <w:p w14:paraId="79EBCDA3" w14:textId="4E9CBF7A" w:rsidR="00457533" w:rsidRDefault="00457533">
      <w:pPr>
        <w:rPr>
          <w:lang w:val="es-ES"/>
        </w:rPr>
      </w:pPr>
    </w:p>
    <w:p w14:paraId="6E6A97BD" w14:textId="644AC92A" w:rsidR="00457533" w:rsidRDefault="00457533">
      <w:pPr>
        <w:rPr>
          <w:lang w:val="es-ES"/>
        </w:rPr>
      </w:pPr>
    </w:p>
    <w:p w14:paraId="24142E4B" w14:textId="5F4DECE9" w:rsidR="00457533" w:rsidRDefault="00457533">
      <w:pPr>
        <w:rPr>
          <w:lang w:val="es-ES"/>
        </w:rPr>
      </w:pPr>
    </w:p>
    <w:p w14:paraId="4B867D56" w14:textId="007639E2" w:rsidR="00457533" w:rsidRDefault="00457533">
      <w:pPr>
        <w:rPr>
          <w:lang w:val="es-ES"/>
        </w:rPr>
      </w:pPr>
    </w:p>
    <w:p w14:paraId="52974C0C" w14:textId="1599FF37" w:rsidR="00457533" w:rsidRDefault="00457533">
      <w:pPr>
        <w:rPr>
          <w:lang w:val="es-ES"/>
        </w:rPr>
      </w:pPr>
    </w:p>
    <w:p w14:paraId="4FE0AF6E" w14:textId="17E8B167" w:rsidR="00457533" w:rsidRDefault="00457533">
      <w:pPr>
        <w:rPr>
          <w:lang w:val="es-ES"/>
        </w:rPr>
      </w:pPr>
    </w:p>
    <w:p w14:paraId="54EA895E" w14:textId="7F089FCF" w:rsidR="00457533" w:rsidRDefault="00457533">
      <w:pPr>
        <w:rPr>
          <w:lang w:val="es-ES"/>
        </w:rPr>
      </w:pPr>
    </w:p>
    <w:p w14:paraId="08E7C628" w14:textId="00ACF414" w:rsidR="00457533" w:rsidRDefault="00457533">
      <w:pPr>
        <w:rPr>
          <w:lang w:val="es-ES"/>
        </w:rPr>
      </w:pPr>
    </w:p>
    <w:p w14:paraId="49C10C1F" w14:textId="77777777" w:rsidR="00984175" w:rsidRDefault="00984175" w:rsidP="00000EC4">
      <w:pPr>
        <w:pStyle w:val="Title"/>
        <w:rPr>
          <w:sz w:val="48"/>
          <w:lang w:val="es-ES"/>
        </w:rPr>
      </w:pPr>
    </w:p>
    <w:p w14:paraId="6D6556E2" w14:textId="473F95AD" w:rsidR="006F2A3F" w:rsidRPr="004A035B" w:rsidRDefault="004A035B">
      <w:pPr>
        <w:suppressAutoHyphens w:val="0"/>
        <w:rPr>
          <w:color w:val="87AF00"/>
          <w:sz w:val="24"/>
          <w:szCs w:val="24"/>
          <w:lang w:val="es-ES"/>
        </w:rPr>
      </w:pPr>
      <w:r w:rsidRPr="004A035B">
        <w:rPr>
          <w:color w:val="87AF00"/>
          <w:sz w:val="24"/>
          <w:szCs w:val="24"/>
          <w:lang w:val="es-ES"/>
        </w:rPr>
        <w:t>PREPARADO PARA:</w:t>
      </w:r>
    </w:p>
    <w:p w14:paraId="4AEE9E73" w14:textId="17BE59DF" w:rsidR="006F2A3F" w:rsidRDefault="004A035B">
      <w:pPr>
        <w:suppressAutoHyphens w:val="0"/>
        <w:rPr>
          <w:lang w:val="es-ES"/>
        </w:rPr>
      </w:pPr>
      <w:r w:rsidRPr="00000EC4">
        <w:rPr>
          <w:noProof/>
          <w:lang w:val="en-US"/>
        </w:rPr>
        <w:drawing>
          <wp:inline distT="0" distB="0" distL="0" distR="0" wp14:anchorId="7C8A7954" wp14:editId="675D89FE">
            <wp:extent cx="2453640" cy="48427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8356" cy="485202"/>
                    </a:xfrm>
                    <a:prstGeom prst="rect">
                      <a:avLst/>
                    </a:prstGeom>
                    <a:noFill/>
                    <a:ln>
                      <a:noFill/>
                    </a:ln>
                  </pic:spPr>
                </pic:pic>
              </a:graphicData>
            </a:graphic>
          </wp:inline>
        </w:drawing>
      </w:r>
    </w:p>
    <w:p w14:paraId="3F4188E1" w14:textId="4B80FA87" w:rsidR="006F2A3F" w:rsidRDefault="006F2A3F">
      <w:pPr>
        <w:suppressAutoHyphens w:val="0"/>
        <w:rPr>
          <w:lang w:val="es-ES"/>
        </w:rPr>
      </w:pPr>
    </w:p>
    <w:p w14:paraId="270FBB41" w14:textId="77777777" w:rsidR="004A035B" w:rsidRDefault="004A035B" w:rsidP="004A035B">
      <w:pPr>
        <w:rPr>
          <w:lang w:val="es-ES"/>
        </w:rPr>
      </w:pPr>
      <w:r w:rsidRPr="005F6D7F">
        <w:rPr>
          <w:caps/>
          <w:color w:val="87AF00"/>
          <w:sz w:val="24"/>
          <w:szCs w:val="24"/>
          <w:lang w:val="es-ES"/>
        </w:rPr>
        <w:t>Con el apoyo de: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12"/>
        <w:gridCol w:w="2001"/>
        <w:gridCol w:w="1735"/>
        <w:gridCol w:w="2646"/>
      </w:tblGrid>
      <w:tr w:rsidR="004A035B" w14:paraId="103E1FD9" w14:textId="77777777" w:rsidTr="00755908">
        <w:trPr>
          <w:trHeight w:val="1064"/>
        </w:trPr>
        <w:tc>
          <w:tcPr>
            <w:tcW w:w="2112" w:type="dxa"/>
          </w:tcPr>
          <w:p w14:paraId="218F81BC" w14:textId="77777777" w:rsidR="004A035B" w:rsidRDefault="004A035B" w:rsidP="00755908">
            <w:pPr>
              <w:rPr>
                <w:lang w:val="es-ES"/>
              </w:rPr>
            </w:pPr>
            <w:r>
              <w:rPr>
                <w:caps/>
                <w:noProof/>
                <w:color w:val="87AF00"/>
                <w:sz w:val="36"/>
                <w:szCs w:val="36"/>
                <w:lang w:val="en-US"/>
              </w:rPr>
              <w:drawing>
                <wp:anchor distT="0" distB="0" distL="114300" distR="114300" simplePos="0" relativeHeight="251660288" behindDoc="0" locked="0" layoutInCell="1" allowOverlap="1" wp14:anchorId="6E37A61D" wp14:editId="67EC895D">
                  <wp:simplePos x="0" y="0"/>
                  <wp:positionH relativeFrom="column">
                    <wp:posOffset>-5575</wp:posOffset>
                  </wp:positionH>
                  <wp:positionV relativeFrom="paragraph">
                    <wp:posOffset>38735</wp:posOffset>
                  </wp:positionV>
                  <wp:extent cx="1200150" cy="479353"/>
                  <wp:effectExtent l="0" t="0" r="0" b="0"/>
                  <wp:wrapNone/>
                  <wp:docPr id="110" name="Picture 110" descr="C:\Users\lenov\AppData\Local\Temp\ESMAP2 logo_wo_022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AppData\Local\Temp\ESMAP2 logo_wo_02221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0150" cy="4793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0C9F6" w14:textId="77777777" w:rsidR="004A035B" w:rsidRDefault="004A035B" w:rsidP="00755908">
            <w:pPr>
              <w:rPr>
                <w:lang w:val="es-ES"/>
              </w:rPr>
            </w:pPr>
          </w:p>
          <w:p w14:paraId="1700B2D8" w14:textId="77777777" w:rsidR="004A035B" w:rsidRDefault="004A035B" w:rsidP="00755908">
            <w:pPr>
              <w:rPr>
                <w:lang w:val="es-ES"/>
              </w:rPr>
            </w:pPr>
          </w:p>
        </w:tc>
        <w:tc>
          <w:tcPr>
            <w:tcW w:w="2001" w:type="dxa"/>
          </w:tcPr>
          <w:p w14:paraId="10D9BF18" w14:textId="77777777" w:rsidR="004A035B" w:rsidRDefault="004A035B" w:rsidP="00755908">
            <w:pPr>
              <w:rPr>
                <w:lang w:val="es-ES"/>
              </w:rPr>
            </w:pPr>
            <w:r>
              <w:rPr>
                <w:noProof/>
                <w:lang w:val="en-US"/>
              </w:rPr>
              <w:drawing>
                <wp:inline distT="0" distB="0" distL="0" distR="0" wp14:anchorId="785EA519" wp14:editId="61F0BAFF">
                  <wp:extent cx="1133475" cy="46518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PIAF.png"/>
                          <pic:cNvPicPr/>
                        </pic:nvPicPr>
                        <pic:blipFill>
                          <a:blip r:embed="rId10">
                            <a:extLst>
                              <a:ext uri="{28A0092B-C50C-407E-A947-70E740481C1C}">
                                <a14:useLocalDpi xmlns:a14="http://schemas.microsoft.com/office/drawing/2010/main" val="0"/>
                              </a:ext>
                            </a:extLst>
                          </a:blip>
                          <a:stretch>
                            <a:fillRect/>
                          </a:stretch>
                        </pic:blipFill>
                        <pic:spPr>
                          <a:xfrm>
                            <a:off x="0" y="0"/>
                            <a:ext cx="1151191" cy="472454"/>
                          </a:xfrm>
                          <a:prstGeom prst="rect">
                            <a:avLst/>
                          </a:prstGeom>
                        </pic:spPr>
                      </pic:pic>
                    </a:graphicData>
                  </a:graphic>
                </wp:inline>
              </w:drawing>
            </w:r>
          </w:p>
        </w:tc>
        <w:tc>
          <w:tcPr>
            <w:tcW w:w="1735" w:type="dxa"/>
          </w:tcPr>
          <w:p w14:paraId="0C84BF28" w14:textId="77777777" w:rsidR="004A035B" w:rsidRDefault="004A035B" w:rsidP="00755908">
            <w:pPr>
              <w:rPr>
                <w:lang w:val="es-ES"/>
              </w:rPr>
            </w:pPr>
            <w:r>
              <w:rPr>
                <w:noProof/>
                <w:lang w:val="en-US"/>
              </w:rPr>
              <w:drawing>
                <wp:inline distT="0" distB="0" distL="0" distR="0" wp14:anchorId="6B42BFD8" wp14:editId="7AC6C14B">
                  <wp:extent cx="914399" cy="514350"/>
                  <wp:effectExtent l="0" t="0" r="63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KGGT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4352" cy="542448"/>
                          </a:xfrm>
                          <a:prstGeom prst="rect">
                            <a:avLst/>
                          </a:prstGeom>
                        </pic:spPr>
                      </pic:pic>
                    </a:graphicData>
                  </a:graphic>
                </wp:inline>
              </w:drawing>
            </w:r>
          </w:p>
        </w:tc>
        <w:tc>
          <w:tcPr>
            <w:tcW w:w="2646" w:type="dxa"/>
          </w:tcPr>
          <w:p w14:paraId="5BA6274A" w14:textId="77777777" w:rsidR="004A035B" w:rsidRDefault="004A035B" w:rsidP="00755908">
            <w:pPr>
              <w:rPr>
                <w:lang w:val="es-ES"/>
              </w:rPr>
            </w:pPr>
            <w:r>
              <w:rPr>
                <w:noProof/>
                <w:lang w:val="en-US"/>
              </w:rPr>
              <w:drawing>
                <wp:inline distT="0" distB="0" distL="0" distR="0" wp14:anchorId="35F255F4" wp14:editId="2CD84749">
                  <wp:extent cx="1543050" cy="568234"/>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FLAC.png"/>
                          <pic:cNvPicPr/>
                        </pic:nvPicPr>
                        <pic:blipFill>
                          <a:blip r:embed="rId12">
                            <a:extLst>
                              <a:ext uri="{28A0092B-C50C-407E-A947-70E740481C1C}">
                                <a14:useLocalDpi xmlns:a14="http://schemas.microsoft.com/office/drawing/2010/main" val="0"/>
                              </a:ext>
                            </a:extLst>
                          </a:blip>
                          <a:stretch>
                            <a:fillRect/>
                          </a:stretch>
                        </pic:blipFill>
                        <pic:spPr>
                          <a:xfrm>
                            <a:off x="0" y="0"/>
                            <a:ext cx="1579957" cy="581825"/>
                          </a:xfrm>
                          <a:prstGeom prst="rect">
                            <a:avLst/>
                          </a:prstGeom>
                        </pic:spPr>
                      </pic:pic>
                    </a:graphicData>
                  </a:graphic>
                </wp:inline>
              </w:drawing>
            </w:r>
          </w:p>
        </w:tc>
      </w:tr>
    </w:tbl>
    <w:p w14:paraId="2E17E89B" w14:textId="1C60729C" w:rsidR="004A035B" w:rsidRDefault="004A035B">
      <w:pPr>
        <w:suppressAutoHyphens w:val="0"/>
        <w:rPr>
          <w:lang w:val="es-ES"/>
        </w:rPr>
      </w:pPr>
    </w:p>
    <w:p w14:paraId="3B198172" w14:textId="77777777" w:rsidR="004A035B" w:rsidRDefault="004A035B">
      <w:pPr>
        <w:suppressAutoHyphens w:val="0"/>
        <w:rPr>
          <w:lang w:val="es-ES"/>
        </w:rPr>
      </w:pPr>
      <w:r>
        <w:rPr>
          <w:lang w:val="es-ES"/>
        </w:rPr>
        <w:br w:type="page"/>
      </w:r>
    </w:p>
    <w:p w14:paraId="7DE38489" w14:textId="77777777" w:rsidR="004A035B" w:rsidRDefault="004A035B">
      <w:pPr>
        <w:suppressAutoHyphens w:val="0"/>
        <w:rPr>
          <w:lang w:val="es-ES"/>
        </w:rPr>
      </w:pPr>
    </w:p>
    <w:p w14:paraId="502CF72E" w14:textId="628915D5" w:rsidR="006F2A3F" w:rsidRDefault="006F2A3F">
      <w:pPr>
        <w:suppressAutoHyphens w:val="0"/>
        <w:rPr>
          <w:lang w:val="es-ES"/>
        </w:rPr>
      </w:pPr>
    </w:p>
    <w:p w14:paraId="68137893" w14:textId="77777777" w:rsidR="006F2A3F" w:rsidRDefault="006F2A3F">
      <w:pPr>
        <w:suppressAutoHyphens w:val="0"/>
        <w:rPr>
          <w:lang w:val="es-ES"/>
        </w:rPr>
      </w:pPr>
    </w:p>
    <w:p w14:paraId="4E058993" w14:textId="77777777" w:rsidR="006F2A3F" w:rsidRDefault="006F2A3F">
      <w:pPr>
        <w:suppressAutoHyphens w:val="0"/>
        <w:rPr>
          <w:lang w:val="es-ES"/>
        </w:rPr>
      </w:pPr>
    </w:p>
    <w:p w14:paraId="457BB501" w14:textId="77777777" w:rsidR="006F2A3F" w:rsidRDefault="006F2A3F">
      <w:pPr>
        <w:suppressAutoHyphens w:val="0"/>
        <w:rPr>
          <w:lang w:val="es-ES"/>
        </w:rPr>
      </w:pPr>
    </w:p>
    <w:p w14:paraId="35DBB0B8" w14:textId="77777777" w:rsidR="006F2A3F" w:rsidRDefault="006F2A3F">
      <w:pPr>
        <w:suppressAutoHyphens w:val="0"/>
        <w:rPr>
          <w:lang w:val="es-ES"/>
        </w:rPr>
      </w:pPr>
    </w:p>
    <w:p w14:paraId="48175604" w14:textId="77777777" w:rsidR="006F2A3F" w:rsidRDefault="006F2A3F">
      <w:pPr>
        <w:suppressAutoHyphens w:val="0"/>
        <w:rPr>
          <w:lang w:val="es-ES"/>
        </w:rPr>
      </w:pPr>
    </w:p>
    <w:p w14:paraId="424BA2C2" w14:textId="77777777" w:rsidR="006F2A3F" w:rsidRDefault="006F2A3F">
      <w:pPr>
        <w:suppressAutoHyphens w:val="0"/>
        <w:rPr>
          <w:lang w:val="es-ES"/>
        </w:rPr>
      </w:pPr>
    </w:p>
    <w:p w14:paraId="6AAFB501" w14:textId="77777777" w:rsidR="006F2A3F" w:rsidRDefault="006F2A3F">
      <w:pPr>
        <w:suppressAutoHyphens w:val="0"/>
        <w:rPr>
          <w:lang w:val="es-ES"/>
        </w:rPr>
      </w:pPr>
    </w:p>
    <w:p w14:paraId="71BFE0F8" w14:textId="77777777" w:rsidR="006F2A3F" w:rsidRDefault="006F2A3F">
      <w:pPr>
        <w:suppressAutoHyphens w:val="0"/>
        <w:rPr>
          <w:lang w:val="es-ES"/>
        </w:rPr>
      </w:pPr>
    </w:p>
    <w:p w14:paraId="692682BA" w14:textId="77777777" w:rsidR="006F2A3F" w:rsidRDefault="006F2A3F">
      <w:pPr>
        <w:suppressAutoHyphens w:val="0"/>
        <w:rPr>
          <w:lang w:val="es-ES"/>
        </w:rPr>
      </w:pPr>
    </w:p>
    <w:p w14:paraId="0572047F" w14:textId="77777777" w:rsidR="006F2A3F" w:rsidRDefault="006F2A3F">
      <w:pPr>
        <w:suppressAutoHyphens w:val="0"/>
        <w:rPr>
          <w:lang w:val="es-ES"/>
        </w:rPr>
      </w:pPr>
    </w:p>
    <w:p w14:paraId="02233756" w14:textId="77777777" w:rsidR="006F2A3F" w:rsidRDefault="006F2A3F">
      <w:pPr>
        <w:suppressAutoHyphens w:val="0"/>
        <w:rPr>
          <w:lang w:val="es-ES"/>
        </w:rPr>
      </w:pPr>
    </w:p>
    <w:p w14:paraId="1C0E7E64" w14:textId="77777777" w:rsidR="006F2A3F" w:rsidRDefault="006F2A3F">
      <w:pPr>
        <w:suppressAutoHyphens w:val="0"/>
        <w:rPr>
          <w:lang w:val="es-ES"/>
        </w:rPr>
      </w:pPr>
    </w:p>
    <w:p w14:paraId="731372E2" w14:textId="77777777" w:rsidR="006F2A3F" w:rsidRDefault="006F2A3F">
      <w:pPr>
        <w:suppressAutoHyphens w:val="0"/>
        <w:rPr>
          <w:lang w:val="es-ES"/>
        </w:rPr>
      </w:pPr>
    </w:p>
    <w:p w14:paraId="4C2B2D8E" w14:textId="77777777" w:rsidR="006F2A3F" w:rsidRDefault="006F2A3F">
      <w:pPr>
        <w:suppressAutoHyphens w:val="0"/>
        <w:rPr>
          <w:lang w:val="es-ES"/>
        </w:rPr>
      </w:pPr>
    </w:p>
    <w:p w14:paraId="4837FCE4" w14:textId="77777777" w:rsidR="006F2A3F" w:rsidRDefault="006F2A3F">
      <w:pPr>
        <w:suppressAutoHyphens w:val="0"/>
        <w:rPr>
          <w:lang w:val="es-ES"/>
        </w:rPr>
      </w:pPr>
    </w:p>
    <w:p w14:paraId="26ED9085" w14:textId="77777777" w:rsidR="006F2A3F" w:rsidRDefault="006F2A3F">
      <w:pPr>
        <w:suppressAutoHyphens w:val="0"/>
        <w:rPr>
          <w:lang w:val="es-ES"/>
        </w:rPr>
      </w:pPr>
    </w:p>
    <w:p w14:paraId="02CE020E" w14:textId="77777777" w:rsidR="006F2A3F" w:rsidRDefault="006F2A3F">
      <w:pPr>
        <w:suppressAutoHyphens w:val="0"/>
        <w:rPr>
          <w:lang w:val="es-ES"/>
        </w:rPr>
      </w:pPr>
    </w:p>
    <w:p w14:paraId="34318E5B" w14:textId="578FFCE6" w:rsidR="006F2A3F" w:rsidRDefault="006F2A3F">
      <w:pPr>
        <w:suppressAutoHyphens w:val="0"/>
        <w:rPr>
          <w:lang w:val="es-ES"/>
        </w:rPr>
      </w:pPr>
    </w:p>
    <w:p w14:paraId="49E5E5A3" w14:textId="5156D74B" w:rsidR="004A035B" w:rsidRDefault="004A035B">
      <w:pPr>
        <w:suppressAutoHyphens w:val="0"/>
        <w:rPr>
          <w:lang w:val="es-ES"/>
        </w:rPr>
      </w:pPr>
    </w:p>
    <w:p w14:paraId="0B8E27F9" w14:textId="6FCF3300" w:rsidR="004A035B" w:rsidRDefault="004A035B">
      <w:pPr>
        <w:suppressAutoHyphens w:val="0"/>
        <w:rPr>
          <w:lang w:val="es-ES"/>
        </w:rPr>
      </w:pPr>
    </w:p>
    <w:p w14:paraId="7AE4778A" w14:textId="04A0AFA5" w:rsidR="004A035B" w:rsidRDefault="004A035B">
      <w:pPr>
        <w:suppressAutoHyphens w:val="0"/>
        <w:rPr>
          <w:lang w:val="es-ES"/>
        </w:rPr>
      </w:pPr>
    </w:p>
    <w:p w14:paraId="237EF93A" w14:textId="4B9ED50B" w:rsidR="004A035B" w:rsidRDefault="004A035B">
      <w:pPr>
        <w:suppressAutoHyphens w:val="0"/>
        <w:rPr>
          <w:lang w:val="es-ES"/>
        </w:rPr>
      </w:pPr>
    </w:p>
    <w:p w14:paraId="275FF3DF" w14:textId="2A08EBA4" w:rsidR="004A035B" w:rsidRDefault="004A035B">
      <w:pPr>
        <w:suppressAutoHyphens w:val="0"/>
        <w:rPr>
          <w:lang w:val="es-ES"/>
        </w:rPr>
      </w:pPr>
    </w:p>
    <w:p w14:paraId="3344C0BB" w14:textId="45DB6C8D" w:rsidR="004A035B" w:rsidRDefault="004A035B">
      <w:pPr>
        <w:suppressAutoHyphens w:val="0"/>
        <w:rPr>
          <w:lang w:val="es-ES"/>
        </w:rPr>
      </w:pPr>
    </w:p>
    <w:p w14:paraId="0DE026CE" w14:textId="7C8FF81E" w:rsidR="004A035B" w:rsidRDefault="004A035B">
      <w:pPr>
        <w:suppressAutoHyphens w:val="0"/>
        <w:rPr>
          <w:lang w:val="es-ES"/>
        </w:rPr>
      </w:pPr>
    </w:p>
    <w:p w14:paraId="3A2E875E" w14:textId="61DEE517" w:rsidR="004A035B" w:rsidRDefault="004A035B">
      <w:pPr>
        <w:suppressAutoHyphens w:val="0"/>
        <w:rPr>
          <w:lang w:val="es-ES"/>
        </w:rPr>
      </w:pPr>
    </w:p>
    <w:p w14:paraId="3F078C41" w14:textId="59821C7D" w:rsidR="004A035B" w:rsidRDefault="004A035B">
      <w:pPr>
        <w:suppressAutoHyphens w:val="0"/>
        <w:rPr>
          <w:lang w:val="es-ES"/>
        </w:rPr>
      </w:pPr>
    </w:p>
    <w:p w14:paraId="6F8BC12C" w14:textId="180EEAA1" w:rsidR="004A035B" w:rsidRDefault="004A035B">
      <w:pPr>
        <w:suppressAutoHyphens w:val="0"/>
        <w:rPr>
          <w:lang w:val="es-ES"/>
        </w:rPr>
      </w:pPr>
    </w:p>
    <w:p w14:paraId="25497C8E" w14:textId="5EE0B9E1" w:rsidR="004A035B" w:rsidRDefault="004A035B">
      <w:pPr>
        <w:suppressAutoHyphens w:val="0"/>
        <w:rPr>
          <w:lang w:val="es-ES"/>
        </w:rPr>
      </w:pPr>
    </w:p>
    <w:p w14:paraId="6C2F0689" w14:textId="77777777" w:rsidR="006F2A3F" w:rsidRDefault="006F2A3F">
      <w:pPr>
        <w:suppressAutoHyphens w:val="0"/>
        <w:rPr>
          <w:lang w:val="es-ES"/>
        </w:rPr>
      </w:pPr>
    </w:p>
    <w:p w14:paraId="631A9F91" w14:textId="77777777" w:rsidR="006F2A3F" w:rsidRDefault="006F2A3F">
      <w:pPr>
        <w:suppressAutoHyphens w:val="0"/>
        <w:rPr>
          <w:lang w:val="es-ES"/>
        </w:rPr>
      </w:pPr>
    </w:p>
    <w:p w14:paraId="55D9A496" w14:textId="5F69C9E2" w:rsidR="006F2A3F" w:rsidRDefault="006F2A3F">
      <w:pPr>
        <w:suppressAutoHyphens w:val="0"/>
        <w:rPr>
          <w:rFonts w:ascii="Calibri Light" w:eastAsia="Times New Roman" w:hAnsi="Calibri Light"/>
          <w:color w:val="002B7F"/>
          <w:spacing w:val="-10"/>
          <w:kern w:val="3"/>
          <w:sz w:val="56"/>
          <w:szCs w:val="56"/>
          <w:lang w:val="es-ES"/>
        </w:rPr>
      </w:pPr>
      <w:r w:rsidRPr="006F2A3F">
        <w:rPr>
          <w:szCs w:val="20"/>
          <w:lang w:val="es-ES"/>
        </w:rPr>
        <w:t xml:space="preserve">El presente informe es un documento técnico de la Práctica Global de Energía e Industrias Extractivas del Banco Mundial para </w:t>
      </w:r>
      <w:r w:rsidR="008420EA">
        <w:rPr>
          <w:szCs w:val="20"/>
          <w:lang w:val="es-ES"/>
        </w:rPr>
        <w:t>Panamá</w:t>
      </w:r>
      <w:r w:rsidRPr="006F2A3F">
        <w:rPr>
          <w:szCs w:val="20"/>
          <w:lang w:val="es-ES"/>
        </w:rPr>
        <w:t xml:space="preserve"> y no representa una posición oficial del Banco Mundial o de su Junta Ejecutiva. Los comentarios y correspondencias</w:t>
      </w:r>
      <w:r w:rsidR="008D387F">
        <w:rPr>
          <w:szCs w:val="20"/>
          <w:lang w:val="es-ES"/>
        </w:rPr>
        <w:t xml:space="preserve"> al respecto</w:t>
      </w:r>
      <w:r w:rsidRPr="006F2A3F">
        <w:rPr>
          <w:szCs w:val="20"/>
          <w:lang w:val="es-ES"/>
        </w:rPr>
        <w:t xml:space="preserve"> pueden ser dirigidos a Mariano Gonz</w:t>
      </w:r>
      <w:r w:rsidR="00A31DA1">
        <w:rPr>
          <w:szCs w:val="20"/>
          <w:lang w:val="es-ES"/>
        </w:rPr>
        <w:t>á</w:t>
      </w:r>
      <w:r w:rsidR="000D1511">
        <w:rPr>
          <w:szCs w:val="20"/>
          <w:lang w:val="es-ES"/>
        </w:rPr>
        <w:t>lez Serrano (</w:t>
      </w:r>
      <w:r w:rsidRPr="006F2A3F">
        <w:rPr>
          <w:szCs w:val="20"/>
          <w:lang w:val="es-ES"/>
        </w:rPr>
        <w:t>gonzalez@worldbank.org).</w:t>
      </w:r>
      <w:r>
        <w:rPr>
          <w:lang w:val="es-ES"/>
        </w:rPr>
        <w:br w:type="page"/>
      </w:r>
    </w:p>
    <w:p w14:paraId="3C86CBC2" w14:textId="626B9FAD" w:rsidR="0031204A" w:rsidRPr="00BC66F9" w:rsidRDefault="00CD1178">
      <w:pPr>
        <w:pStyle w:val="Title"/>
        <w:rPr>
          <w:lang w:val="es-ES"/>
        </w:rPr>
      </w:pPr>
      <w:r w:rsidRPr="00BC66F9">
        <w:rPr>
          <w:lang w:val="es-ES"/>
        </w:rPr>
        <w:lastRenderedPageBreak/>
        <w:t>Tabla de contenidos</w:t>
      </w:r>
    </w:p>
    <w:p w14:paraId="1A43B908" w14:textId="77777777" w:rsidR="0031204A" w:rsidRPr="00BC66F9" w:rsidRDefault="0031204A">
      <w:pPr>
        <w:rPr>
          <w:lang w:val="es-ES"/>
        </w:rPr>
      </w:pPr>
    </w:p>
    <w:bookmarkStart w:id="1" w:name="_Toc462159540"/>
    <w:p w14:paraId="5E28FE10" w14:textId="458E4067" w:rsidR="00B1771D" w:rsidRDefault="00771E35">
      <w:pPr>
        <w:pStyle w:val="TOC1"/>
        <w:tabs>
          <w:tab w:val="left" w:pos="425"/>
          <w:tab w:val="right" w:leader="dot" w:pos="8494"/>
        </w:tabs>
        <w:rPr>
          <w:rFonts w:asciiTheme="minorHAnsi" w:eastAsiaTheme="minorEastAsia" w:hAnsiTheme="minorHAnsi" w:cstheme="minorBidi"/>
          <w:b w:val="0"/>
          <w:smallCaps w:val="0"/>
          <w:noProof/>
          <w:color w:val="auto"/>
          <w:lang w:eastAsia="en-GB"/>
        </w:rPr>
      </w:pPr>
      <w:r w:rsidRPr="00BC66F9">
        <w:rPr>
          <w:smallCaps w:val="0"/>
          <w:color w:val="1C1C1C"/>
          <w:lang w:val="es-ES"/>
        </w:rPr>
        <w:fldChar w:fldCharType="begin"/>
      </w:r>
      <w:r w:rsidRPr="00BC66F9">
        <w:rPr>
          <w:smallCaps w:val="0"/>
          <w:color w:val="1C1C1C"/>
          <w:lang w:val="es-ES"/>
        </w:rPr>
        <w:instrText xml:space="preserve"> TOC \o "1-4" \h \z \u </w:instrText>
      </w:r>
      <w:r w:rsidRPr="00BC66F9">
        <w:rPr>
          <w:smallCaps w:val="0"/>
          <w:color w:val="1C1C1C"/>
          <w:lang w:val="es-ES"/>
        </w:rPr>
        <w:fldChar w:fldCharType="separate"/>
      </w:r>
      <w:hyperlink w:anchor="_Toc516145993" w:history="1">
        <w:r w:rsidR="00B1771D" w:rsidRPr="009849EF">
          <w:rPr>
            <w:rStyle w:val="Hyperlink"/>
            <w:noProof/>
            <w:lang w:val="es-ES"/>
          </w:rPr>
          <w:t>I.</w:t>
        </w:r>
        <w:r w:rsidR="00B1771D">
          <w:rPr>
            <w:rFonts w:asciiTheme="minorHAnsi" w:eastAsiaTheme="minorEastAsia" w:hAnsiTheme="minorHAnsi" w:cstheme="minorBidi"/>
            <w:b w:val="0"/>
            <w:smallCaps w:val="0"/>
            <w:noProof/>
            <w:color w:val="auto"/>
            <w:lang w:eastAsia="en-GB"/>
          </w:rPr>
          <w:tab/>
        </w:r>
        <w:r w:rsidR="00B1771D" w:rsidRPr="009849EF">
          <w:rPr>
            <w:rStyle w:val="Hyperlink"/>
            <w:noProof/>
            <w:lang w:val="es-ES"/>
          </w:rPr>
          <w:t>Lista de acrónimos</w:t>
        </w:r>
        <w:r w:rsidR="00B1771D">
          <w:rPr>
            <w:noProof/>
            <w:webHidden/>
          </w:rPr>
          <w:tab/>
        </w:r>
        <w:r w:rsidR="00B1771D">
          <w:rPr>
            <w:noProof/>
            <w:webHidden/>
          </w:rPr>
          <w:fldChar w:fldCharType="begin"/>
        </w:r>
        <w:r w:rsidR="00B1771D">
          <w:rPr>
            <w:noProof/>
            <w:webHidden/>
          </w:rPr>
          <w:instrText xml:space="preserve"> PAGEREF _Toc516145993 \h </w:instrText>
        </w:r>
        <w:r w:rsidR="00B1771D">
          <w:rPr>
            <w:noProof/>
            <w:webHidden/>
          </w:rPr>
        </w:r>
        <w:r w:rsidR="00B1771D">
          <w:rPr>
            <w:noProof/>
            <w:webHidden/>
          </w:rPr>
          <w:fldChar w:fldCharType="separate"/>
        </w:r>
        <w:r w:rsidR="005E6430">
          <w:rPr>
            <w:noProof/>
            <w:webHidden/>
          </w:rPr>
          <w:t>6</w:t>
        </w:r>
        <w:r w:rsidR="00B1771D">
          <w:rPr>
            <w:noProof/>
            <w:webHidden/>
          </w:rPr>
          <w:fldChar w:fldCharType="end"/>
        </w:r>
      </w:hyperlink>
    </w:p>
    <w:p w14:paraId="65A7A63E" w14:textId="7D49923F" w:rsidR="00B1771D" w:rsidRDefault="00D322D4">
      <w:pPr>
        <w:pStyle w:val="TOC1"/>
        <w:tabs>
          <w:tab w:val="left" w:pos="425"/>
          <w:tab w:val="right" w:leader="dot" w:pos="8494"/>
        </w:tabs>
        <w:rPr>
          <w:rFonts w:asciiTheme="minorHAnsi" w:eastAsiaTheme="minorEastAsia" w:hAnsiTheme="minorHAnsi" w:cstheme="minorBidi"/>
          <w:b w:val="0"/>
          <w:smallCaps w:val="0"/>
          <w:noProof/>
          <w:color w:val="auto"/>
          <w:lang w:eastAsia="en-GB"/>
        </w:rPr>
      </w:pPr>
      <w:hyperlink w:anchor="_Toc516145994" w:history="1">
        <w:r w:rsidR="00B1771D" w:rsidRPr="009849EF">
          <w:rPr>
            <w:rStyle w:val="Hyperlink"/>
            <w:noProof/>
            <w:lang w:val="es-ES"/>
          </w:rPr>
          <w:t>II.</w:t>
        </w:r>
        <w:r w:rsidR="00B1771D">
          <w:rPr>
            <w:rFonts w:asciiTheme="minorHAnsi" w:eastAsiaTheme="minorEastAsia" w:hAnsiTheme="minorHAnsi" w:cstheme="minorBidi"/>
            <w:b w:val="0"/>
            <w:smallCaps w:val="0"/>
            <w:noProof/>
            <w:color w:val="auto"/>
            <w:lang w:eastAsia="en-GB"/>
          </w:rPr>
          <w:tab/>
        </w:r>
        <w:r w:rsidR="00B1771D" w:rsidRPr="009849EF">
          <w:rPr>
            <w:rStyle w:val="Hyperlink"/>
            <w:noProof/>
            <w:lang w:val="es-ES"/>
          </w:rPr>
          <w:t>Resumen Ejecutivo</w:t>
        </w:r>
        <w:r w:rsidR="00B1771D">
          <w:rPr>
            <w:noProof/>
            <w:webHidden/>
          </w:rPr>
          <w:tab/>
        </w:r>
        <w:r w:rsidR="00B1771D">
          <w:rPr>
            <w:noProof/>
            <w:webHidden/>
          </w:rPr>
          <w:fldChar w:fldCharType="begin"/>
        </w:r>
        <w:r w:rsidR="00B1771D">
          <w:rPr>
            <w:noProof/>
            <w:webHidden/>
          </w:rPr>
          <w:instrText xml:space="preserve"> PAGEREF _Toc516145994 \h </w:instrText>
        </w:r>
        <w:r w:rsidR="00B1771D">
          <w:rPr>
            <w:noProof/>
            <w:webHidden/>
          </w:rPr>
        </w:r>
        <w:r w:rsidR="00B1771D">
          <w:rPr>
            <w:noProof/>
            <w:webHidden/>
          </w:rPr>
          <w:fldChar w:fldCharType="separate"/>
        </w:r>
        <w:r w:rsidR="005E6430">
          <w:rPr>
            <w:noProof/>
            <w:webHidden/>
          </w:rPr>
          <w:t>8</w:t>
        </w:r>
        <w:r w:rsidR="00B1771D">
          <w:rPr>
            <w:noProof/>
            <w:webHidden/>
          </w:rPr>
          <w:fldChar w:fldCharType="end"/>
        </w:r>
      </w:hyperlink>
    </w:p>
    <w:p w14:paraId="6BA19115" w14:textId="0A7C6B22" w:rsidR="00B1771D" w:rsidRDefault="00D322D4">
      <w:pPr>
        <w:pStyle w:val="TOC1"/>
        <w:tabs>
          <w:tab w:val="left" w:pos="567"/>
          <w:tab w:val="right" w:leader="dot" w:pos="8494"/>
        </w:tabs>
        <w:rPr>
          <w:rFonts w:asciiTheme="minorHAnsi" w:eastAsiaTheme="minorEastAsia" w:hAnsiTheme="minorHAnsi" w:cstheme="minorBidi"/>
          <w:b w:val="0"/>
          <w:smallCaps w:val="0"/>
          <w:noProof/>
          <w:color w:val="auto"/>
          <w:lang w:eastAsia="en-GB"/>
        </w:rPr>
      </w:pPr>
      <w:hyperlink w:anchor="_Toc516145995" w:history="1">
        <w:r w:rsidR="00B1771D" w:rsidRPr="009849EF">
          <w:rPr>
            <w:rStyle w:val="Hyperlink"/>
            <w:noProof/>
            <w:lang w:val="es-ES"/>
          </w:rPr>
          <w:t>III.</w:t>
        </w:r>
        <w:r w:rsidR="00B1771D">
          <w:rPr>
            <w:rFonts w:asciiTheme="minorHAnsi" w:eastAsiaTheme="minorEastAsia" w:hAnsiTheme="minorHAnsi" w:cstheme="minorBidi"/>
            <w:b w:val="0"/>
            <w:smallCaps w:val="0"/>
            <w:noProof/>
            <w:color w:val="auto"/>
            <w:lang w:eastAsia="en-GB"/>
          </w:rPr>
          <w:tab/>
        </w:r>
        <w:r w:rsidR="00B1771D" w:rsidRPr="009849EF">
          <w:rPr>
            <w:rStyle w:val="Hyperlink"/>
            <w:noProof/>
            <w:lang w:val="es-ES"/>
          </w:rPr>
          <w:t>Normas y reglamentos para productos de iluminación</w:t>
        </w:r>
        <w:r w:rsidR="00B1771D">
          <w:rPr>
            <w:noProof/>
            <w:webHidden/>
          </w:rPr>
          <w:tab/>
        </w:r>
        <w:r w:rsidR="00B1771D">
          <w:rPr>
            <w:noProof/>
            <w:webHidden/>
          </w:rPr>
          <w:fldChar w:fldCharType="begin"/>
        </w:r>
        <w:r w:rsidR="00B1771D">
          <w:rPr>
            <w:noProof/>
            <w:webHidden/>
          </w:rPr>
          <w:instrText xml:space="preserve"> PAGEREF _Toc516145995 \h </w:instrText>
        </w:r>
        <w:r w:rsidR="00B1771D">
          <w:rPr>
            <w:noProof/>
            <w:webHidden/>
          </w:rPr>
        </w:r>
        <w:r w:rsidR="00B1771D">
          <w:rPr>
            <w:noProof/>
            <w:webHidden/>
          </w:rPr>
          <w:fldChar w:fldCharType="separate"/>
        </w:r>
        <w:r w:rsidR="005E6430">
          <w:rPr>
            <w:noProof/>
            <w:webHidden/>
          </w:rPr>
          <w:t>16</w:t>
        </w:r>
        <w:r w:rsidR="00B1771D">
          <w:rPr>
            <w:noProof/>
            <w:webHidden/>
          </w:rPr>
          <w:fldChar w:fldCharType="end"/>
        </w:r>
      </w:hyperlink>
    </w:p>
    <w:p w14:paraId="3047B66F" w14:textId="6226AEB9" w:rsidR="00B1771D" w:rsidRDefault="00D322D4">
      <w:pPr>
        <w:pStyle w:val="TOC1"/>
        <w:tabs>
          <w:tab w:val="left" w:pos="425"/>
          <w:tab w:val="right" w:leader="dot" w:pos="8494"/>
        </w:tabs>
        <w:rPr>
          <w:rFonts w:asciiTheme="minorHAnsi" w:eastAsiaTheme="minorEastAsia" w:hAnsiTheme="minorHAnsi" w:cstheme="minorBidi"/>
          <w:b w:val="0"/>
          <w:smallCaps w:val="0"/>
          <w:noProof/>
          <w:color w:val="auto"/>
          <w:lang w:eastAsia="en-GB"/>
        </w:rPr>
      </w:pPr>
      <w:hyperlink w:anchor="_Toc516145996" w:history="1">
        <w:r w:rsidR="00B1771D" w:rsidRPr="009849EF">
          <w:rPr>
            <w:rStyle w:val="Hyperlink"/>
            <w:noProof/>
            <w:lang w:val="es-ES"/>
          </w:rPr>
          <w:t>1.</w:t>
        </w:r>
        <w:r w:rsidR="00B1771D">
          <w:rPr>
            <w:rFonts w:asciiTheme="minorHAnsi" w:eastAsiaTheme="minorEastAsia" w:hAnsiTheme="minorHAnsi" w:cstheme="minorBidi"/>
            <w:b w:val="0"/>
            <w:smallCaps w:val="0"/>
            <w:noProof/>
            <w:color w:val="auto"/>
            <w:lang w:eastAsia="en-GB"/>
          </w:rPr>
          <w:tab/>
        </w:r>
        <w:r w:rsidR="00B1771D" w:rsidRPr="009849EF">
          <w:rPr>
            <w:rStyle w:val="Hyperlink"/>
            <w:noProof/>
            <w:lang w:val="es-ES"/>
          </w:rPr>
          <w:t>Introducción</w:t>
        </w:r>
        <w:r w:rsidR="00B1771D">
          <w:rPr>
            <w:noProof/>
            <w:webHidden/>
          </w:rPr>
          <w:tab/>
        </w:r>
        <w:r w:rsidR="00B1771D">
          <w:rPr>
            <w:noProof/>
            <w:webHidden/>
          </w:rPr>
          <w:fldChar w:fldCharType="begin"/>
        </w:r>
        <w:r w:rsidR="00B1771D">
          <w:rPr>
            <w:noProof/>
            <w:webHidden/>
          </w:rPr>
          <w:instrText xml:space="preserve"> PAGEREF _Toc516145996 \h </w:instrText>
        </w:r>
        <w:r w:rsidR="00B1771D">
          <w:rPr>
            <w:noProof/>
            <w:webHidden/>
          </w:rPr>
        </w:r>
        <w:r w:rsidR="00B1771D">
          <w:rPr>
            <w:noProof/>
            <w:webHidden/>
          </w:rPr>
          <w:fldChar w:fldCharType="separate"/>
        </w:r>
        <w:r w:rsidR="005E6430">
          <w:rPr>
            <w:noProof/>
            <w:webHidden/>
          </w:rPr>
          <w:t>17</w:t>
        </w:r>
        <w:r w:rsidR="00B1771D">
          <w:rPr>
            <w:noProof/>
            <w:webHidden/>
          </w:rPr>
          <w:fldChar w:fldCharType="end"/>
        </w:r>
      </w:hyperlink>
    </w:p>
    <w:p w14:paraId="4A2E9811" w14:textId="0109D1F7" w:rsidR="00B1771D" w:rsidRDefault="00D322D4">
      <w:pPr>
        <w:pStyle w:val="TOC1"/>
        <w:tabs>
          <w:tab w:val="left" w:pos="425"/>
          <w:tab w:val="right" w:leader="dot" w:pos="8494"/>
        </w:tabs>
        <w:rPr>
          <w:rFonts w:asciiTheme="minorHAnsi" w:eastAsiaTheme="minorEastAsia" w:hAnsiTheme="minorHAnsi" w:cstheme="minorBidi"/>
          <w:b w:val="0"/>
          <w:smallCaps w:val="0"/>
          <w:noProof/>
          <w:color w:val="auto"/>
          <w:lang w:eastAsia="en-GB"/>
        </w:rPr>
      </w:pPr>
      <w:hyperlink w:anchor="_Toc516145997" w:history="1">
        <w:r w:rsidR="00B1771D" w:rsidRPr="009849EF">
          <w:rPr>
            <w:rStyle w:val="Hyperlink"/>
            <w:noProof/>
            <w:lang w:val="es-ES"/>
          </w:rPr>
          <w:t>2.</w:t>
        </w:r>
        <w:r w:rsidR="00B1771D">
          <w:rPr>
            <w:rFonts w:asciiTheme="minorHAnsi" w:eastAsiaTheme="minorEastAsia" w:hAnsiTheme="minorHAnsi" w:cstheme="minorBidi"/>
            <w:b w:val="0"/>
            <w:smallCaps w:val="0"/>
            <w:noProof/>
            <w:color w:val="auto"/>
            <w:lang w:eastAsia="en-GB"/>
          </w:rPr>
          <w:tab/>
        </w:r>
        <w:r w:rsidR="00B1771D" w:rsidRPr="009849EF">
          <w:rPr>
            <w:rStyle w:val="Hyperlink"/>
            <w:noProof/>
            <w:lang w:val="es-ES"/>
          </w:rPr>
          <w:t>Alcance y actividades desarrolladas</w:t>
        </w:r>
        <w:r w:rsidR="00B1771D">
          <w:rPr>
            <w:noProof/>
            <w:webHidden/>
          </w:rPr>
          <w:tab/>
        </w:r>
        <w:r w:rsidR="00B1771D">
          <w:rPr>
            <w:noProof/>
            <w:webHidden/>
          </w:rPr>
          <w:fldChar w:fldCharType="begin"/>
        </w:r>
        <w:r w:rsidR="00B1771D">
          <w:rPr>
            <w:noProof/>
            <w:webHidden/>
          </w:rPr>
          <w:instrText xml:space="preserve"> PAGEREF _Toc516145997 \h </w:instrText>
        </w:r>
        <w:r w:rsidR="00B1771D">
          <w:rPr>
            <w:noProof/>
            <w:webHidden/>
          </w:rPr>
        </w:r>
        <w:r w:rsidR="00B1771D">
          <w:rPr>
            <w:noProof/>
            <w:webHidden/>
          </w:rPr>
          <w:fldChar w:fldCharType="separate"/>
        </w:r>
        <w:r w:rsidR="005E6430">
          <w:rPr>
            <w:noProof/>
            <w:webHidden/>
          </w:rPr>
          <w:t>18</w:t>
        </w:r>
        <w:r w:rsidR="00B1771D">
          <w:rPr>
            <w:noProof/>
            <w:webHidden/>
          </w:rPr>
          <w:fldChar w:fldCharType="end"/>
        </w:r>
      </w:hyperlink>
    </w:p>
    <w:p w14:paraId="788C928C" w14:textId="70C8B3A4" w:rsidR="00B1771D" w:rsidRDefault="00D322D4">
      <w:pPr>
        <w:pStyle w:val="TOC2"/>
        <w:tabs>
          <w:tab w:val="left" w:pos="1100"/>
          <w:tab w:val="right" w:leader="dot" w:pos="8494"/>
        </w:tabs>
        <w:rPr>
          <w:rFonts w:asciiTheme="minorHAnsi" w:eastAsiaTheme="minorEastAsia" w:hAnsiTheme="minorHAnsi" w:cstheme="minorBidi"/>
          <w:b w:val="0"/>
          <w:noProof/>
          <w:color w:val="auto"/>
          <w:lang w:eastAsia="en-GB"/>
        </w:rPr>
      </w:pPr>
      <w:hyperlink w:anchor="_Toc516145998" w:history="1">
        <w:r w:rsidR="00B1771D" w:rsidRPr="009849EF">
          <w:rPr>
            <w:rStyle w:val="Hyperlink"/>
            <w:noProof/>
            <w:lang w:val="es-ES"/>
          </w:rPr>
          <w:t>2.1.</w:t>
        </w:r>
        <w:r w:rsidR="00B1771D">
          <w:rPr>
            <w:rFonts w:asciiTheme="minorHAnsi" w:eastAsiaTheme="minorEastAsia" w:hAnsiTheme="minorHAnsi" w:cstheme="minorBidi"/>
            <w:b w:val="0"/>
            <w:noProof/>
            <w:color w:val="auto"/>
            <w:lang w:eastAsia="en-GB"/>
          </w:rPr>
          <w:tab/>
        </w:r>
        <w:r w:rsidR="00B1771D" w:rsidRPr="009849EF">
          <w:rPr>
            <w:rStyle w:val="Hyperlink"/>
            <w:noProof/>
            <w:lang w:val="es-ES"/>
          </w:rPr>
          <w:t>Alcance de la consultoría</w:t>
        </w:r>
        <w:r w:rsidR="00B1771D">
          <w:rPr>
            <w:noProof/>
            <w:webHidden/>
          </w:rPr>
          <w:tab/>
        </w:r>
        <w:r w:rsidR="00B1771D">
          <w:rPr>
            <w:noProof/>
            <w:webHidden/>
          </w:rPr>
          <w:fldChar w:fldCharType="begin"/>
        </w:r>
        <w:r w:rsidR="00B1771D">
          <w:rPr>
            <w:noProof/>
            <w:webHidden/>
          </w:rPr>
          <w:instrText xml:space="preserve"> PAGEREF _Toc516145998 \h </w:instrText>
        </w:r>
        <w:r w:rsidR="00B1771D">
          <w:rPr>
            <w:noProof/>
            <w:webHidden/>
          </w:rPr>
        </w:r>
        <w:r w:rsidR="00B1771D">
          <w:rPr>
            <w:noProof/>
            <w:webHidden/>
          </w:rPr>
          <w:fldChar w:fldCharType="separate"/>
        </w:r>
        <w:r w:rsidR="005E6430">
          <w:rPr>
            <w:noProof/>
            <w:webHidden/>
          </w:rPr>
          <w:t>18</w:t>
        </w:r>
        <w:r w:rsidR="00B1771D">
          <w:rPr>
            <w:noProof/>
            <w:webHidden/>
          </w:rPr>
          <w:fldChar w:fldCharType="end"/>
        </w:r>
      </w:hyperlink>
    </w:p>
    <w:p w14:paraId="43DF04E9" w14:textId="5EA07C49" w:rsidR="00B1771D" w:rsidRDefault="00D322D4">
      <w:pPr>
        <w:pStyle w:val="TOC2"/>
        <w:tabs>
          <w:tab w:val="left" w:pos="1100"/>
          <w:tab w:val="right" w:leader="dot" w:pos="8494"/>
        </w:tabs>
        <w:rPr>
          <w:rFonts w:asciiTheme="minorHAnsi" w:eastAsiaTheme="minorEastAsia" w:hAnsiTheme="minorHAnsi" w:cstheme="minorBidi"/>
          <w:b w:val="0"/>
          <w:noProof/>
          <w:color w:val="auto"/>
          <w:lang w:eastAsia="en-GB"/>
        </w:rPr>
      </w:pPr>
      <w:hyperlink w:anchor="_Toc516145999" w:history="1">
        <w:r w:rsidR="00B1771D" w:rsidRPr="009849EF">
          <w:rPr>
            <w:rStyle w:val="Hyperlink"/>
            <w:noProof/>
            <w:lang w:val="es-ES"/>
          </w:rPr>
          <w:t>2.2.</w:t>
        </w:r>
        <w:r w:rsidR="00B1771D">
          <w:rPr>
            <w:rFonts w:asciiTheme="minorHAnsi" w:eastAsiaTheme="minorEastAsia" w:hAnsiTheme="minorHAnsi" w:cstheme="minorBidi"/>
            <w:b w:val="0"/>
            <w:noProof/>
            <w:color w:val="auto"/>
            <w:lang w:eastAsia="en-GB"/>
          </w:rPr>
          <w:tab/>
        </w:r>
        <w:r w:rsidR="00B1771D" w:rsidRPr="009849EF">
          <w:rPr>
            <w:rStyle w:val="Hyperlink"/>
            <w:noProof/>
            <w:lang w:val="es-ES"/>
          </w:rPr>
          <w:t>Actividades desarrolladas</w:t>
        </w:r>
        <w:r w:rsidR="00B1771D">
          <w:rPr>
            <w:noProof/>
            <w:webHidden/>
          </w:rPr>
          <w:tab/>
        </w:r>
        <w:r w:rsidR="00B1771D">
          <w:rPr>
            <w:noProof/>
            <w:webHidden/>
          </w:rPr>
          <w:fldChar w:fldCharType="begin"/>
        </w:r>
        <w:r w:rsidR="00B1771D">
          <w:rPr>
            <w:noProof/>
            <w:webHidden/>
          </w:rPr>
          <w:instrText xml:space="preserve"> PAGEREF _Toc516145999 \h </w:instrText>
        </w:r>
        <w:r w:rsidR="00B1771D">
          <w:rPr>
            <w:noProof/>
            <w:webHidden/>
          </w:rPr>
        </w:r>
        <w:r w:rsidR="00B1771D">
          <w:rPr>
            <w:noProof/>
            <w:webHidden/>
          </w:rPr>
          <w:fldChar w:fldCharType="separate"/>
        </w:r>
        <w:r w:rsidR="005E6430">
          <w:rPr>
            <w:noProof/>
            <w:webHidden/>
          </w:rPr>
          <w:t>19</w:t>
        </w:r>
        <w:r w:rsidR="00B1771D">
          <w:rPr>
            <w:noProof/>
            <w:webHidden/>
          </w:rPr>
          <w:fldChar w:fldCharType="end"/>
        </w:r>
      </w:hyperlink>
    </w:p>
    <w:p w14:paraId="5DCC48D1" w14:textId="4DCCDC81" w:rsidR="00B1771D" w:rsidRDefault="00D322D4">
      <w:pPr>
        <w:pStyle w:val="TOC1"/>
        <w:tabs>
          <w:tab w:val="left" w:pos="425"/>
          <w:tab w:val="right" w:leader="dot" w:pos="8494"/>
        </w:tabs>
        <w:rPr>
          <w:rFonts w:asciiTheme="minorHAnsi" w:eastAsiaTheme="minorEastAsia" w:hAnsiTheme="minorHAnsi" w:cstheme="minorBidi"/>
          <w:b w:val="0"/>
          <w:smallCaps w:val="0"/>
          <w:noProof/>
          <w:color w:val="auto"/>
          <w:lang w:eastAsia="en-GB"/>
        </w:rPr>
      </w:pPr>
      <w:hyperlink w:anchor="_Toc516146000" w:history="1">
        <w:r w:rsidR="00B1771D" w:rsidRPr="009849EF">
          <w:rPr>
            <w:rStyle w:val="Hyperlink"/>
            <w:noProof/>
            <w:lang w:val="es-ES"/>
          </w:rPr>
          <w:t>3.</w:t>
        </w:r>
        <w:r w:rsidR="00B1771D">
          <w:rPr>
            <w:rFonts w:asciiTheme="minorHAnsi" w:eastAsiaTheme="minorEastAsia" w:hAnsiTheme="minorHAnsi" w:cstheme="minorBidi"/>
            <w:b w:val="0"/>
            <w:smallCaps w:val="0"/>
            <w:noProof/>
            <w:color w:val="auto"/>
            <w:lang w:eastAsia="en-GB"/>
          </w:rPr>
          <w:tab/>
        </w:r>
        <w:r w:rsidR="00B1771D" w:rsidRPr="009849EF">
          <w:rPr>
            <w:rStyle w:val="Hyperlink"/>
            <w:noProof/>
            <w:lang w:val="es-ES"/>
          </w:rPr>
          <w:t>Normas y reglamentos de eficiencia energética para productos de iluminación de EE.UU., de la Unión Europea y de México</w:t>
        </w:r>
        <w:r w:rsidR="00B1771D">
          <w:rPr>
            <w:noProof/>
            <w:webHidden/>
          </w:rPr>
          <w:tab/>
        </w:r>
        <w:r w:rsidR="00B1771D">
          <w:rPr>
            <w:noProof/>
            <w:webHidden/>
          </w:rPr>
          <w:fldChar w:fldCharType="begin"/>
        </w:r>
        <w:r w:rsidR="00B1771D">
          <w:rPr>
            <w:noProof/>
            <w:webHidden/>
          </w:rPr>
          <w:instrText xml:space="preserve"> PAGEREF _Toc516146000 \h </w:instrText>
        </w:r>
        <w:r w:rsidR="00B1771D">
          <w:rPr>
            <w:noProof/>
            <w:webHidden/>
          </w:rPr>
        </w:r>
        <w:r w:rsidR="00B1771D">
          <w:rPr>
            <w:noProof/>
            <w:webHidden/>
          </w:rPr>
          <w:fldChar w:fldCharType="separate"/>
        </w:r>
        <w:r w:rsidR="005E6430">
          <w:rPr>
            <w:noProof/>
            <w:webHidden/>
          </w:rPr>
          <w:t>20</w:t>
        </w:r>
        <w:r w:rsidR="00B1771D">
          <w:rPr>
            <w:noProof/>
            <w:webHidden/>
          </w:rPr>
          <w:fldChar w:fldCharType="end"/>
        </w:r>
      </w:hyperlink>
    </w:p>
    <w:p w14:paraId="01126288" w14:textId="47340E7D" w:rsidR="00B1771D" w:rsidRDefault="00D322D4">
      <w:pPr>
        <w:pStyle w:val="TOC2"/>
        <w:tabs>
          <w:tab w:val="left" w:pos="1100"/>
          <w:tab w:val="right" w:leader="dot" w:pos="8494"/>
        </w:tabs>
        <w:rPr>
          <w:rFonts w:asciiTheme="minorHAnsi" w:eastAsiaTheme="minorEastAsia" w:hAnsiTheme="minorHAnsi" w:cstheme="minorBidi"/>
          <w:b w:val="0"/>
          <w:noProof/>
          <w:color w:val="auto"/>
          <w:lang w:eastAsia="en-GB"/>
        </w:rPr>
      </w:pPr>
      <w:hyperlink w:anchor="_Toc516146001" w:history="1">
        <w:r w:rsidR="00B1771D" w:rsidRPr="009849EF">
          <w:rPr>
            <w:rStyle w:val="Hyperlink"/>
            <w:noProof/>
            <w:lang w:val="es-ES"/>
          </w:rPr>
          <w:t>3.1.</w:t>
        </w:r>
        <w:r w:rsidR="00B1771D">
          <w:rPr>
            <w:rFonts w:asciiTheme="minorHAnsi" w:eastAsiaTheme="minorEastAsia" w:hAnsiTheme="minorHAnsi" w:cstheme="minorBidi"/>
            <w:b w:val="0"/>
            <w:noProof/>
            <w:color w:val="auto"/>
            <w:lang w:eastAsia="en-GB"/>
          </w:rPr>
          <w:tab/>
        </w:r>
        <w:r w:rsidR="00B1771D" w:rsidRPr="009849EF">
          <w:rPr>
            <w:rStyle w:val="Hyperlink"/>
            <w:noProof/>
            <w:lang w:val="es-ES"/>
          </w:rPr>
          <w:t>Relevancia</w:t>
        </w:r>
        <w:r w:rsidR="00B1771D">
          <w:rPr>
            <w:noProof/>
            <w:webHidden/>
          </w:rPr>
          <w:tab/>
        </w:r>
        <w:r w:rsidR="00B1771D">
          <w:rPr>
            <w:noProof/>
            <w:webHidden/>
          </w:rPr>
          <w:fldChar w:fldCharType="begin"/>
        </w:r>
        <w:r w:rsidR="00B1771D">
          <w:rPr>
            <w:noProof/>
            <w:webHidden/>
          </w:rPr>
          <w:instrText xml:space="preserve"> PAGEREF _Toc516146001 \h </w:instrText>
        </w:r>
        <w:r w:rsidR="00B1771D">
          <w:rPr>
            <w:noProof/>
            <w:webHidden/>
          </w:rPr>
        </w:r>
        <w:r w:rsidR="00B1771D">
          <w:rPr>
            <w:noProof/>
            <w:webHidden/>
          </w:rPr>
          <w:fldChar w:fldCharType="separate"/>
        </w:r>
        <w:r w:rsidR="005E6430">
          <w:rPr>
            <w:noProof/>
            <w:webHidden/>
          </w:rPr>
          <w:t>20</w:t>
        </w:r>
        <w:r w:rsidR="00B1771D">
          <w:rPr>
            <w:noProof/>
            <w:webHidden/>
          </w:rPr>
          <w:fldChar w:fldCharType="end"/>
        </w:r>
      </w:hyperlink>
    </w:p>
    <w:p w14:paraId="395A9E66" w14:textId="331CB225" w:rsidR="00B1771D" w:rsidRDefault="00D322D4">
      <w:pPr>
        <w:pStyle w:val="TOC2"/>
        <w:tabs>
          <w:tab w:val="left" w:pos="1100"/>
          <w:tab w:val="right" w:leader="dot" w:pos="8494"/>
        </w:tabs>
        <w:rPr>
          <w:rFonts w:asciiTheme="minorHAnsi" w:eastAsiaTheme="minorEastAsia" w:hAnsiTheme="minorHAnsi" w:cstheme="minorBidi"/>
          <w:b w:val="0"/>
          <w:noProof/>
          <w:color w:val="auto"/>
          <w:lang w:eastAsia="en-GB"/>
        </w:rPr>
      </w:pPr>
      <w:hyperlink w:anchor="_Toc516146002" w:history="1">
        <w:r w:rsidR="00B1771D" w:rsidRPr="009849EF">
          <w:rPr>
            <w:rStyle w:val="Hyperlink"/>
            <w:noProof/>
            <w:lang w:val="es-ES"/>
          </w:rPr>
          <w:t>3.2.</w:t>
        </w:r>
        <w:r w:rsidR="00B1771D">
          <w:rPr>
            <w:rFonts w:asciiTheme="minorHAnsi" w:eastAsiaTheme="minorEastAsia" w:hAnsiTheme="minorHAnsi" w:cstheme="minorBidi"/>
            <w:b w:val="0"/>
            <w:noProof/>
            <w:color w:val="auto"/>
            <w:lang w:eastAsia="en-GB"/>
          </w:rPr>
          <w:tab/>
        </w:r>
        <w:r w:rsidR="00B1771D" w:rsidRPr="009849EF">
          <w:rPr>
            <w:rStyle w:val="Hyperlink"/>
            <w:noProof/>
            <w:lang w:val="es-ES"/>
          </w:rPr>
          <w:t>EE.UU.</w:t>
        </w:r>
        <w:r w:rsidR="00B1771D">
          <w:rPr>
            <w:noProof/>
            <w:webHidden/>
          </w:rPr>
          <w:tab/>
        </w:r>
        <w:r w:rsidR="00B1771D">
          <w:rPr>
            <w:noProof/>
            <w:webHidden/>
          </w:rPr>
          <w:fldChar w:fldCharType="begin"/>
        </w:r>
        <w:r w:rsidR="00B1771D">
          <w:rPr>
            <w:noProof/>
            <w:webHidden/>
          </w:rPr>
          <w:instrText xml:space="preserve"> PAGEREF _Toc516146002 \h </w:instrText>
        </w:r>
        <w:r w:rsidR="00B1771D">
          <w:rPr>
            <w:noProof/>
            <w:webHidden/>
          </w:rPr>
        </w:r>
        <w:r w:rsidR="00B1771D">
          <w:rPr>
            <w:noProof/>
            <w:webHidden/>
          </w:rPr>
          <w:fldChar w:fldCharType="separate"/>
        </w:r>
        <w:r w:rsidR="005E6430">
          <w:rPr>
            <w:noProof/>
            <w:webHidden/>
          </w:rPr>
          <w:t>23</w:t>
        </w:r>
        <w:r w:rsidR="00B1771D">
          <w:rPr>
            <w:noProof/>
            <w:webHidden/>
          </w:rPr>
          <w:fldChar w:fldCharType="end"/>
        </w:r>
      </w:hyperlink>
    </w:p>
    <w:p w14:paraId="647B8239" w14:textId="6EEAFC05" w:rsidR="00B1771D" w:rsidRDefault="00D322D4">
      <w:pPr>
        <w:pStyle w:val="TOC3"/>
        <w:tabs>
          <w:tab w:val="left" w:pos="1320"/>
          <w:tab w:val="right" w:leader="dot" w:pos="8494"/>
        </w:tabs>
        <w:rPr>
          <w:rFonts w:asciiTheme="minorHAnsi" w:eastAsiaTheme="minorEastAsia" w:hAnsiTheme="minorHAnsi" w:cstheme="minorBidi"/>
          <w:noProof/>
          <w:color w:val="auto"/>
          <w:lang w:eastAsia="en-GB"/>
        </w:rPr>
      </w:pPr>
      <w:hyperlink w:anchor="_Toc516146003" w:history="1">
        <w:r w:rsidR="00B1771D" w:rsidRPr="009849EF">
          <w:rPr>
            <w:rStyle w:val="Hyperlink"/>
            <w:noProof/>
            <w:lang w:val="es-ES"/>
          </w:rPr>
          <w:t>3.2.1.</w:t>
        </w:r>
        <w:r w:rsidR="00B1771D">
          <w:rPr>
            <w:rFonts w:asciiTheme="minorHAnsi" w:eastAsiaTheme="minorEastAsia" w:hAnsiTheme="minorHAnsi" w:cstheme="minorBidi"/>
            <w:noProof/>
            <w:color w:val="auto"/>
            <w:lang w:eastAsia="en-GB"/>
          </w:rPr>
          <w:tab/>
        </w:r>
        <w:r w:rsidR="00B1771D" w:rsidRPr="009849EF">
          <w:rPr>
            <w:rStyle w:val="Hyperlink"/>
            <w:noProof/>
            <w:lang w:val="es-ES"/>
          </w:rPr>
          <w:t>Reglamentos de desempeño energético mínimo</w:t>
        </w:r>
        <w:r w:rsidR="00B1771D">
          <w:rPr>
            <w:noProof/>
            <w:webHidden/>
          </w:rPr>
          <w:tab/>
        </w:r>
        <w:r w:rsidR="00B1771D">
          <w:rPr>
            <w:noProof/>
            <w:webHidden/>
          </w:rPr>
          <w:fldChar w:fldCharType="begin"/>
        </w:r>
        <w:r w:rsidR="00B1771D">
          <w:rPr>
            <w:noProof/>
            <w:webHidden/>
          </w:rPr>
          <w:instrText xml:space="preserve"> PAGEREF _Toc516146003 \h </w:instrText>
        </w:r>
        <w:r w:rsidR="00B1771D">
          <w:rPr>
            <w:noProof/>
            <w:webHidden/>
          </w:rPr>
        </w:r>
        <w:r w:rsidR="00B1771D">
          <w:rPr>
            <w:noProof/>
            <w:webHidden/>
          </w:rPr>
          <w:fldChar w:fldCharType="separate"/>
        </w:r>
        <w:r w:rsidR="005E6430">
          <w:rPr>
            <w:noProof/>
            <w:webHidden/>
          </w:rPr>
          <w:t>23</w:t>
        </w:r>
        <w:r w:rsidR="00B1771D">
          <w:rPr>
            <w:noProof/>
            <w:webHidden/>
          </w:rPr>
          <w:fldChar w:fldCharType="end"/>
        </w:r>
      </w:hyperlink>
    </w:p>
    <w:p w14:paraId="713FC1D6" w14:textId="47D35011" w:rsidR="00B1771D" w:rsidRDefault="00D322D4">
      <w:pPr>
        <w:pStyle w:val="TOC3"/>
        <w:tabs>
          <w:tab w:val="left" w:pos="1320"/>
          <w:tab w:val="right" w:leader="dot" w:pos="8494"/>
        </w:tabs>
        <w:rPr>
          <w:rFonts w:asciiTheme="minorHAnsi" w:eastAsiaTheme="minorEastAsia" w:hAnsiTheme="minorHAnsi" w:cstheme="minorBidi"/>
          <w:noProof/>
          <w:color w:val="auto"/>
          <w:lang w:eastAsia="en-GB"/>
        </w:rPr>
      </w:pPr>
      <w:hyperlink w:anchor="_Toc516146004" w:history="1">
        <w:r w:rsidR="00B1771D" w:rsidRPr="009849EF">
          <w:rPr>
            <w:rStyle w:val="Hyperlink"/>
            <w:noProof/>
            <w:lang w:val="es-ES"/>
          </w:rPr>
          <w:t>3.2.2.</w:t>
        </w:r>
        <w:r w:rsidR="00B1771D">
          <w:rPr>
            <w:rFonts w:asciiTheme="minorHAnsi" w:eastAsiaTheme="minorEastAsia" w:hAnsiTheme="minorHAnsi" w:cstheme="minorBidi"/>
            <w:noProof/>
            <w:color w:val="auto"/>
            <w:lang w:eastAsia="en-GB"/>
          </w:rPr>
          <w:tab/>
        </w:r>
        <w:r w:rsidR="00B1771D" w:rsidRPr="009849EF">
          <w:rPr>
            <w:rStyle w:val="Hyperlink"/>
            <w:noProof/>
            <w:lang w:val="es-ES"/>
          </w:rPr>
          <w:t>Métodos de prueba</w:t>
        </w:r>
        <w:r w:rsidR="00B1771D">
          <w:rPr>
            <w:noProof/>
            <w:webHidden/>
          </w:rPr>
          <w:tab/>
        </w:r>
        <w:r w:rsidR="00B1771D">
          <w:rPr>
            <w:noProof/>
            <w:webHidden/>
          </w:rPr>
          <w:fldChar w:fldCharType="begin"/>
        </w:r>
        <w:r w:rsidR="00B1771D">
          <w:rPr>
            <w:noProof/>
            <w:webHidden/>
          </w:rPr>
          <w:instrText xml:space="preserve"> PAGEREF _Toc516146004 \h </w:instrText>
        </w:r>
        <w:r w:rsidR="00B1771D">
          <w:rPr>
            <w:noProof/>
            <w:webHidden/>
          </w:rPr>
        </w:r>
        <w:r w:rsidR="00B1771D">
          <w:rPr>
            <w:noProof/>
            <w:webHidden/>
          </w:rPr>
          <w:fldChar w:fldCharType="separate"/>
        </w:r>
        <w:r w:rsidR="005E6430">
          <w:rPr>
            <w:noProof/>
            <w:webHidden/>
          </w:rPr>
          <w:t>26</w:t>
        </w:r>
        <w:r w:rsidR="00B1771D">
          <w:rPr>
            <w:noProof/>
            <w:webHidden/>
          </w:rPr>
          <w:fldChar w:fldCharType="end"/>
        </w:r>
      </w:hyperlink>
    </w:p>
    <w:p w14:paraId="35FC159F" w14:textId="10B36695" w:rsidR="00B1771D" w:rsidRDefault="00D322D4">
      <w:pPr>
        <w:pStyle w:val="TOC3"/>
        <w:tabs>
          <w:tab w:val="left" w:pos="1320"/>
          <w:tab w:val="right" w:leader="dot" w:pos="8494"/>
        </w:tabs>
        <w:rPr>
          <w:rFonts w:asciiTheme="minorHAnsi" w:eastAsiaTheme="minorEastAsia" w:hAnsiTheme="minorHAnsi" w:cstheme="minorBidi"/>
          <w:noProof/>
          <w:color w:val="auto"/>
          <w:lang w:eastAsia="en-GB"/>
        </w:rPr>
      </w:pPr>
      <w:hyperlink w:anchor="_Toc516146005" w:history="1">
        <w:r w:rsidR="00B1771D" w:rsidRPr="009849EF">
          <w:rPr>
            <w:rStyle w:val="Hyperlink"/>
            <w:noProof/>
            <w:lang w:val="es-ES"/>
          </w:rPr>
          <w:t>3.2.3.</w:t>
        </w:r>
        <w:r w:rsidR="00B1771D">
          <w:rPr>
            <w:rFonts w:asciiTheme="minorHAnsi" w:eastAsiaTheme="minorEastAsia" w:hAnsiTheme="minorHAnsi" w:cstheme="minorBidi"/>
            <w:noProof/>
            <w:color w:val="auto"/>
            <w:lang w:eastAsia="en-GB"/>
          </w:rPr>
          <w:tab/>
        </w:r>
        <w:r w:rsidR="00B1771D" w:rsidRPr="009849EF">
          <w:rPr>
            <w:rStyle w:val="Hyperlink"/>
            <w:noProof/>
            <w:lang w:val="es-ES"/>
          </w:rPr>
          <w:t>Procedimientos de evaluación de la conformidad</w:t>
        </w:r>
        <w:r w:rsidR="00B1771D">
          <w:rPr>
            <w:noProof/>
            <w:webHidden/>
          </w:rPr>
          <w:tab/>
        </w:r>
        <w:r w:rsidR="00B1771D">
          <w:rPr>
            <w:noProof/>
            <w:webHidden/>
          </w:rPr>
          <w:fldChar w:fldCharType="begin"/>
        </w:r>
        <w:r w:rsidR="00B1771D">
          <w:rPr>
            <w:noProof/>
            <w:webHidden/>
          </w:rPr>
          <w:instrText xml:space="preserve"> PAGEREF _Toc516146005 \h </w:instrText>
        </w:r>
        <w:r w:rsidR="00B1771D">
          <w:rPr>
            <w:noProof/>
            <w:webHidden/>
          </w:rPr>
        </w:r>
        <w:r w:rsidR="00B1771D">
          <w:rPr>
            <w:noProof/>
            <w:webHidden/>
          </w:rPr>
          <w:fldChar w:fldCharType="separate"/>
        </w:r>
        <w:r w:rsidR="005E6430">
          <w:rPr>
            <w:noProof/>
            <w:webHidden/>
          </w:rPr>
          <w:t>27</w:t>
        </w:r>
        <w:r w:rsidR="00B1771D">
          <w:rPr>
            <w:noProof/>
            <w:webHidden/>
          </w:rPr>
          <w:fldChar w:fldCharType="end"/>
        </w:r>
      </w:hyperlink>
    </w:p>
    <w:p w14:paraId="22D63760" w14:textId="4D7323C4" w:rsidR="00B1771D" w:rsidRDefault="00D322D4">
      <w:pPr>
        <w:pStyle w:val="TOC3"/>
        <w:tabs>
          <w:tab w:val="left" w:pos="1320"/>
          <w:tab w:val="right" w:leader="dot" w:pos="8494"/>
        </w:tabs>
        <w:rPr>
          <w:rFonts w:asciiTheme="minorHAnsi" w:eastAsiaTheme="minorEastAsia" w:hAnsiTheme="minorHAnsi" w:cstheme="minorBidi"/>
          <w:noProof/>
          <w:color w:val="auto"/>
          <w:lang w:eastAsia="en-GB"/>
        </w:rPr>
      </w:pPr>
      <w:hyperlink w:anchor="_Toc516146006" w:history="1">
        <w:r w:rsidR="00B1771D" w:rsidRPr="009849EF">
          <w:rPr>
            <w:rStyle w:val="Hyperlink"/>
            <w:noProof/>
            <w:lang w:val="es-ES"/>
          </w:rPr>
          <w:t>3.2.4.</w:t>
        </w:r>
        <w:r w:rsidR="00B1771D">
          <w:rPr>
            <w:rFonts w:asciiTheme="minorHAnsi" w:eastAsiaTheme="minorEastAsia" w:hAnsiTheme="minorHAnsi" w:cstheme="minorBidi"/>
            <w:noProof/>
            <w:color w:val="auto"/>
            <w:lang w:eastAsia="en-GB"/>
          </w:rPr>
          <w:tab/>
        </w:r>
        <w:r w:rsidR="00B1771D" w:rsidRPr="009849EF">
          <w:rPr>
            <w:rStyle w:val="Hyperlink"/>
            <w:noProof/>
            <w:lang w:val="es-ES"/>
          </w:rPr>
          <w:t>Reglamento de etiquetado</w:t>
        </w:r>
        <w:r w:rsidR="00B1771D">
          <w:rPr>
            <w:noProof/>
            <w:webHidden/>
          </w:rPr>
          <w:tab/>
        </w:r>
        <w:r w:rsidR="00B1771D">
          <w:rPr>
            <w:noProof/>
            <w:webHidden/>
          </w:rPr>
          <w:fldChar w:fldCharType="begin"/>
        </w:r>
        <w:r w:rsidR="00B1771D">
          <w:rPr>
            <w:noProof/>
            <w:webHidden/>
          </w:rPr>
          <w:instrText xml:space="preserve"> PAGEREF _Toc516146006 \h </w:instrText>
        </w:r>
        <w:r w:rsidR="00B1771D">
          <w:rPr>
            <w:noProof/>
            <w:webHidden/>
          </w:rPr>
        </w:r>
        <w:r w:rsidR="00B1771D">
          <w:rPr>
            <w:noProof/>
            <w:webHidden/>
          </w:rPr>
          <w:fldChar w:fldCharType="separate"/>
        </w:r>
        <w:r w:rsidR="005E6430">
          <w:rPr>
            <w:noProof/>
            <w:webHidden/>
          </w:rPr>
          <w:t>27</w:t>
        </w:r>
        <w:r w:rsidR="00B1771D">
          <w:rPr>
            <w:noProof/>
            <w:webHidden/>
          </w:rPr>
          <w:fldChar w:fldCharType="end"/>
        </w:r>
      </w:hyperlink>
    </w:p>
    <w:p w14:paraId="0F1723B6" w14:textId="552FF489" w:rsidR="00B1771D" w:rsidRDefault="00D322D4">
      <w:pPr>
        <w:pStyle w:val="TOC2"/>
        <w:tabs>
          <w:tab w:val="left" w:pos="1100"/>
          <w:tab w:val="right" w:leader="dot" w:pos="8494"/>
        </w:tabs>
        <w:rPr>
          <w:rFonts w:asciiTheme="minorHAnsi" w:eastAsiaTheme="minorEastAsia" w:hAnsiTheme="minorHAnsi" w:cstheme="minorBidi"/>
          <w:b w:val="0"/>
          <w:noProof/>
          <w:color w:val="auto"/>
          <w:lang w:eastAsia="en-GB"/>
        </w:rPr>
      </w:pPr>
      <w:hyperlink w:anchor="_Toc516146007" w:history="1">
        <w:r w:rsidR="00B1771D" w:rsidRPr="009849EF">
          <w:rPr>
            <w:rStyle w:val="Hyperlink"/>
            <w:noProof/>
            <w:lang w:val="es-ES"/>
          </w:rPr>
          <w:t>3.3.</w:t>
        </w:r>
        <w:r w:rsidR="00B1771D">
          <w:rPr>
            <w:rFonts w:asciiTheme="minorHAnsi" w:eastAsiaTheme="minorEastAsia" w:hAnsiTheme="minorHAnsi" w:cstheme="minorBidi"/>
            <w:b w:val="0"/>
            <w:noProof/>
            <w:color w:val="auto"/>
            <w:lang w:eastAsia="en-GB"/>
          </w:rPr>
          <w:tab/>
        </w:r>
        <w:r w:rsidR="00B1771D" w:rsidRPr="009849EF">
          <w:rPr>
            <w:rStyle w:val="Hyperlink"/>
            <w:noProof/>
            <w:lang w:val="es-ES"/>
          </w:rPr>
          <w:t>Unión Europea</w:t>
        </w:r>
        <w:r w:rsidR="00B1771D">
          <w:rPr>
            <w:noProof/>
            <w:webHidden/>
          </w:rPr>
          <w:tab/>
        </w:r>
        <w:r w:rsidR="00B1771D">
          <w:rPr>
            <w:noProof/>
            <w:webHidden/>
          </w:rPr>
          <w:fldChar w:fldCharType="begin"/>
        </w:r>
        <w:r w:rsidR="00B1771D">
          <w:rPr>
            <w:noProof/>
            <w:webHidden/>
          </w:rPr>
          <w:instrText xml:space="preserve"> PAGEREF _Toc516146007 \h </w:instrText>
        </w:r>
        <w:r w:rsidR="00B1771D">
          <w:rPr>
            <w:noProof/>
            <w:webHidden/>
          </w:rPr>
        </w:r>
        <w:r w:rsidR="00B1771D">
          <w:rPr>
            <w:noProof/>
            <w:webHidden/>
          </w:rPr>
          <w:fldChar w:fldCharType="separate"/>
        </w:r>
        <w:r w:rsidR="005E6430">
          <w:rPr>
            <w:noProof/>
            <w:webHidden/>
          </w:rPr>
          <w:t>28</w:t>
        </w:r>
        <w:r w:rsidR="00B1771D">
          <w:rPr>
            <w:noProof/>
            <w:webHidden/>
          </w:rPr>
          <w:fldChar w:fldCharType="end"/>
        </w:r>
      </w:hyperlink>
    </w:p>
    <w:p w14:paraId="05C1BBB0" w14:textId="2BC51FE9" w:rsidR="00B1771D" w:rsidRDefault="00D322D4">
      <w:pPr>
        <w:pStyle w:val="TOC3"/>
        <w:tabs>
          <w:tab w:val="left" w:pos="1320"/>
          <w:tab w:val="right" w:leader="dot" w:pos="8494"/>
        </w:tabs>
        <w:rPr>
          <w:rFonts w:asciiTheme="minorHAnsi" w:eastAsiaTheme="minorEastAsia" w:hAnsiTheme="minorHAnsi" w:cstheme="minorBidi"/>
          <w:noProof/>
          <w:color w:val="auto"/>
          <w:lang w:eastAsia="en-GB"/>
        </w:rPr>
      </w:pPr>
      <w:hyperlink w:anchor="_Toc516146008" w:history="1">
        <w:r w:rsidR="00B1771D" w:rsidRPr="009849EF">
          <w:rPr>
            <w:rStyle w:val="Hyperlink"/>
            <w:noProof/>
            <w:lang w:val="es-ES"/>
          </w:rPr>
          <w:t>3.3.1.</w:t>
        </w:r>
        <w:r w:rsidR="00B1771D">
          <w:rPr>
            <w:rFonts w:asciiTheme="minorHAnsi" w:eastAsiaTheme="minorEastAsia" w:hAnsiTheme="minorHAnsi" w:cstheme="minorBidi"/>
            <w:noProof/>
            <w:color w:val="auto"/>
            <w:lang w:eastAsia="en-GB"/>
          </w:rPr>
          <w:tab/>
        </w:r>
        <w:r w:rsidR="00B1771D" w:rsidRPr="009849EF">
          <w:rPr>
            <w:rStyle w:val="Hyperlink"/>
            <w:noProof/>
            <w:lang w:val="es-ES"/>
          </w:rPr>
          <w:t>Reglamentos de diseño ecológico</w:t>
        </w:r>
        <w:r w:rsidR="00B1771D">
          <w:rPr>
            <w:noProof/>
            <w:webHidden/>
          </w:rPr>
          <w:tab/>
        </w:r>
        <w:r w:rsidR="00B1771D">
          <w:rPr>
            <w:noProof/>
            <w:webHidden/>
          </w:rPr>
          <w:fldChar w:fldCharType="begin"/>
        </w:r>
        <w:r w:rsidR="00B1771D">
          <w:rPr>
            <w:noProof/>
            <w:webHidden/>
          </w:rPr>
          <w:instrText xml:space="preserve"> PAGEREF _Toc516146008 \h </w:instrText>
        </w:r>
        <w:r w:rsidR="00B1771D">
          <w:rPr>
            <w:noProof/>
            <w:webHidden/>
          </w:rPr>
        </w:r>
        <w:r w:rsidR="00B1771D">
          <w:rPr>
            <w:noProof/>
            <w:webHidden/>
          </w:rPr>
          <w:fldChar w:fldCharType="separate"/>
        </w:r>
        <w:r w:rsidR="005E6430">
          <w:rPr>
            <w:noProof/>
            <w:webHidden/>
          </w:rPr>
          <w:t>29</w:t>
        </w:r>
        <w:r w:rsidR="00B1771D">
          <w:rPr>
            <w:noProof/>
            <w:webHidden/>
          </w:rPr>
          <w:fldChar w:fldCharType="end"/>
        </w:r>
      </w:hyperlink>
    </w:p>
    <w:p w14:paraId="7449F5BF" w14:textId="4465F5F3" w:rsidR="00B1771D" w:rsidRDefault="00D322D4">
      <w:pPr>
        <w:pStyle w:val="TOC3"/>
        <w:tabs>
          <w:tab w:val="left" w:pos="1320"/>
          <w:tab w:val="right" w:leader="dot" w:pos="8494"/>
        </w:tabs>
        <w:rPr>
          <w:rFonts w:asciiTheme="minorHAnsi" w:eastAsiaTheme="minorEastAsia" w:hAnsiTheme="minorHAnsi" w:cstheme="minorBidi"/>
          <w:noProof/>
          <w:color w:val="auto"/>
          <w:lang w:eastAsia="en-GB"/>
        </w:rPr>
      </w:pPr>
      <w:hyperlink w:anchor="_Toc516146009" w:history="1">
        <w:r w:rsidR="00B1771D" w:rsidRPr="009849EF">
          <w:rPr>
            <w:rStyle w:val="Hyperlink"/>
            <w:noProof/>
            <w:lang w:val="es-ES"/>
          </w:rPr>
          <w:t>3.3.2.</w:t>
        </w:r>
        <w:r w:rsidR="00B1771D">
          <w:rPr>
            <w:rFonts w:asciiTheme="minorHAnsi" w:eastAsiaTheme="minorEastAsia" w:hAnsiTheme="minorHAnsi" w:cstheme="minorBidi"/>
            <w:noProof/>
            <w:color w:val="auto"/>
            <w:lang w:eastAsia="en-GB"/>
          </w:rPr>
          <w:tab/>
        </w:r>
        <w:r w:rsidR="00B1771D" w:rsidRPr="009849EF">
          <w:rPr>
            <w:rStyle w:val="Hyperlink"/>
            <w:noProof/>
            <w:lang w:val="es-ES"/>
          </w:rPr>
          <w:t>Métodos de prueba</w:t>
        </w:r>
        <w:r w:rsidR="00B1771D">
          <w:rPr>
            <w:noProof/>
            <w:webHidden/>
          </w:rPr>
          <w:tab/>
        </w:r>
        <w:r w:rsidR="00B1771D">
          <w:rPr>
            <w:noProof/>
            <w:webHidden/>
          </w:rPr>
          <w:fldChar w:fldCharType="begin"/>
        </w:r>
        <w:r w:rsidR="00B1771D">
          <w:rPr>
            <w:noProof/>
            <w:webHidden/>
          </w:rPr>
          <w:instrText xml:space="preserve"> PAGEREF _Toc516146009 \h </w:instrText>
        </w:r>
        <w:r w:rsidR="00B1771D">
          <w:rPr>
            <w:noProof/>
            <w:webHidden/>
          </w:rPr>
        </w:r>
        <w:r w:rsidR="00B1771D">
          <w:rPr>
            <w:noProof/>
            <w:webHidden/>
          </w:rPr>
          <w:fldChar w:fldCharType="separate"/>
        </w:r>
        <w:r w:rsidR="005E6430">
          <w:rPr>
            <w:noProof/>
            <w:webHidden/>
          </w:rPr>
          <w:t>32</w:t>
        </w:r>
        <w:r w:rsidR="00B1771D">
          <w:rPr>
            <w:noProof/>
            <w:webHidden/>
          </w:rPr>
          <w:fldChar w:fldCharType="end"/>
        </w:r>
      </w:hyperlink>
    </w:p>
    <w:p w14:paraId="5465A409" w14:textId="16994FFC" w:rsidR="00B1771D" w:rsidRDefault="00D322D4">
      <w:pPr>
        <w:pStyle w:val="TOC3"/>
        <w:tabs>
          <w:tab w:val="left" w:pos="1320"/>
          <w:tab w:val="right" w:leader="dot" w:pos="8494"/>
        </w:tabs>
        <w:rPr>
          <w:rFonts w:asciiTheme="minorHAnsi" w:eastAsiaTheme="minorEastAsia" w:hAnsiTheme="minorHAnsi" w:cstheme="minorBidi"/>
          <w:noProof/>
          <w:color w:val="auto"/>
          <w:lang w:eastAsia="en-GB"/>
        </w:rPr>
      </w:pPr>
      <w:hyperlink w:anchor="_Toc516146010" w:history="1">
        <w:r w:rsidR="00B1771D" w:rsidRPr="009849EF">
          <w:rPr>
            <w:rStyle w:val="Hyperlink"/>
            <w:noProof/>
            <w:lang w:val="es-ES"/>
          </w:rPr>
          <w:t>3.3.3.</w:t>
        </w:r>
        <w:r w:rsidR="00B1771D">
          <w:rPr>
            <w:rFonts w:asciiTheme="minorHAnsi" w:eastAsiaTheme="minorEastAsia" w:hAnsiTheme="minorHAnsi" w:cstheme="minorBidi"/>
            <w:noProof/>
            <w:color w:val="auto"/>
            <w:lang w:eastAsia="en-GB"/>
          </w:rPr>
          <w:tab/>
        </w:r>
        <w:r w:rsidR="00B1771D" w:rsidRPr="009849EF">
          <w:rPr>
            <w:rStyle w:val="Hyperlink"/>
            <w:noProof/>
            <w:lang w:val="es-ES"/>
          </w:rPr>
          <w:t>Procedimientos de evaluación de la conformidad</w:t>
        </w:r>
        <w:r w:rsidR="00B1771D">
          <w:rPr>
            <w:noProof/>
            <w:webHidden/>
          </w:rPr>
          <w:tab/>
        </w:r>
        <w:r w:rsidR="00B1771D">
          <w:rPr>
            <w:noProof/>
            <w:webHidden/>
          </w:rPr>
          <w:fldChar w:fldCharType="begin"/>
        </w:r>
        <w:r w:rsidR="00B1771D">
          <w:rPr>
            <w:noProof/>
            <w:webHidden/>
          </w:rPr>
          <w:instrText xml:space="preserve"> PAGEREF _Toc516146010 \h </w:instrText>
        </w:r>
        <w:r w:rsidR="00B1771D">
          <w:rPr>
            <w:noProof/>
            <w:webHidden/>
          </w:rPr>
        </w:r>
        <w:r w:rsidR="00B1771D">
          <w:rPr>
            <w:noProof/>
            <w:webHidden/>
          </w:rPr>
          <w:fldChar w:fldCharType="separate"/>
        </w:r>
        <w:r w:rsidR="005E6430">
          <w:rPr>
            <w:noProof/>
            <w:webHidden/>
          </w:rPr>
          <w:t>35</w:t>
        </w:r>
        <w:r w:rsidR="00B1771D">
          <w:rPr>
            <w:noProof/>
            <w:webHidden/>
          </w:rPr>
          <w:fldChar w:fldCharType="end"/>
        </w:r>
      </w:hyperlink>
    </w:p>
    <w:p w14:paraId="5A52CCA7" w14:textId="129E2ED2" w:rsidR="00B1771D" w:rsidRDefault="00D322D4">
      <w:pPr>
        <w:pStyle w:val="TOC3"/>
        <w:tabs>
          <w:tab w:val="left" w:pos="1320"/>
          <w:tab w:val="right" w:leader="dot" w:pos="8494"/>
        </w:tabs>
        <w:rPr>
          <w:rFonts w:asciiTheme="minorHAnsi" w:eastAsiaTheme="minorEastAsia" w:hAnsiTheme="minorHAnsi" w:cstheme="minorBidi"/>
          <w:noProof/>
          <w:color w:val="auto"/>
          <w:lang w:eastAsia="en-GB"/>
        </w:rPr>
      </w:pPr>
      <w:hyperlink w:anchor="_Toc516146011" w:history="1">
        <w:r w:rsidR="00B1771D" w:rsidRPr="009849EF">
          <w:rPr>
            <w:rStyle w:val="Hyperlink"/>
            <w:noProof/>
            <w:lang w:val="es-ES"/>
          </w:rPr>
          <w:t>3.3.4.</w:t>
        </w:r>
        <w:r w:rsidR="00B1771D">
          <w:rPr>
            <w:rFonts w:asciiTheme="minorHAnsi" w:eastAsiaTheme="minorEastAsia" w:hAnsiTheme="minorHAnsi" w:cstheme="minorBidi"/>
            <w:noProof/>
            <w:color w:val="auto"/>
            <w:lang w:eastAsia="en-GB"/>
          </w:rPr>
          <w:tab/>
        </w:r>
        <w:r w:rsidR="00B1771D" w:rsidRPr="009849EF">
          <w:rPr>
            <w:rStyle w:val="Hyperlink"/>
            <w:noProof/>
            <w:lang w:val="es-ES"/>
          </w:rPr>
          <w:t>Reglamentos de etiquetado e información al consumidor</w:t>
        </w:r>
        <w:r w:rsidR="00B1771D">
          <w:rPr>
            <w:noProof/>
            <w:webHidden/>
          </w:rPr>
          <w:tab/>
        </w:r>
        <w:r w:rsidR="00B1771D">
          <w:rPr>
            <w:noProof/>
            <w:webHidden/>
          </w:rPr>
          <w:fldChar w:fldCharType="begin"/>
        </w:r>
        <w:r w:rsidR="00B1771D">
          <w:rPr>
            <w:noProof/>
            <w:webHidden/>
          </w:rPr>
          <w:instrText xml:space="preserve"> PAGEREF _Toc516146011 \h </w:instrText>
        </w:r>
        <w:r w:rsidR="00B1771D">
          <w:rPr>
            <w:noProof/>
            <w:webHidden/>
          </w:rPr>
        </w:r>
        <w:r w:rsidR="00B1771D">
          <w:rPr>
            <w:noProof/>
            <w:webHidden/>
          </w:rPr>
          <w:fldChar w:fldCharType="separate"/>
        </w:r>
        <w:r w:rsidR="005E6430">
          <w:rPr>
            <w:noProof/>
            <w:webHidden/>
          </w:rPr>
          <w:t>35</w:t>
        </w:r>
        <w:r w:rsidR="00B1771D">
          <w:rPr>
            <w:noProof/>
            <w:webHidden/>
          </w:rPr>
          <w:fldChar w:fldCharType="end"/>
        </w:r>
      </w:hyperlink>
    </w:p>
    <w:p w14:paraId="35820546" w14:textId="5976F193" w:rsidR="00B1771D" w:rsidRDefault="00D322D4">
      <w:pPr>
        <w:pStyle w:val="TOC2"/>
        <w:tabs>
          <w:tab w:val="left" w:pos="1100"/>
          <w:tab w:val="right" w:leader="dot" w:pos="8494"/>
        </w:tabs>
        <w:rPr>
          <w:rFonts w:asciiTheme="minorHAnsi" w:eastAsiaTheme="minorEastAsia" w:hAnsiTheme="minorHAnsi" w:cstheme="minorBidi"/>
          <w:b w:val="0"/>
          <w:noProof/>
          <w:color w:val="auto"/>
          <w:lang w:eastAsia="en-GB"/>
        </w:rPr>
      </w:pPr>
      <w:hyperlink w:anchor="_Toc516146012" w:history="1">
        <w:r w:rsidR="00B1771D" w:rsidRPr="009849EF">
          <w:rPr>
            <w:rStyle w:val="Hyperlink"/>
            <w:noProof/>
            <w:lang w:val="es-ES"/>
          </w:rPr>
          <w:t>3.4.</w:t>
        </w:r>
        <w:r w:rsidR="00B1771D">
          <w:rPr>
            <w:rFonts w:asciiTheme="minorHAnsi" w:eastAsiaTheme="minorEastAsia" w:hAnsiTheme="minorHAnsi" w:cstheme="minorBidi"/>
            <w:b w:val="0"/>
            <w:noProof/>
            <w:color w:val="auto"/>
            <w:lang w:eastAsia="en-GB"/>
          </w:rPr>
          <w:tab/>
        </w:r>
        <w:r w:rsidR="00B1771D" w:rsidRPr="009849EF">
          <w:rPr>
            <w:rStyle w:val="Hyperlink"/>
            <w:noProof/>
            <w:lang w:val="es-ES"/>
          </w:rPr>
          <w:t>México</w:t>
        </w:r>
        <w:r w:rsidR="00B1771D">
          <w:rPr>
            <w:noProof/>
            <w:webHidden/>
          </w:rPr>
          <w:tab/>
        </w:r>
        <w:r w:rsidR="00B1771D">
          <w:rPr>
            <w:noProof/>
            <w:webHidden/>
          </w:rPr>
          <w:fldChar w:fldCharType="begin"/>
        </w:r>
        <w:r w:rsidR="00B1771D">
          <w:rPr>
            <w:noProof/>
            <w:webHidden/>
          </w:rPr>
          <w:instrText xml:space="preserve"> PAGEREF _Toc516146012 \h </w:instrText>
        </w:r>
        <w:r w:rsidR="00B1771D">
          <w:rPr>
            <w:noProof/>
            <w:webHidden/>
          </w:rPr>
        </w:r>
        <w:r w:rsidR="00B1771D">
          <w:rPr>
            <w:noProof/>
            <w:webHidden/>
          </w:rPr>
          <w:fldChar w:fldCharType="separate"/>
        </w:r>
        <w:r w:rsidR="005E6430">
          <w:rPr>
            <w:noProof/>
            <w:webHidden/>
          </w:rPr>
          <w:t>39</w:t>
        </w:r>
        <w:r w:rsidR="00B1771D">
          <w:rPr>
            <w:noProof/>
            <w:webHidden/>
          </w:rPr>
          <w:fldChar w:fldCharType="end"/>
        </w:r>
      </w:hyperlink>
    </w:p>
    <w:p w14:paraId="581129C4" w14:textId="431E7296" w:rsidR="00B1771D" w:rsidRDefault="00D322D4">
      <w:pPr>
        <w:pStyle w:val="TOC3"/>
        <w:tabs>
          <w:tab w:val="left" w:pos="1320"/>
          <w:tab w:val="right" w:leader="dot" w:pos="8494"/>
        </w:tabs>
        <w:rPr>
          <w:rFonts w:asciiTheme="minorHAnsi" w:eastAsiaTheme="minorEastAsia" w:hAnsiTheme="minorHAnsi" w:cstheme="minorBidi"/>
          <w:noProof/>
          <w:color w:val="auto"/>
          <w:lang w:eastAsia="en-GB"/>
        </w:rPr>
      </w:pPr>
      <w:hyperlink w:anchor="_Toc516146013" w:history="1">
        <w:r w:rsidR="00B1771D" w:rsidRPr="009849EF">
          <w:rPr>
            <w:rStyle w:val="Hyperlink"/>
            <w:noProof/>
            <w:lang w:val="es-ES"/>
          </w:rPr>
          <w:t>3.4.1.</w:t>
        </w:r>
        <w:r w:rsidR="00B1771D">
          <w:rPr>
            <w:rFonts w:asciiTheme="minorHAnsi" w:eastAsiaTheme="minorEastAsia" w:hAnsiTheme="minorHAnsi" w:cstheme="minorBidi"/>
            <w:noProof/>
            <w:color w:val="auto"/>
            <w:lang w:eastAsia="en-GB"/>
          </w:rPr>
          <w:tab/>
        </w:r>
        <w:r w:rsidR="00B1771D" w:rsidRPr="009849EF">
          <w:rPr>
            <w:rStyle w:val="Hyperlink"/>
            <w:noProof/>
            <w:lang w:val="es-ES"/>
          </w:rPr>
          <w:t>Límites de desempeño energético mínimo y marcado</w:t>
        </w:r>
        <w:r w:rsidR="00B1771D">
          <w:rPr>
            <w:noProof/>
            <w:webHidden/>
          </w:rPr>
          <w:tab/>
        </w:r>
        <w:r w:rsidR="00B1771D">
          <w:rPr>
            <w:noProof/>
            <w:webHidden/>
          </w:rPr>
          <w:fldChar w:fldCharType="begin"/>
        </w:r>
        <w:r w:rsidR="00B1771D">
          <w:rPr>
            <w:noProof/>
            <w:webHidden/>
          </w:rPr>
          <w:instrText xml:space="preserve"> PAGEREF _Toc516146013 \h </w:instrText>
        </w:r>
        <w:r w:rsidR="00B1771D">
          <w:rPr>
            <w:noProof/>
            <w:webHidden/>
          </w:rPr>
        </w:r>
        <w:r w:rsidR="00B1771D">
          <w:rPr>
            <w:noProof/>
            <w:webHidden/>
          </w:rPr>
          <w:fldChar w:fldCharType="separate"/>
        </w:r>
        <w:r w:rsidR="005E6430">
          <w:rPr>
            <w:noProof/>
            <w:webHidden/>
          </w:rPr>
          <w:t>40</w:t>
        </w:r>
        <w:r w:rsidR="00B1771D">
          <w:rPr>
            <w:noProof/>
            <w:webHidden/>
          </w:rPr>
          <w:fldChar w:fldCharType="end"/>
        </w:r>
      </w:hyperlink>
    </w:p>
    <w:p w14:paraId="257C2E27" w14:textId="021ECAB3" w:rsidR="00B1771D" w:rsidRDefault="00D322D4">
      <w:pPr>
        <w:pStyle w:val="TOC3"/>
        <w:tabs>
          <w:tab w:val="left" w:pos="1320"/>
          <w:tab w:val="right" w:leader="dot" w:pos="8494"/>
        </w:tabs>
        <w:rPr>
          <w:rFonts w:asciiTheme="minorHAnsi" w:eastAsiaTheme="minorEastAsia" w:hAnsiTheme="minorHAnsi" w:cstheme="minorBidi"/>
          <w:noProof/>
          <w:color w:val="auto"/>
          <w:lang w:eastAsia="en-GB"/>
        </w:rPr>
      </w:pPr>
      <w:hyperlink w:anchor="_Toc516146014" w:history="1">
        <w:r w:rsidR="00B1771D" w:rsidRPr="009849EF">
          <w:rPr>
            <w:rStyle w:val="Hyperlink"/>
            <w:noProof/>
            <w:lang w:val="es-ES"/>
          </w:rPr>
          <w:t>3.4.2.</w:t>
        </w:r>
        <w:r w:rsidR="00B1771D">
          <w:rPr>
            <w:rFonts w:asciiTheme="minorHAnsi" w:eastAsiaTheme="minorEastAsia" w:hAnsiTheme="minorHAnsi" w:cstheme="minorBidi"/>
            <w:noProof/>
            <w:color w:val="auto"/>
            <w:lang w:eastAsia="en-GB"/>
          </w:rPr>
          <w:tab/>
        </w:r>
        <w:r w:rsidR="00B1771D" w:rsidRPr="009849EF">
          <w:rPr>
            <w:rStyle w:val="Hyperlink"/>
            <w:noProof/>
            <w:lang w:val="es-ES"/>
          </w:rPr>
          <w:t>Métodos de prueba</w:t>
        </w:r>
        <w:r w:rsidR="00B1771D">
          <w:rPr>
            <w:noProof/>
            <w:webHidden/>
          </w:rPr>
          <w:tab/>
        </w:r>
        <w:r w:rsidR="00B1771D">
          <w:rPr>
            <w:noProof/>
            <w:webHidden/>
          </w:rPr>
          <w:fldChar w:fldCharType="begin"/>
        </w:r>
        <w:r w:rsidR="00B1771D">
          <w:rPr>
            <w:noProof/>
            <w:webHidden/>
          </w:rPr>
          <w:instrText xml:space="preserve"> PAGEREF _Toc516146014 \h </w:instrText>
        </w:r>
        <w:r w:rsidR="00B1771D">
          <w:rPr>
            <w:noProof/>
            <w:webHidden/>
          </w:rPr>
        </w:r>
        <w:r w:rsidR="00B1771D">
          <w:rPr>
            <w:noProof/>
            <w:webHidden/>
          </w:rPr>
          <w:fldChar w:fldCharType="separate"/>
        </w:r>
        <w:r w:rsidR="005E6430">
          <w:rPr>
            <w:noProof/>
            <w:webHidden/>
          </w:rPr>
          <w:t>41</w:t>
        </w:r>
        <w:r w:rsidR="00B1771D">
          <w:rPr>
            <w:noProof/>
            <w:webHidden/>
          </w:rPr>
          <w:fldChar w:fldCharType="end"/>
        </w:r>
      </w:hyperlink>
    </w:p>
    <w:p w14:paraId="280361DD" w14:textId="7252DF36" w:rsidR="00B1771D" w:rsidRDefault="00D322D4">
      <w:pPr>
        <w:pStyle w:val="TOC3"/>
        <w:tabs>
          <w:tab w:val="left" w:pos="1320"/>
          <w:tab w:val="right" w:leader="dot" w:pos="8494"/>
        </w:tabs>
        <w:rPr>
          <w:rFonts w:asciiTheme="minorHAnsi" w:eastAsiaTheme="minorEastAsia" w:hAnsiTheme="minorHAnsi" w:cstheme="minorBidi"/>
          <w:noProof/>
          <w:color w:val="auto"/>
          <w:lang w:eastAsia="en-GB"/>
        </w:rPr>
      </w:pPr>
      <w:hyperlink w:anchor="_Toc516146015" w:history="1">
        <w:r w:rsidR="00B1771D" w:rsidRPr="009849EF">
          <w:rPr>
            <w:rStyle w:val="Hyperlink"/>
            <w:noProof/>
            <w:lang w:val="es-ES"/>
          </w:rPr>
          <w:t>3.4.3.</w:t>
        </w:r>
        <w:r w:rsidR="00B1771D">
          <w:rPr>
            <w:rFonts w:asciiTheme="minorHAnsi" w:eastAsiaTheme="minorEastAsia" w:hAnsiTheme="minorHAnsi" w:cstheme="minorBidi"/>
            <w:noProof/>
            <w:color w:val="auto"/>
            <w:lang w:eastAsia="en-GB"/>
          </w:rPr>
          <w:tab/>
        </w:r>
        <w:r w:rsidR="00B1771D" w:rsidRPr="009849EF">
          <w:rPr>
            <w:rStyle w:val="Hyperlink"/>
            <w:noProof/>
            <w:lang w:val="es-ES"/>
          </w:rPr>
          <w:t>Procedimientos de evaluación de la conformidad</w:t>
        </w:r>
        <w:r w:rsidR="00B1771D">
          <w:rPr>
            <w:noProof/>
            <w:webHidden/>
          </w:rPr>
          <w:tab/>
        </w:r>
        <w:r w:rsidR="00B1771D">
          <w:rPr>
            <w:noProof/>
            <w:webHidden/>
          </w:rPr>
          <w:fldChar w:fldCharType="begin"/>
        </w:r>
        <w:r w:rsidR="00B1771D">
          <w:rPr>
            <w:noProof/>
            <w:webHidden/>
          </w:rPr>
          <w:instrText xml:space="preserve"> PAGEREF _Toc516146015 \h </w:instrText>
        </w:r>
        <w:r w:rsidR="00B1771D">
          <w:rPr>
            <w:noProof/>
            <w:webHidden/>
          </w:rPr>
        </w:r>
        <w:r w:rsidR="00B1771D">
          <w:rPr>
            <w:noProof/>
            <w:webHidden/>
          </w:rPr>
          <w:fldChar w:fldCharType="separate"/>
        </w:r>
        <w:r w:rsidR="005E6430">
          <w:rPr>
            <w:noProof/>
            <w:webHidden/>
          </w:rPr>
          <w:t>41</w:t>
        </w:r>
        <w:r w:rsidR="00B1771D">
          <w:rPr>
            <w:noProof/>
            <w:webHidden/>
          </w:rPr>
          <w:fldChar w:fldCharType="end"/>
        </w:r>
      </w:hyperlink>
    </w:p>
    <w:p w14:paraId="24CE3101" w14:textId="7049FE92" w:rsidR="00B1771D" w:rsidRDefault="00D322D4">
      <w:pPr>
        <w:pStyle w:val="TOC3"/>
        <w:tabs>
          <w:tab w:val="left" w:pos="1320"/>
          <w:tab w:val="right" w:leader="dot" w:pos="8494"/>
        </w:tabs>
        <w:rPr>
          <w:rFonts w:asciiTheme="minorHAnsi" w:eastAsiaTheme="minorEastAsia" w:hAnsiTheme="minorHAnsi" w:cstheme="minorBidi"/>
          <w:noProof/>
          <w:color w:val="auto"/>
          <w:lang w:eastAsia="en-GB"/>
        </w:rPr>
      </w:pPr>
      <w:hyperlink w:anchor="_Toc516146016" w:history="1">
        <w:r w:rsidR="00B1771D" w:rsidRPr="009849EF">
          <w:rPr>
            <w:rStyle w:val="Hyperlink"/>
            <w:noProof/>
            <w:lang w:val="es-ES"/>
          </w:rPr>
          <w:t>3.4.4.</w:t>
        </w:r>
        <w:r w:rsidR="00B1771D">
          <w:rPr>
            <w:rFonts w:asciiTheme="minorHAnsi" w:eastAsiaTheme="minorEastAsia" w:hAnsiTheme="minorHAnsi" w:cstheme="minorBidi"/>
            <w:noProof/>
            <w:color w:val="auto"/>
            <w:lang w:eastAsia="en-GB"/>
          </w:rPr>
          <w:tab/>
        </w:r>
        <w:r w:rsidR="00B1771D" w:rsidRPr="009849EF">
          <w:rPr>
            <w:rStyle w:val="Hyperlink"/>
            <w:noProof/>
            <w:lang w:val="es-ES"/>
          </w:rPr>
          <w:t>Marcado</w:t>
        </w:r>
        <w:r w:rsidR="00B1771D">
          <w:rPr>
            <w:noProof/>
            <w:webHidden/>
          </w:rPr>
          <w:tab/>
        </w:r>
        <w:r w:rsidR="00B1771D">
          <w:rPr>
            <w:noProof/>
            <w:webHidden/>
          </w:rPr>
          <w:fldChar w:fldCharType="begin"/>
        </w:r>
        <w:r w:rsidR="00B1771D">
          <w:rPr>
            <w:noProof/>
            <w:webHidden/>
          </w:rPr>
          <w:instrText xml:space="preserve"> PAGEREF _Toc516146016 \h </w:instrText>
        </w:r>
        <w:r w:rsidR="00B1771D">
          <w:rPr>
            <w:noProof/>
            <w:webHidden/>
          </w:rPr>
        </w:r>
        <w:r w:rsidR="00B1771D">
          <w:rPr>
            <w:noProof/>
            <w:webHidden/>
          </w:rPr>
          <w:fldChar w:fldCharType="separate"/>
        </w:r>
        <w:r w:rsidR="005E6430">
          <w:rPr>
            <w:noProof/>
            <w:webHidden/>
          </w:rPr>
          <w:t>42</w:t>
        </w:r>
        <w:r w:rsidR="00B1771D">
          <w:rPr>
            <w:noProof/>
            <w:webHidden/>
          </w:rPr>
          <w:fldChar w:fldCharType="end"/>
        </w:r>
      </w:hyperlink>
    </w:p>
    <w:p w14:paraId="153AC56A" w14:textId="61B823CB" w:rsidR="00B1771D" w:rsidRDefault="00D322D4">
      <w:pPr>
        <w:pStyle w:val="TOC2"/>
        <w:tabs>
          <w:tab w:val="left" w:pos="1100"/>
          <w:tab w:val="right" w:leader="dot" w:pos="8494"/>
        </w:tabs>
        <w:rPr>
          <w:rFonts w:asciiTheme="minorHAnsi" w:eastAsiaTheme="minorEastAsia" w:hAnsiTheme="minorHAnsi" w:cstheme="minorBidi"/>
          <w:b w:val="0"/>
          <w:noProof/>
          <w:color w:val="auto"/>
          <w:lang w:eastAsia="en-GB"/>
        </w:rPr>
      </w:pPr>
      <w:hyperlink w:anchor="_Toc516146017" w:history="1">
        <w:r w:rsidR="00B1771D" w:rsidRPr="009849EF">
          <w:rPr>
            <w:rStyle w:val="Hyperlink"/>
            <w:noProof/>
            <w:lang w:val="es-ES"/>
          </w:rPr>
          <w:t>3.5.</w:t>
        </w:r>
        <w:r w:rsidR="00B1771D">
          <w:rPr>
            <w:rFonts w:asciiTheme="minorHAnsi" w:eastAsiaTheme="minorEastAsia" w:hAnsiTheme="minorHAnsi" w:cstheme="minorBidi"/>
            <w:b w:val="0"/>
            <w:noProof/>
            <w:color w:val="auto"/>
            <w:lang w:eastAsia="en-GB"/>
          </w:rPr>
          <w:tab/>
        </w:r>
        <w:r w:rsidR="00B1771D" w:rsidRPr="009849EF">
          <w:rPr>
            <w:rStyle w:val="Hyperlink"/>
            <w:noProof/>
            <w:lang w:val="es-ES"/>
          </w:rPr>
          <w:t>Observaciones a los reglamentos de desempeño energético mínimo, los métodos de prueba, los procedimientos de evaluación de la conformidad y los reglamentos de etiquetado y marcado aplicados en EE.UU., la Unión Europea y México y sus implicancias para Panamá</w:t>
        </w:r>
        <w:r w:rsidR="00B1771D">
          <w:rPr>
            <w:noProof/>
            <w:webHidden/>
          </w:rPr>
          <w:tab/>
        </w:r>
        <w:r w:rsidR="00B1771D">
          <w:rPr>
            <w:noProof/>
            <w:webHidden/>
          </w:rPr>
          <w:fldChar w:fldCharType="begin"/>
        </w:r>
        <w:r w:rsidR="00B1771D">
          <w:rPr>
            <w:noProof/>
            <w:webHidden/>
          </w:rPr>
          <w:instrText xml:space="preserve"> PAGEREF _Toc516146017 \h </w:instrText>
        </w:r>
        <w:r w:rsidR="00B1771D">
          <w:rPr>
            <w:noProof/>
            <w:webHidden/>
          </w:rPr>
        </w:r>
        <w:r w:rsidR="00B1771D">
          <w:rPr>
            <w:noProof/>
            <w:webHidden/>
          </w:rPr>
          <w:fldChar w:fldCharType="separate"/>
        </w:r>
        <w:r w:rsidR="005E6430">
          <w:rPr>
            <w:noProof/>
            <w:webHidden/>
          </w:rPr>
          <w:t>44</w:t>
        </w:r>
        <w:r w:rsidR="00B1771D">
          <w:rPr>
            <w:noProof/>
            <w:webHidden/>
          </w:rPr>
          <w:fldChar w:fldCharType="end"/>
        </w:r>
      </w:hyperlink>
    </w:p>
    <w:p w14:paraId="0AB42304" w14:textId="70420D37" w:rsidR="00B1771D" w:rsidRDefault="00D322D4">
      <w:pPr>
        <w:pStyle w:val="TOC3"/>
        <w:tabs>
          <w:tab w:val="left" w:pos="1320"/>
          <w:tab w:val="right" w:leader="dot" w:pos="8494"/>
        </w:tabs>
        <w:rPr>
          <w:rFonts w:asciiTheme="minorHAnsi" w:eastAsiaTheme="minorEastAsia" w:hAnsiTheme="minorHAnsi" w:cstheme="minorBidi"/>
          <w:noProof/>
          <w:color w:val="auto"/>
          <w:lang w:eastAsia="en-GB"/>
        </w:rPr>
      </w:pPr>
      <w:hyperlink w:anchor="_Toc516146018" w:history="1">
        <w:r w:rsidR="00B1771D" w:rsidRPr="009849EF">
          <w:rPr>
            <w:rStyle w:val="Hyperlink"/>
            <w:noProof/>
            <w:lang w:val="es-ES"/>
          </w:rPr>
          <w:t>3.5.1.</w:t>
        </w:r>
        <w:r w:rsidR="00B1771D">
          <w:rPr>
            <w:rFonts w:asciiTheme="minorHAnsi" w:eastAsiaTheme="minorEastAsia" w:hAnsiTheme="minorHAnsi" w:cstheme="minorBidi"/>
            <w:noProof/>
            <w:color w:val="auto"/>
            <w:lang w:eastAsia="en-GB"/>
          </w:rPr>
          <w:tab/>
        </w:r>
        <w:r w:rsidR="00B1771D" w:rsidRPr="009849EF">
          <w:rPr>
            <w:rStyle w:val="Hyperlink"/>
            <w:noProof/>
            <w:lang w:val="es-ES"/>
          </w:rPr>
          <w:t>Reglamentos de desempeño energético mínimo</w:t>
        </w:r>
        <w:r w:rsidR="00B1771D">
          <w:rPr>
            <w:noProof/>
            <w:webHidden/>
          </w:rPr>
          <w:tab/>
        </w:r>
        <w:r w:rsidR="00B1771D">
          <w:rPr>
            <w:noProof/>
            <w:webHidden/>
          </w:rPr>
          <w:fldChar w:fldCharType="begin"/>
        </w:r>
        <w:r w:rsidR="00B1771D">
          <w:rPr>
            <w:noProof/>
            <w:webHidden/>
          </w:rPr>
          <w:instrText xml:space="preserve"> PAGEREF _Toc516146018 \h </w:instrText>
        </w:r>
        <w:r w:rsidR="00B1771D">
          <w:rPr>
            <w:noProof/>
            <w:webHidden/>
          </w:rPr>
        </w:r>
        <w:r w:rsidR="00B1771D">
          <w:rPr>
            <w:noProof/>
            <w:webHidden/>
          </w:rPr>
          <w:fldChar w:fldCharType="separate"/>
        </w:r>
        <w:r w:rsidR="005E6430">
          <w:rPr>
            <w:noProof/>
            <w:webHidden/>
          </w:rPr>
          <w:t>44</w:t>
        </w:r>
        <w:r w:rsidR="00B1771D">
          <w:rPr>
            <w:noProof/>
            <w:webHidden/>
          </w:rPr>
          <w:fldChar w:fldCharType="end"/>
        </w:r>
      </w:hyperlink>
    </w:p>
    <w:p w14:paraId="3BB00A13" w14:textId="3101FB74" w:rsidR="00B1771D" w:rsidRDefault="00D322D4">
      <w:pPr>
        <w:pStyle w:val="TOC3"/>
        <w:tabs>
          <w:tab w:val="left" w:pos="1320"/>
          <w:tab w:val="right" w:leader="dot" w:pos="8494"/>
        </w:tabs>
        <w:rPr>
          <w:rFonts w:asciiTheme="minorHAnsi" w:eastAsiaTheme="minorEastAsia" w:hAnsiTheme="minorHAnsi" w:cstheme="minorBidi"/>
          <w:noProof/>
          <w:color w:val="auto"/>
          <w:lang w:eastAsia="en-GB"/>
        </w:rPr>
      </w:pPr>
      <w:hyperlink w:anchor="_Toc516146019" w:history="1">
        <w:r w:rsidR="00B1771D" w:rsidRPr="009849EF">
          <w:rPr>
            <w:rStyle w:val="Hyperlink"/>
            <w:noProof/>
            <w:lang w:val="es-ES"/>
          </w:rPr>
          <w:t>3.5.2.</w:t>
        </w:r>
        <w:r w:rsidR="00B1771D">
          <w:rPr>
            <w:rFonts w:asciiTheme="minorHAnsi" w:eastAsiaTheme="minorEastAsia" w:hAnsiTheme="minorHAnsi" w:cstheme="minorBidi"/>
            <w:noProof/>
            <w:color w:val="auto"/>
            <w:lang w:eastAsia="en-GB"/>
          </w:rPr>
          <w:tab/>
        </w:r>
        <w:r w:rsidR="00B1771D" w:rsidRPr="009849EF">
          <w:rPr>
            <w:rStyle w:val="Hyperlink"/>
            <w:noProof/>
            <w:lang w:val="es-ES"/>
          </w:rPr>
          <w:t>Métodos de prueba</w:t>
        </w:r>
        <w:r w:rsidR="00B1771D">
          <w:rPr>
            <w:noProof/>
            <w:webHidden/>
          </w:rPr>
          <w:tab/>
        </w:r>
        <w:r w:rsidR="00B1771D">
          <w:rPr>
            <w:noProof/>
            <w:webHidden/>
          </w:rPr>
          <w:fldChar w:fldCharType="begin"/>
        </w:r>
        <w:r w:rsidR="00B1771D">
          <w:rPr>
            <w:noProof/>
            <w:webHidden/>
          </w:rPr>
          <w:instrText xml:space="preserve"> PAGEREF _Toc516146019 \h </w:instrText>
        </w:r>
        <w:r w:rsidR="00B1771D">
          <w:rPr>
            <w:noProof/>
            <w:webHidden/>
          </w:rPr>
        </w:r>
        <w:r w:rsidR="00B1771D">
          <w:rPr>
            <w:noProof/>
            <w:webHidden/>
          </w:rPr>
          <w:fldChar w:fldCharType="separate"/>
        </w:r>
        <w:r w:rsidR="005E6430">
          <w:rPr>
            <w:noProof/>
            <w:webHidden/>
          </w:rPr>
          <w:t>45</w:t>
        </w:r>
        <w:r w:rsidR="00B1771D">
          <w:rPr>
            <w:noProof/>
            <w:webHidden/>
          </w:rPr>
          <w:fldChar w:fldCharType="end"/>
        </w:r>
      </w:hyperlink>
    </w:p>
    <w:p w14:paraId="6B7F4887" w14:textId="34187060" w:rsidR="00B1771D" w:rsidRDefault="00D322D4">
      <w:pPr>
        <w:pStyle w:val="TOC3"/>
        <w:tabs>
          <w:tab w:val="left" w:pos="1320"/>
          <w:tab w:val="right" w:leader="dot" w:pos="8494"/>
        </w:tabs>
        <w:rPr>
          <w:rFonts w:asciiTheme="minorHAnsi" w:eastAsiaTheme="minorEastAsia" w:hAnsiTheme="minorHAnsi" w:cstheme="minorBidi"/>
          <w:noProof/>
          <w:color w:val="auto"/>
          <w:lang w:eastAsia="en-GB"/>
        </w:rPr>
      </w:pPr>
      <w:hyperlink w:anchor="_Toc516146020" w:history="1">
        <w:r w:rsidR="00B1771D" w:rsidRPr="009849EF">
          <w:rPr>
            <w:rStyle w:val="Hyperlink"/>
            <w:noProof/>
            <w:lang w:val="es-ES"/>
          </w:rPr>
          <w:t>3.5.3.</w:t>
        </w:r>
        <w:r w:rsidR="00B1771D">
          <w:rPr>
            <w:rFonts w:asciiTheme="minorHAnsi" w:eastAsiaTheme="minorEastAsia" w:hAnsiTheme="minorHAnsi" w:cstheme="minorBidi"/>
            <w:noProof/>
            <w:color w:val="auto"/>
            <w:lang w:eastAsia="en-GB"/>
          </w:rPr>
          <w:tab/>
        </w:r>
        <w:r w:rsidR="00B1771D" w:rsidRPr="009849EF">
          <w:rPr>
            <w:rStyle w:val="Hyperlink"/>
            <w:noProof/>
            <w:lang w:val="es-ES"/>
          </w:rPr>
          <w:t>Procedimientos de evaluación de la conformidad</w:t>
        </w:r>
        <w:r w:rsidR="00B1771D">
          <w:rPr>
            <w:noProof/>
            <w:webHidden/>
          </w:rPr>
          <w:tab/>
        </w:r>
        <w:r w:rsidR="00B1771D">
          <w:rPr>
            <w:noProof/>
            <w:webHidden/>
          </w:rPr>
          <w:fldChar w:fldCharType="begin"/>
        </w:r>
        <w:r w:rsidR="00B1771D">
          <w:rPr>
            <w:noProof/>
            <w:webHidden/>
          </w:rPr>
          <w:instrText xml:space="preserve"> PAGEREF _Toc516146020 \h </w:instrText>
        </w:r>
        <w:r w:rsidR="00B1771D">
          <w:rPr>
            <w:noProof/>
            <w:webHidden/>
          </w:rPr>
        </w:r>
        <w:r w:rsidR="00B1771D">
          <w:rPr>
            <w:noProof/>
            <w:webHidden/>
          </w:rPr>
          <w:fldChar w:fldCharType="separate"/>
        </w:r>
        <w:r w:rsidR="005E6430">
          <w:rPr>
            <w:noProof/>
            <w:webHidden/>
          </w:rPr>
          <w:t>46</w:t>
        </w:r>
        <w:r w:rsidR="00B1771D">
          <w:rPr>
            <w:noProof/>
            <w:webHidden/>
          </w:rPr>
          <w:fldChar w:fldCharType="end"/>
        </w:r>
      </w:hyperlink>
    </w:p>
    <w:p w14:paraId="0D0E43C7" w14:textId="289BE78C" w:rsidR="00B1771D" w:rsidRDefault="00D322D4">
      <w:pPr>
        <w:pStyle w:val="TOC3"/>
        <w:tabs>
          <w:tab w:val="left" w:pos="1320"/>
          <w:tab w:val="right" w:leader="dot" w:pos="8494"/>
        </w:tabs>
        <w:rPr>
          <w:rFonts w:asciiTheme="minorHAnsi" w:eastAsiaTheme="minorEastAsia" w:hAnsiTheme="minorHAnsi" w:cstheme="minorBidi"/>
          <w:noProof/>
          <w:color w:val="auto"/>
          <w:lang w:eastAsia="en-GB"/>
        </w:rPr>
      </w:pPr>
      <w:hyperlink w:anchor="_Toc516146021" w:history="1">
        <w:r w:rsidR="00B1771D" w:rsidRPr="009849EF">
          <w:rPr>
            <w:rStyle w:val="Hyperlink"/>
            <w:noProof/>
            <w:lang w:val="es-ES"/>
          </w:rPr>
          <w:t>3.5.4.</w:t>
        </w:r>
        <w:r w:rsidR="00B1771D">
          <w:rPr>
            <w:rFonts w:asciiTheme="minorHAnsi" w:eastAsiaTheme="minorEastAsia" w:hAnsiTheme="minorHAnsi" w:cstheme="minorBidi"/>
            <w:noProof/>
            <w:color w:val="auto"/>
            <w:lang w:eastAsia="en-GB"/>
          </w:rPr>
          <w:tab/>
        </w:r>
        <w:r w:rsidR="00B1771D" w:rsidRPr="009849EF">
          <w:rPr>
            <w:rStyle w:val="Hyperlink"/>
            <w:noProof/>
            <w:lang w:val="es-ES"/>
          </w:rPr>
          <w:t>Reglamentos de etiquetado y marcado</w:t>
        </w:r>
        <w:r w:rsidR="00B1771D">
          <w:rPr>
            <w:noProof/>
            <w:webHidden/>
          </w:rPr>
          <w:tab/>
        </w:r>
        <w:r w:rsidR="00B1771D">
          <w:rPr>
            <w:noProof/>
            <w:webHidden/>
          </w:rPr>
          <w:fldChar w:fldCharType="begin"/>
        </w:r>
        <w:r w:rsidR="00B1771D">
          <w:rPr>
            <w:noProof/>
            <w:webHidden/>
          </w:rPr>
          <w:instrText xml:space="preserve"> PAGEREF _Toc516146021 \h </w:instrText>
        </w:r>
        <w:r w:rsidR="00B1771D">
          <w:rPr>
            <w:noProof/>
            <w:webHidden/>
          </w:rPr>
        </w:r>
        <w:r w:rsidR="00B1771D">
          <w:rPr>
            <w:noProof/>
            <w:webHidden/>
          </w:rPr>
          <w:fldChar w:fldCharType="separate"/>
        </w:r>
        <w:r w:rsidR="005E6430">
          <w:rPr>
            <w:noProof/>
            <w:webHidden/>
          </w:rPr>
          <w:t>48</w:t>
        </w:r>
        <w:r w:rsidR="00B1771D">
          <w:rPr>
            <w:noProof/>
            <w:webHidden/>
          </w:rPr>
          <w:fldChar w:fldCharType="end"/>
        </w:r>
      </w:hyperlink>
    </w:p>
    <w:p w14:paraId="774AEFF3" w14:textId="000EA314" w:rsidR="00B1771D" w:rsidRDefault="00D322D4">
      <w:pPr>
        <w:pStyle w:val="TOC1"/>
        <w:tabs>
          <w:tab w:val="left" w:pos="425"/>
          <w:tab w:val="right" w:leader="dot" w:pos="8494"/>
        </w:tabs>
        <w:rPr>
          <w:rFonts w:asciiTheme="minorHAnsi" w:eastAsiaTheme="minorEastAsia" w:hAnsiTheme="minorHAnsi" w:cstheme="minorBidi"/>
          <w:b w:val="0"/>
          <w:smallCaps w:val="0"/>
          <w:noProof/>
          <w:color w:val="auto"/>
          <w:lang w:eastAsia="en-GB"/>
        </w:rPr>
      </w:pPr>
      <w:hyperlink w:anchor="_Toc516146022" w:history="1">
        <w:r w:rsidR="00B1771D" w:rsidRPr="009849EF">
          <w:rPr>
            <w:rStyle w:val="Hyperlink"/>
            <w:noProof/>
            <w:lang w:val="es-ES"/>
          </w:rPr>
          <w:t>4.</w:t>
        </w:r>
        <w:r w:rsidR="00B1771D">
          <w:rPr>
            <w:rFonts w:asciiTheme="minorHAnsi" w:eastAsiaTheme="minorEastAsia" w:hAnsiTheme="minorHAnsi" w:cstheme="minorBidi"/>
            <w:b w:val="0"/>
            <w:smallCaps w:val="0"/>
            <w:noProof/>
            <w:color w:val="auto"/>
            <w:lang w:eastAsia="en-GB"/>
          </w:rPr>
          <w:tab/>
        </w:r>
        <w:r w:rsidR="00B1771D" w:rsidRPr="009849EF">
          <w:rPr>
            <w:rStyle w:val="Hyperlink"/>
            <w:noProof/>
            <w:lang w:val="es-ES"/>
          </w:rPr>
          <w:t>Anteproyecto de norma técnica DGNTI-COPANIT: Eficiencia energética de lámparas para uso general</w:t>
        </w:r>
        <w:r w:rsidR="00B1771D">
          <w:rPr>
            <w:noProof/>
            <w:webHidden/>
          </w:rPr>
          <w:tab/>
        </w:r>
        <w:r w:rsidR="00B1771D">
          <w:rPr>
            <w:noProof/>
            <w:webHidden/>
          </w:rPr>
          <w:fldChar w:fldCharType="begin"/>
        </w:r>
        <w:r w:rsidR="00B1771D">
          <w:rPr>
            <w:noProof/>
            <w:webHidden/>
          </w:rPr>
          <w:instrText xml:space="preserve"> PAGEREF _Toc516146022 \h </w:instrText>
        </w:r>
        <w:r w:rsidR="00B1771D">
          <w:rPr>
            <w:noProof/>
            <w:webHidden/>
          </w:rPr>
        </w:r>
        <w:r w:rsidR="00B1771D">
          <w:rPr>
            <w:noProof/>
            <w:webHidden/>
          </w:rPr>
          <w:fldChar w:fldCharType="separate"/>
        </w:r>
        <w:r w:rsidR="005E6430">
          <w:rPr>
            <w:noProof/>
            <w:webHidden/>
          </w:rPr>
          <w:t>50</w:t>
        </w:r>
        <w:r w:rsidR="00B1771D">
          <w:rPr>
            <w:noProof/>
            <w:webHidden/>
          </w:rPr>
          <w:fldChar w:fldCharType="end"/>
        </w:r>
      </w:hyperlink>
    </w:p>
    <w:p w14:paraId="10E42222" w14:textId="4C92F91A" w:rsidR="00B1771D" w:rsidRDefault="00D322D4">
      <w:pPr>
        <w:pStyle w:val="TOC2"/>
        <w:tabs>
          <w:tab w:val="left" w:pos="1100"/>
          <w:tab w:val="right" w:leader="dot" w:pos="8494"/>
        </w:tabs>
        <w:rPr>
          <w:rFonts w:asciiTheme="minorHAnsi" w:eastAsiaTheme="minorEastAsia" w:hAnsiTheme="minorHAnsi" w:cstheme="minorBidi"/>
          <w:b w:val="0"/>
          <w:noProof/>
          <w:color w:val="auto"/>
          <w:lang w:eastAsia="en-GB"/>
        </w:rPr>
      </w:pPr>
      <w:hyperlink w:anchor="_Toc516146023" w:history="1">
        <w:r w:rsidR="00B1771D" w:rsidRPr="009849EF">
          <w:rPr>
            <w:rStyle w:val="Hyperlink"/>
            <w:noProof/>
            <w:lang w:val="es-ES"/>
          </w:rPr>
          <w:t>4.1.</w:t>
        </w:r>
        <w:r w:rsidR="00B1771D">
          <w:rPr>
            <w:rFonts w:asciiTheme="minorHAnsi" w:eastAsiaTheme="minorEastAsia" w:hAnsiTheme="minorHAnsi" w:cstheme="minorBidi"/>
            <w:b w:val="0"/>
            <w:noProof/>
            <w:color w:val="auto"/>
            <w:lang w:eastAsia="en-GB"/>
          </w:rPr>
          <w:tab/>
        </w:r>
        <w:r w:rsidR="00B1771D" w:rsidRPr="009849EF">
          <w:rPr>
            <w:rStyle w:val="Hyperlink"/>
            <w:noProof/>
            <w:lang w:val="es-ES"/>
          </w:rPr>
          <w:t>Productos de iluminación incluidas en el anteproyecto</w:t>
        </w:r>
        <w:r w:rsidR="00B1771D">
          <w:rPr>
            <w:noProof/>
            <w:webHidden/>
          </w:rPr>
          <w:tab/>
        </w:r>
        <w:r w:rsidR="00B1771D">
          <w:rPr>
            <w:noProof/>
            <w:webHidden/>
          </w:rPr>
          <w:fldChar w:fldCharType="begin"/>
        </w:r>
        <w:r w:rsidR="00B1771D">
          <w:rPr>
            <w:noProof/>
            <w:webHidden/>
          </w:rPr>
          <w:instrText xml:space="preserve"> PAGEREF _Toc516146023 \h </w:instrText>
        </w:r>
        <w:r w:rsidR="00B1771D">
          <w:rPr>
            <w:noProof/>
            <w:webHidden/>
          </w:rPr>
        </w:r>
        <w:r w:rsidR="00B1771D">
          <w:rPr>
            <w:noProof/>
            <w:webHidden/>
          </w:rPr>
          <w:fldChar w:fldCharType="separate"/>
        </w:r>
        <w:r w:rsidR="005E6430">
          <w:rPr>
            <w:noProof/>
            <w:webHidden/>
          </w:rPr>
          <w:t>50</w:t>
        </w:r>
        <w:r w:rsidR="00B1771D">
          <w:rPr>
            <w:noProof/>
            <w:webHidden/>
          </w:rPr>
          <w:fldChar w:fldCharType="end"/>
        </w:r>
      </w:hyperlink>
    </w:p>
    <w:p w14:paraId="1AFE38B6" w14:textId="3D6B352F" w:rsidR="00B1771D" w:rsidRDefault="00D322D4">
      <w:pPr>
        <w:pStyle w:val="TOC2"/>
        <w:tabs>
          <w:tab w:val="left" w:pos="1100"/>
          <w:tab w:val="right" w:leader="dot" w:pos="8494"/>
        </w:tabs>
        <w:rPr>
          <w:rFonts w:asciiTheme="minorHAnsi" w:eastAsiaTheme="minorEastAsia" w:hAnsiTheme="minorHAnsi" w:cstheme="minorBidi"/>
          <w:b w:val="0"/>
          <w:noProof/>
          <w:color w:val="auto"/>
          <w:lang w:eastAsia="en-GB"/>
        </w:rPr>
      </w:pPr>
      <w:hyperlink w:anchor="_Toc516146024" w:history="1">
        <w:r w:rsidR="00B1771D" w:rsidRPr="009849EF">
          <w:rPr>
            <w:rStyle w:val="Hyperlink"/>
            <w:noProof/>
            <w:lang w:val="es-ES"/>
          </w:rPr>
          <w:t>4.2.</w:t>
        </w:r>
        <w:r w:rsidR="00B1771D">
          <w:rPr>
            <w:rFonts w:asciiTheme="minorHAnsi" w:eastAsiaTheme="minorEastAsia" w:hAnsiTheme="minorHAnsi" w:cstheme="minorBidi"/>
            <w:b w:val="0"/>
            <w:noProof/>
            <w:color w:val="auto"/>
            <w:lang w:eastAsia="en-GB"/>
          </w:rPr>
          <w:tab/>
        </w:r>
        <w:r w:rsidR="00B1771D" w:rsidRPr="009849EF">
          <w:rPr>
            <w:rStyle w:val="Hyperlink"/>
            <w:noProof/>
            <w:lang w:val="es-ES"/>
          </w:rPr>
          <w:t>Índices de desempeño energético mínimo</w:t>
        </w:r>
        <w:r w:rsidR="00B1771D">
          <w:rPr>
            <w:noProof/>
            <w:webHidden/>
          </w:rPr>
          <w:tab/>
        </w:r>
        <w:r w:rsidR="00B1771D">
          <w:rPr>
            <w:noProof/>
            <w:webHidden/>
          </w:rPr>
          <w:fldChar w:fldCharType="begin"/>
        </w:r>
        <w:r w:rsidR="00B1771D">
          <w:rPr>
            <w:noProof/>
            <w:webHidden/>
          </w:rPr>
          <w:instrText xml:space="preserve"> PAGEREF _Toc516146024 \h </w:instrText>
        </w:r>
        <w:r w:rsidR="00B1771D">
          <w:rPr>
            <w:noProof/>
            <w:webHidden/>
          </w:rPr>
        </w:r>
        <w:r w:rsidR="00B1771D">
          <w:rPr>
            <w:noProof/>
            <w:webHidden/>
          </w:rPr>
          <w:fldChar w:fldCharType="separate"/>
        </w:r>
        <w:r w:rsidR="005E6430">
          <w:rPr>
            <w:noProof/>
            <w:webHidden/>
          </w:rPr>
          <w:t>51</w:t>
        </w:r>
        <w:r w:rsidR="00B1771D">
          <w:rPr>
            <w:noProof/>
            <w:webHidden/>
          </w:rPr>
          <w:fldChar w:fldCharType="end"/>
        </w:r>
      </w:hyperlink>
    </w:p>
    <w:p w14:paraId="25D26719" w14:textId="54E43247" w:rsidR="00B1771D" w:rsidRDefault="00D322D4">
      <w:pPr>
        <w:pStyle w:val="TOC2"/>
        <w:tabs>
          <w:tab w:val="left" w:pos="1100"/>
          <w:tab w:val="right" w:leader="dot" w:pos="8494"/>
        </w:tabs>
        <w:rPr>
          <w:rFonts w:asciiTheme="minorHAnsi" w:eastAsiaTheme="minorEastAsia" w:hAnsiTheme="minorHAnsi" w:cstheme="minorBidi"/>
          <w:b w:val="0"/>
          <w:noProof/>
          <w:color w:val="auto"/>
          <w:lang w:eastAsia="en-GB"/>
        </w:rPr>
      </w:pPr>
      <w:hyperlink w:anchor="_Toc516146025" w:history="1">
        <w:r w:rsidR="00B1771D" w:rsidRPr="009849EF">
          <w:rPr>
            <w:rStyle w:val="Hyperlink"/>
            <w:noProof/>
            <w:lang w:val="es-ES"/>
          </w:rPr>
          <w:t>4.3.</w:t>
        </w:r>
        <w:r w:rsidR="00B1771D">
          <w:rPr>
            <w:rFonts w:asciiTheme="minorHAnsi" w:eastAsiaTheme="minorEastAsia" w:hAnsiTheme="minorHAnsi" w:cstheme="minorBidi"/>
            <w:b w:val="0"/>
            <w:noProof/>
            <w:color w:val="auto"/>
            <w:lang w:eastAsia="en-GB"/>
          </w:rPr>
          <w:tab/>
        </w:r>
        <w:r w:rsidR="00B1771D" w:rsidRPr="009849EF">
          <w:rPr>
            <w:rStyle w:val="Hyperlink"/>
            <w:noProof/>
            <w:lang w:val="es-ES"/>
          </w:rPr>
          <w:t>Métodos de prueba</w:t>
        </w:r>
        <w:r w:rsidR="00B1771D">
          <w:rPr>
            <w:noProof/>
            <w:webHidden/>
          </w:rPr>
          <w:tab/>
        </w:r>
        <w:r w:rsidR="00B1771D">
          <w:rPr>
            <w:noProof/>
            <w:webHidden/>
          </w:rPr>
          <w:fldChar w:fldCharType="begin"/>
        </w:r>
        <w:r w:rsidR="00B1771D">
          <w:rPr>
            <w:noProof/>
            <w:webHidden/>
          </w:rPr>
          <w:instrText xml:space="preserve"> PAGEREF _Toc516146025 \h </w:instrText>
        </w:r>
        <w:r w:rsidR="00B1771D">
          <w:rPr>
            <w:noProof/>
            <w:webHidden/>
          </w:rPr>
        </w:r>
        <w:r w:rsidR="00B1771D">
          <w:rPr>
            <w:noProof/>
            <w:webHidden/>
          </w:rPr>
          <w:fldChar w:fldCharType="separate"/>
        </w:r>
        <w:r w:rsidR="005E6430">
          <w:rPr>
            <w:noProof/>
            <w:webHidden/>
          </w:rPr>
          <w:t>52</w:t>
        </w:r>
        <w:r w:rsidR="00B1771D">
          <w:rPr>
            <w:noProof/>
            <w:webHidden/>
          </w:rPr>
          <w:fldChar w:fldCharType="end"/>
        </w:r>
      </w:hyperlink>
    </w:p>
    <w:p w14:paraId="13CA00C7" w14:textId="51699E57" w:rsidR="00B1771D" w:rsidRDefault="00D322D4">
      <w:pPr>
        <w:pStyle w:val="TOC2"/>
        <w:tabs>
          <w:tab w:val="left" w:pos="1100"/>
          <w:tab w:val="right" w:leader="dot" w:pos="8494"/>
        </w:tabs>
        <w:rPr>
          <w:rFonts w:asciiTheme="minorHAnsi" w:eastAsiaTheme="minorEastAsia" w:hAnsiTheme="minorHAnsi" w:cstheme="minorBidi"/>
          <w:b w:val="0"/>
          <w:noProof/>
          <w:color w:val="auto"/>
          <w:lang w:eastAsia="en-GB"/>
        </w:rPr>
      </w:pPr>
      <w:hyperlink w:anchor="_Toc516146026" w:history="1">
        <w:r w:rsidR="00B1771D" w:rsidRPr="009849EF">
          <w:rPr>
            <w:rStyle w:val="Hyperlink"/>
            <w:noProof/>
            <w:lang w:val="es-ES"/>
          </w:rPr>
          <w:t>4.4.</w:t>
        </w:r>
        <w:r w:rsidR="00B1771D">
          <w:rPr>
            <w:rFonts w:asciiTheme="minorHAnsi" w:eastAsiaTheme="minorEastAsia" w:hAnsiTheme="minorHAnsi" w:cstheme="minorBidi"/>
            <w:b w:val="0"/>
            <w:noProof/>
            <w:color w:val="auto"/>
            <w:lang w:eastAsia="en-GB"/>
          </w:rPr>
          <w:tab/>
        </w:r>
        <w:r w:rsidR="00B1771D" w:rsidRPr="009849EF">
          <w:rPr>
            <w:rStyle w:val="Hyperlink"/>
            <w:noProof/>
            <w:lang w:val="es-ES"/>
          </w:rPr>
          <w:t>Grado de armonización y alineación con otras normas y reglamentos nacionales e internacionales</w:t>
        </w:r>
        <w:r w:rsidR="00B1771D">
          <w:rPr>
            <w:noProof/>
            <w:webHidden/>
          </w:rPr>
          <w:tab/>
        </w:r>
        <w:r w:rsidR="00B1771D">
          <w:rPr>
            <w:noProof/>
            <w:webHidden/>
          </w:rPr>
          <w:fldChar w:fldCharType="begin"/>
        </w:r>
        <w:r w:rsidR="00B1771D">
          <w:rPr>
            <w:noProof/>
            <w:webHidden/>
          </w:rPr>
          <w:instrText xml:space="preserve"> PAGEREF _Toc516146026 \h </w:instrText>
        </w:r>
        <w:r w:rsidR="00B1771D">
          <w:rPr>
            <w:noProof/>
            <w:webHidden/>
          </w:rPr>
        </w:r>
        <w:r w:rsidR="00B1771D">
          <w:rPr>
            <w:noProof/>
            <w:webHidden/>
          </w:rPr>
          <w:fldChar w:fldCharType="separate"/>
        </w:r>
        <w:r w:rsidR="005E6430">
          <w:rPr>
            <w:noProof/>
            <w:webHidden/>
          </w:rPr>
          <w:t>52</w:t>
        </w:r>
        <w:r w:rsidR="00B1771D">
          <w:rPr>
            <w:noProof/>
            <w:webHidden/>
          </w:rPr>
          <w:fldChar w:fldCharType="end"/>
        </w:r>
      </w:hyperlink>
    </w:p>
    <w:p w14:paraId="478C8BD6" w14:textId="5BEC538F" w:rsidR="00B1771D" w:rsidRDefault="00D322D4">
      <w:pPr>
        <w:pStyle w:val="TOC2"/>
        <w:tabs>
          <w:tab w:val="left" w:pos="1100"/>
          <w:tab w:val="right" w:leader="dot" w:pos="8494"/>
        </w:tabs>
        <w:rPr>
          <w:rFonts w:asciiTheme="minorHAnsi" w:eastAsiaTheme="minorEastAsia" w:hAnsiTheme="minorHAnsi" w:cstheme="minorBidi"/>
          <w:b w:val="0"/>
          <w:noProof/>
          <w:color w:val="auto"/>
          <w:lang w:eastAsia="en-GB"/>
        </w:rPr>
      </w:pPr>
      <w:hyperlink w:anchor="_Toc516146027" w:history="1">
        <w:r w:rsidR="00B1771D" w:rsidRPr="009849EF">
          <w:rPr>
            <w:rStyle w:val="Hyperlink"/>
            <w:noProof/>
            <w:lang w:val="es-ES"/>
          </w:rPr>
          <w:t>4.5.</w:t>
        </w:r>
        <w:r w:rsidR="00B1771D">
          <w:rPr>
            <w:rFonts w:asciiTheme="minorHAnsi" w:eastAsiaTheme="minorEastAsia" w:hAnsiTheme="minorHAnsi" w:cstheme="minorBidi"/>
            <w:b w:val="0"/>
            <w:noProof/>
            <w:color w:val="auto"/>
            <w:lang w:eastAsia="en-GB"/>
          </w:rPr>
          <w:tab/>
        </w:r>
        <w:r w:rsidR="00B1771D" w:rsidRPr="009849EF">
          <w:rPr>
            <w:rStyle w:val="Hyperlink"/>
            <w:noProof/>
            <w:lang w:val="es-ES"/>
          </w:rPr>
          <w:t>Integridad técnica y editorial del anteproyecto</w:t>
        </w:r>
        <w:r w:rsidR="00B1771D">
          <w:rPr>
            <w:noProof/>
            <w:webHidden/>
          </w:rPr>
          <w:tab/>
        </w:r>
        <w:r w:rsidR="00B1771D">
          <w:rPr>
            <w:noProof/>
            <w:webHidden/>
          </w:rPr>
          <w:fldChar w:fldCharType="begin"/>
        </w:r>
        <w:r w:rsidR="00B1771D">
          <w:rPr>
            <w:noProof/>
            <w:webHidden/>
          </w:rPr>
          <w:instrText xml:space="preserve"> PAGEREF _Toc516146027 \h </w:instrText>
        </w:r>
        <w:r w:rsidR="00B1771D">
          <w:rPr>
            <w:noProof/>
            <w:webHidden/>
          </w:rPr>
        </w:r>
        <w:r w:rsidR="00B1771D">
          <w:rPr>
            <w:noProof/>
            <w:webHidden/>
          </w:rPr>
          <w:fldChar w:fldCharType="separate"/>
        </w:r>
        <w:r w:rsidR="005E6430">
          <w:rPr>
            <w:noProof/>
            <w:webHidden/>
          </w:rPr>
          <w:t>53</w:t>
        </w:r>
        <w:r w:rsidR="00B1771D">
          <w:rPr>
            <w:noProof/>
            <w:webHidden/>
          </w:rPr>
          <w:fldChar w:fldCharType="end"/>
        </w:r>
      </w:hyperlink>
    </w:p>
    <w:p w14:paraId="75DD7DC3" w14:textId="144E7AA1" w:rsidR="00B1771D" w:rsidRDefault="00D322D4">
      <w:pPr>
        <w:pStyle w:val="TOC1"/>
        <w:tabs>
          <w:tab w:val="left" w:pos="425"/>
          <w:tab w:val="right" w:leader="dot" w:pos="8494"/>
        </w:tabs>
        <w:rPr>
          <w:rFonts w:asciiTheme="minorHAnsi" w:eastAsiaTheme="minorEastAsia" w:hAnsiTheme="minorHAnsi" w:cstheme="minorBidi"/>
          <w:b w:val="0"/>
          <w:smallCaps w:val="0"/>
          <w:noProof/>
          <w:color w:val="auto"/>
          <w:lang w:eastAsia="en-GB"/>
        </w:rPr>
      </w:pPr>
      <w:hyperlink w:anchor="_Toc516146028" w:history="1">
        <w:r w:rsidR="00B1771D" w:rsidRPr="009849EF">
          <w:rPr>
            <w:rStyle w:val="Hyperlink"/>
            <w:noProof/>
            <w:lang w:val="es-ES"/>
          </w:rPr>
          <w:t>5.</w:t>
        </w:r>
        <w:r w:rsidR="00B1771D">
          <w:rPr>
            <w:rFonts w:asciiTheme="minorHAnsi" w:eastAsiaTheme="minorEastAsia" w:hAnsiTheme="minorHAnsi" w:cstheme="minorBidi"/>
            <w:b w:val="0"/>
            <w:smallCaps w:val="0"/>
            <w:noProof/>
            <w:color w:val="auto"/>
            <w:lang w:eastAsia="en-GB"/>
          </w:rPr>
          <w:tab/>
        </w:r>
        <w:r w:rsidR="00B1771D" w:rsidRPr="009849EF">
          <w:rPr>
            <w:rStyle w:val="Hyperlink"/>
            <w:noProof/>
            <w:lang w:val="es-ES"/>
          </w:rPr>
          <w:t>Propuestas y recomendaciones</w:t>
        </w:r>
        <w:r w:rsidR="00B1771D">
          <w:rPr>
            <w:noProof/>
            <w:webHidden/>
          </w:rPr>
          <w:tab/>
        </w:r>
        <w:r w:rsidR="00B1771D">
          <w:rPr>
            <w:noProof/>
            <w:webHidden/>
          </w:rPr>
          <w:fldChar w:fldCharType="begin"/>
        </w:r>
        <w:r w:rsidR="00B1771D">
          <w:rPr>
            <w:noProof/>
            <w:webHidden/>
          </w:rPr>
          <w:instrText xml:space="preserve"> PAGEREF _Toc516146028 \h </w:instrText>
        </w:r>
        <w:r w:rsidR="00B1771D">
          <w:rPr>
            <w:noProof/>
            <w:webHidden/>
          </w:rPr>
        </w:r>
        <w:r w:rsidR="00B1771D">
          <w:rPr>
            <w:noProof/>
            <w:webHidden/>
          </w:rPr>
          <w:fldChar w:fldCharType="separate"/>
        </w:r>
        <w:r w:rsidR="005E6430">
          <w:rPr>
            <w:noProof/>
            <w:webHidden/>
          </w:rPr>
          <w:t>54</w:t>
        </w:r>
        <w:r w:rsidR="00B1771D">
          <w:rPr>
            <w:noProof/>
            <w:webHidden/>
          </w:rPr>
          <w:fldChar w:fldCharType="end"/>
        </w:r>
      </w:hyperlink>
    </w:p>
    <w:p w14:paraId="4D2E86B1" w14:textId="21C338A0" w:rsidR="00B1771D" w:rsidRDefault="00D322D4">
      <w:pPr>
        <w:pStyle w:val="TOC2"/>
        <w:tabs>
          <w:tab w:val="left" w:pos="1100"/>
          <w:tab w:val="right" w:leader="dot" w:pos="8494"/>
        </w:tabs>
        <w:rPr>
          <w:rFonts w:asciiTheme="minorHAnsi" w:eastAsiaTheme="minorEastAsia" w:hAnsiTheme="minorHAnsi" w:cstheme="minorBidi"/>
          <w:b w:val="0"/>
          <w:noProof/>
          <w:color w:val="auto"/>
          <w:lang w:eastAsia="en-GB"/>
        </w:rPr>
      </w:pPr>
      <w:hyperlink w:anchor="_Toc516146029" w:history="1">
        <w:r w:rsidR="00B1771D" w:rsidRPr="009849EF">
          <w:rPr>
            <w:rStyle w:val="Hyperlink"/>
            <w:noProof/>
            <w:lang w:val="es-ES"/>
          </w:rPr>
          <w:t>5.1.</w:t>
        </w:r>
        <w:r w:rsidR="00B1771D">
          <w:rPr>
            <w:rFonts w:asciiTheme="minorHAnsi" w:eastAsiaTheme="minorEastAsia" w:hAnsiTheme="minorHAnsi" w:cstheme="minorBidi"/>
            <w:b w:val="0"/>
            <w:noProof/>
            <w:color w:val="auto"/>
            <w:lang w:eastAsia="en-GB"/>
          </w:rPr>
          <w:tab/>
        </w:r>
        <w:r w:rsidR="00B1771D" w:rsidRPr="009849EF">
          <w:rPr>
            <w:rStyle w:val="Hyperlink"/>
            <w:noProof/>
            <w:lang w:val="es-ES"/>
          </w:rPr>
          <w:t>Alcance de la NT/RT (productos incluidos)</w:t>
        </w:r>
        <w:r w:rsidR="00B1771D">
          <w:rPr>
            <w:noProof/>
            <w:webHidden/>
          </w:rPr>
          <w:tab/>
        </w:r>
        <w:r w:rsidR="00B1771D">
          <w:rPr>
            <w:noProof/>
            <w:webHidden/>
          </w:rPr>
          <w:fldChar w:fldCharType="begin"/>
        </w:r>
        <w:r w:rsidR="00B1771D">
          <w:rPr>
            <w:noProof/>
            <w:webHidden/>
          </w:rPr>
          <w:instrText xml:space="preserve"> PAGEREF _Toc516146029 \h </w:instrText>
        </w:r>
        <w:r w:rsidR="00B1771D">
          <w:rPr>
            <w:noProof/>
            <w:webHidden/>
          </w:rPr>
        </w:r>
        <w:r w:rsidR="00B1771D">
          <w:rPr>
            <w:noProof/>
            <w:webHidden/>
          </w:rPr>
          <w:fldChar w:fldCharType="separate"/>
        </w:r>
        <w:r w:rsidR="005E6430">
          <w:rPr>
            <w:noProof/>
            <w:webHidden/>
          </w:rPr>
          <w:t>54</w:t>
        </w:r>
        <w:r w:rsidR="00B1771D">
          <w:rPr>
            <w:noProof/>
            <w:webHidden/>
          </w:rPr>
          <w:fldChar w:fldCharType="end"/>
        </w:r>
      </w:hyperlink>
    </w:p>
    <w:p w14:paraId="0CF22106" w14:textId="59600633" w:rsidR="00B1771D" w:rsidRDefault="00D322D4">
      <w:pPr>
        <w:pStyle w:val="TOC2"/>
        <w:tabs>
          <w:tab w:val="left" w:pos="1100"/>
          <w:tab w:val="right" w:leader="dot" w:pos="8494"/>
        </w:tabs>
        <w:rPr>
          <w:rFonts w:asciiTheme="minorHAnsi" w:eastAsiaTheme="minorEastAsia" w:hAnsiTheme="minorHAnsi" w:cstheme="minorBidi"/>
          <w:b w:val="0"/>
          <w:noProof/>
          <w:color w:val="auto"/>
          <w:lang w:eastAsia="en-GB"/>
        </w:rPr>
      </w:pPr>
      <w:hyperlink w:anchor="_Toc516146030" w:history="1">
        <w:r w:rsidR="00B1771D" w:rsidRPr="009849EF">
          <w:rPr>
            <w:rStyle w:val="Hyperlink"/>
            <w:noProof/>
            <w:lang w:val="es-ES"/>
          </w:rPr>
          <w:t>5.2.</w:t>
        </w:r>
        <w:r w:rsidR="00B1771D">
          <w:rPr>
            <w:rFonts w:asciiTheme="minorHAnsi" w:eastAsiaTheme="minorEastAsia" w:hAnsiTheme="minorHAnsi" w:cstheme="minorBidi"/>
            <w:b w:val="0"/>
            <w:noProof/>
            <w:color w:val="auto"/>
            <w:lang w:eastAsia="en-GB"/>
          </w:rPr>
          <w:tab/>
        </w:r>
        <w:r w:rsidR="00B1771D" w:rsidRPr="009849EF">
          <w:rPr>
            <w:rStyle w:val="Hyperlink"/>
            <w:noProof/>
            <w:lang w:val="es-ES"/>
          </w:rPr>
          <w:t>Normas de medición (métodos de prueba)</w:t>
        </w:r>
        <w:r w:rsidR="00B1771D">
          <w:rPr>
            <w:noProof/>
            <w:webHidden/>
          </w:rPr>
          <w:tab/>
        </w:r>
        <w:r w:rsidR="00B1771D">
          <w:rPr>
            <w:noProof/>
            <w:webHidden/>
          </w:rPr>
          <w:fldChar w:fldCharType="begin"/>
        </w:r>
        <w:r w:rsidR="00B1771D">
          <w:rPr>
            <w:noProof/>
            <w:webHidden/>
          </w:rPr>
          <w:instrText xml:space="preserve"> PAGEREF _Toc516146030 \h </w:instrText>
        </w:r>
        <w:r w:rsidR="00B1771D">
          <w:rPr>
            <w:noProof/>
            <w:webHidden/>
          </w:rPr>
        </w:r>
        <w:r w:rsidR="00B1771D">
          <w:rPr>
            <w:noProof/>
            <w:webHidden/>
          </w:rPr>
          <w:fldChar w:fldCharType="separate"/>
        </w:r>
        <w:r w:rsidR="005E6430">
          <w:rPr>
            <w:noProof/>
            <w:webHidden/>
          </w:rPr>
          <w:t>55</w:t>
        </w:r>
        <w:r w:rsidR="00B1771D">
          <w:rPr>
            <w:noProof/>
            <w:webHidden/>
          </w:rPr>
          <w:fldChar w:fldCharType="end"/>
        </w:r>
      </w:hyperlink>
    </w:p>
    <w:p w14:paraId="3FE9AC29" w14:textId="53DAB595" w:rsidR="00B1771D" w:rsidRDefault="00D322D4">
      <w:pPr>
        <w:pStyle w:val="TOC2"/>
        <w:tabs>
          <w:tab w:val="left" w:pos="1100"/>
          <w:tab w:val="right" w:leader="dot" w:pos="8494"/>
        </w:tabs>
        <w:rPr>
          <w:rFonts w:asciiTheme="minorHAnsi" w:eastAsiaTheme="minorEastAsia" w:hAnsiTheme="minorHAnsi" w:cstheme="minorBidi"/>
          <w:b w:val="0"/>
          <w:noProof/>
          <w:color w:val="auto"/>
          <w:lang w:eastAsia="en-GB"/>
        </w:rPr>
      </w:pPr>
      <w:hyperlink w:anchor="_Toc516146031" w:history="1">
        <w:r w:rsidR="00B1771D" w:rsidRPr="009849EF">
          <w:rPr>
            <w:rStyle w:val="Hyperlink"/>
            <w:noProof/>
            <w:lang w:val="es-ES"/>
          </w:rPr>
          <w:t>5.3.</w:t>
        </w:r>
        <w:r w:rsidR="00B1771D">
          <w:rPr>
            <w:rFonts w:asciiTheme="minorHAnsi" w:eastAsiaTheme="minorEastAsia" w:hAnsiTheme="minorHAnsi" w:cstheme="minorBidi"/>
            <w:b w:val="0"/>
            <w:noProof/>
            <w:color w:val="auto"/>
            <w:lang w:eastAsia="en-GB"/>
          </w:rPr>
          <w:tab/>
        </w:r>
        <w:r w:rsidR="00B1771D" w:rsidRPr="009849EF">
          <w:rPr>
            <w:rStyle w:val="Hyperlink"/>
            <w:noProof/>
            <w:lang w:val="es-ES"/>
          </w:rPr>
          <w:t>Límites de desempeño energético mínimo</w:t>
        </w:r>
        <w:r w:rsidR="00B1771D">
          <w:rPr>
            <w:noProof/>
            <w:webHidden/>
          </w:rPr>
          <w:tab/>
        </w:r>
        <w:r w:rsidR="00B1771D">
          <w:rPr>
            <w:noProof/>
            <w:webHidden/>
          </w:rPr>
          <w:fldChar w:fldCharType="begin"/>
        </w:r>
        <w:r w:rsidR="00B1771D">
          <w:rPr>
            <w:noProof/>
            <w:webHidden/>
          </w:rPr>
          <w:instrText xml:space="preserve"> PAGEREF _Toc516146031 \h </w:instrText>
        </w:r>
        <w:r w:rsidR="00B1771D">
          <w:rPr>
            <w:noProof/>
            <w:webHidden/>
          </w:rPr>
        </w:r>
        <w:r w:rsidR="00B1771D">
          <w:rPr>
            <w:noProof/>
            <w:webHidden/>
          </w:rPr>
          <w:fldChar w:fldCharType="separate"/>
        </w:r>
        <w:r w:rsidR="005E6430">
          <w:rPr>
            <w:noProof/>
            <w:webHidden/>
          </w:rPr>
          <w:t>56</w:t>
        </w:r>
        <w:r w:rsidR="00B1771D">
          <w:rPr>
            <w:noProof/>
            <w:webHidden/>
          </w:rPr>
          <w:fldChar w:fldCharType="end"/>
        </w:r>
      </w:hyperlink>
    </w:p>
    <w:p w14:paraId="027E7797" w14:textId="0874F3EB" w:rsidR="00B1771D" w:rsidRDefault="00D322D4">
      <w:pPr>
        <w:pStyle w:val="TOC2"/>
        <w:tabs>
          <w:tab w:val="left" w:pos="1100"/>
          <w:tab w:val="right" w:leader="dot" w:pos="8494"/>
        </w:tabs>
        <w:rPr>
          <w:rFonts w:asciiTheme="minorHAnsi" w:eastAsiaTheme="minorEastAsia" w:hAnsiTheme="minorHAnsi" w:cstheme="minorBidi"/>
          <w:b w:val="0"/>
          <w:noProof/>
          <w:color w:val="auto"/>
          <w:lang w:eastAsia="en-GB"/>
        </w:rPr>
      </w:pPr>
      <w:hyperlink w:anchor="_Toc516146032" w:history="1">
        <w:r w:rsidR="00B1771D" w:rsidRPr="009849EF">
          <w:rPr>
            <w:rStyle w:val="Hyperlink"/>
            <w:noProof/>
            <w:lang w:val="es-ES"/>
          </w:rPr>
          <w:t>5.4.</w:t>
        </w:r>
        <w:r w:rsidR="00B1771D">
          <w:rPr>
            <w:rFonts w:asciiTheme="minorHAnsi" w:eastAsiaTheme="minorEastAsia" w:hAnsiTheme="minorHAnsi" w:cstheme="minorBidi"/>
            <w:b w:val="0"/>
            <w:noProof/>
            <w:color w:val="auto"/>
            <w:lang w:eastAsia="en-GB"/>
          </w:rPr>
          <w:tab/>
        </w:r>
        <w:r w:rsidR="00B1771D" w:rsidRPr="009849EF">
          <w:rPr>
            <w:rStyle w:val="Hyperlink"/>
            <w:noProof/>
            <w:lang w:val="es-ES"/>
          </w:rPr>
          <w:t>Procedimientos de evaluación de la conformidad</w:t>
        </w:r>
        <w:r w:rsidR="00B1771D">
          <w:rPr>
            <w:noProof/>
            <w:webHidden/>
          </w:rPr>
          <w:tab/>
        </w:r>
        <w:r w:rsidR="00B1771D">
          <w:rPr>
            <w:noProof/>
            <w:webHidden/>
          </w:rPr>
          <w:fldChar w:fldCharType="begin"/>
        </w:r>
        <w:r w:rsidR="00B1771D">
          <w:rPr>
            <w:noProof/>
            <w:webHidden/>
          </w:rPr>
          <w:instrText xml:space="preserve"> PAGEREF _Toc516146032 \h </w:instrText>
        </w:r>
        <w:r w:rsidR="00B1771D">
          <w:rPr>
            <w:noProof/>
            <w:webHidden/>
          </w:rPr>
        </w:r>
        <w:r w:rsidR="00B1771D">
          <w:rPr>
            <w:noProof/>
            <w:webHidden/>
          </w:rPr>
          <w:fldChar w:fldCharType="separate"/>
        </w:r>
        <w:r w:rsidR="005E6430">
          <w:rPr>
            <w:noProof/>
            <w:webHidden/>
          </w:rPr>
          <w:t>58</w:t>
        </w:r>
        <w:r w:rsidR="00B1771D">
          <w:rPr>
            <w:noProof/>
            <w:webHidden/>
          </w:rPr>
          <w:fldChar w:fldCharType="end"/>
        </w:r>
      </w:hyperlink>
    </w:p>
    <w:p w14:paraId="48BE9566" w14:textId="09BE293C" w:rsidR="00B1771D" w:rsidRDefault="00D322D4">
      <w:pPr>
        <w:pStyle w:val="TOC2"/>
        <w:tabs>
          <w:tab w:val="left" w:pos="1100"/>
          <w:tab w:val="right" w:leader="dot" w:pos="8494"/>
        </w:tabs>
        <w:rPr>
          <w:rFonts w:asciiTheme="minorHAnsi" w:eastAsiaTheme="minorEastAsia" w:hAnsiTheme="minorHAnsi" w:cstheme="minorBidi"/>
          <w:b w:val="0"/>
          <w:noProof/>
          <w:color w:val="auto"/>
          <w:lang w:eastAsia="en-GB"/>
        </w:rPr>
      </w:pPr>
      <w:hyperlink w:anchor="_Toc516146033" w:history="1">
        <w:r w:rsidR="00B1771D" w:rsidRPr="009849EF">
          <w:rPr>
            <w:rStyle w:val="Hyperlink"/>
            <w:noProof/>
            <w:lang w:val="es-ES"/>
          </w:rPr>
          <w:t>5.5.</w:t>
        </w:r>
        <w:r w:rsidR="00B1771D">
          <w:rPr>
            <w:rFonts w:asciiTheme="minorHAnsi" w:eastAsiaTheme="minorEastAsia" w:hAnsiTheme="minorHAnsi" w:cstheme="minorBidi"/>
            <w:b w:val="0"/>
            <w:noProof/>
            <w:color w:val="auto"/>
            <w:lang w:eastAsia="en-GB"/>
          </w:rPr>
          <w:tab/>
        </w:r>
        <w:r w:rsidR="00B1771D" w:rsidRPr="009849EF">
          <w:rPr>
            <w:rStyle w:val="Hyperlink"/>
            <w:noProof/>
            <w:lang w:val="es-ES"/>
          </w:rPr>
          <w:t>Etiquetado energético e información al consumidor</w:t>
        </w:r>
        <w:r w:rsidR="00B1771D">
          <w:rPr>
            <w:noProof/>
            <w:webHidden/>
          </w:rPr>
          <w:tab/>
        </w:r>
        <w:r w:rsidR="00B1771D">
          <w:rPr>
            <w:noProof/>
            <w:webHidden/>
          </w:rPr>
          <w:fldChar w:fldCharType="begin"/>
        </w:r>
        <w:r w:rsidR="00B1771D">
          <w:rPr>
            <w:noProof/>
            <w:webHidden/>
          </w:rPr>
          <w:instrText xml:space="preserve"> PAGEREF _Toc516146033 \h </w:instrText>
        </w:r>
        <w:r w:rsidR="00B1771D">
          <w:rPr>
            <w:noProof/>
            <w:webHidden/>
          </w:rPr>
        </w:r>
        <w:r w:rsidR="00B1771D">
          <w:rPr>
            <w:noProof/>
            <w:webHidden/>
          </w:rPr>
          <w:fldChar w:fldCharType="separate"/>
        </w:r>
        <w:r w:rsidR="005E6430">
          <w:rPr>
            <w:noProof/>
            <w:webHidden/>
          </w:rPr>
          <w:t>59</w:t>
        </w:r>
        <w:r w:rsidR="00B1771D">
          <w:rPr>
            <w:noProof/>
            <w:webHidden/>
          </w:rPr>
          <w:fldChar w:fldCharType="end"/>
        </w:r>
      </w:hyperlink>
    </w:p>
    <w:p w14:paraId="52765714" w14:textId="5F409260" w:rsidR="00B1771D" w:rsidRDefault="00D322D4">
      <w:pPr>
        <w:pStyle w:val="TOC2"/>
        <w:tabs>
          <w:tab w:val="left" w:pos="1100"/>
          <w:tab w:val="right" w:leader="dot" w:pos="8494"/>
        </w:tabs>
        <w:rPr>
          <w:rFonts w:asciiTheme="minorHAnsi" w:eastAsiaTheme="minorEastAsia" w:hAnsiTheme="minorHAnsi" w:cstheme="minorBidi"/>
          <w:b w:val="0"/>
          <w:noProof/>
          <w:color w:val="auto"/>
          <w:lang w:eastAsia="en-GB"/>
        </w:rPr>
      </w:pPr>
      <w:hyperlink w:anchor="_Toc516146034" w:history="1">
        <w:r w:rsidR="00B1771D" w:rsidRPr="009849EF">
          <w:rPr>
            <w:rStyle w:val="Hyperlink"/>
            <w:noProof/>
            <w:lang w:val="es-ES"/>
          </w:rPr>
          <w:t>5.6.</w:t>
        </w:r>
        <w:r w:rsidR="00B1771D">
          <w:rPr>
            <w:rFonts w:asciiTheme="minorHAnsi" w:eastAsiaTheme="minorEastAsia" w:hAnsiTheme="minorHAnsi" w:cstheme="minorBidi"/>
            <w:b w:val="0"/>
            <w:noProof/>
            <w:color w:val="auto"/>
            <w:lang w:eastAsia="en-GB"/>
          </w:rPr>
          <w:tab/>
        </w:r>
        <w:r w:rsidR="00B1771D" w:rsidRPr="009849EF">
          <w:rPr>
            <w:rStyle w:val="Hyperlink"/>
            <w:noProof/>
            <w:lang w:val="es-ES"/>
          </w:rPr>
          <w:t>Alineación con Normas y reglamentos de referencia</w:t>
        </w:r>
        <w:r w:rsidR="00B1771D">
          <w:rPr>
            <w:noProof/>
            <w:webHidden/>
          </w:rPr>
          <w:tab/>
        </w:r>
        <w:r w:rsidR="00B1771D">
          <w:rPr>
            <w:noProof/>
            <w:webHidden/>
          </w:rPr>
          <w:fldChar w:fldCharType="begin"/>
        </w:r>
        <w:r w:rsidR="00B1771D">
          <w:rPr>
            <w:noProof/>
            <w:webHidden/>
          </w:rPr>
          <w:instrText xml:space="preserve"> PAGEREF _Toc516146034 \h </w:instrText>
        </w:r>
        <w:r w:rsidR="00B1771D">
          <w:rPr>
            <w:noProof/>
            <w:webHidden/>
          </w:rPr>
        </w:r>
        <w:r w:rsidR="00B1771D">
          <w:rPr>
            <w:noProof/>
            <w:webHidden/>
          </w:rPr>
          <w:fldChar w:fldCharType="separate"/>
        </w:r>
        <w:r w:rsidR="005E6430">
          <w:rPr>
            <w:noProof/>
            <w:webHidden/>
          </w:rPr>
          <w:t>60</w:t>
        </w:r>
        <w:r w:rsidR="00B1771D">
          <w:rPr>
            <w:noProof/>
            <w:webHidden/>
          </w:rPr>
          <w:fldChar w:fldCharType="end"/>
        </w:r>
      </w:hyperlink>
    </w:p>
    <w:p w14:paraId="20F76FC3" w14:textId="4B3C53D3" w:rsidR="00B1771D" w:rsidRDefault="00D322D4">
      <w:pPr>
        <w:pStyle w:val="TOC2"/>
        <w:tabs>
          <w:tab w:val="left" w:pos="1100"/>
          <w:tab w:val="right" w:leader="dot" w:pos="8494"/>
        </w:tabs>
        <w:rPr>
          <w:rFonts w:asciiTheme="minorHAnsi" w:eastAsiaTheme="minorEastAsia" w:hAnsiTheme="minorHAnsi" w:cstheme="minorBidi"/>
          <w:b w:val="0"/>
          <w:noProof/>
          <w:color w:val="auto"/>
          <w:lang w:eastAsia="en-GB"/>
        </w:rPr>
      </w:pPr>
      <w:hyperlink w:anchor="_Toc516146035" w:history="1">
        <w:r w:rsidR="00B1771D" w:rsidRPr="009849EF">
          <w:rPr>
            <w:rStyle w:val="Hyperlink"/>
            <w:noProof/>
            <w:lang w:val="es-ES"/>
          </w:rPr>
          <w:t>5.7.</w:t>
        </w:r>
        <w:r w:rsidR="00B1771D">
          <w:rPr>
            <w:rFonts w:asciiTheme="minorHAnsi" w:eastAsiaTheme="minorEastAsia" w:hAnsiTheme="minorHAnsi" w:cstheme="minorBidi"/>
            <w:b w:val="0"/>
            <w:noProof/>
            <w:color w:val="auto"/>
            <w:lang w:eastAsia="en-GB"/>
          </w:rPr>
          <w:tab/>
        </w:r>
        <w:r w:rsidR="00B1771D" w:rsidRPr="009849EF">
          <w:rPr>
            <w:rStyle w:val="Hyperlink"/>
            <w:noProof/>
            <w:lang w:val="es-ES"/>
          </w:rPr>
          <w:t>Redacción de la NT/RT</w:t>
        </w:r>
        <w:r w:rsidR="00B1771D">
          <w:rPr>
            <w:noProof/>
            <w:webHidden/>
          </w:rPr>
          <w:tab/>
        </w:r>
        <w:r w:rsidR="00B1771D">
          <w:rPr>
            <w:noProof/>
            <w:webHidden/>
          </w:rPr>
          <w:fldChar w:fldCharType="begin"/>
        </w:r>
        <w:r w:rsidR="00B1771D">
          <w:rPr>
            <w:noProof/>
            <w:webHidden/>
          </w:rPr>
          <w:instrText xml:space="preserve"> PAGEREF _Toc516146035 \h </w:instrText>
        </w:r>
        <w:r w:rsidR="00B1771D">
          <w:rPr>
            <w:noProof/>
            <w:webHidden/>
          </w:rPr>
        </w:r>
        <w:r w:rsidR="00B1771D">
          <w:rPr>
            <w:noProof/>
            <w:webHidden/>
          </w:rPr>
          <w:fldChar w:fldCharType="separate"/>
        </w:r>
        <w:r w:rsidR="005E6430">
          <w:rPr>
            <w:noProof/>
            <w:webHidden/>
          </w:rPr>
          <w:t>62</w:t>
        </w:r>
        <w:r w:rsidR="00B1771D">
          <w:rPr>
            <w:noProof/>
            <w:webHidden/>
          </w:rPr>
          <w:fldChar w:fldCharType="end"/>
        </w:r>
      </w:hyperlink>
    </w:p>
    <w:p w14:paraId="4F8748FB" w14:textId="6468B585" w:rsidR="00B1771D" w:rsidRDefault="00D322D4">
      <w:pPr>
        <w:pStyle w:val="TOC1"/>
        <w:tabs>
          <w:tab w:val="left" w:pos="567"/>
          <w:tab w:val="right" w:leader="dot" w:pos="8494"/>
        </w:tabs>
        <w:rPr>
          <w:rFonts w:asciiTheme="minorHAnsi" w:eastAsiaTheme="minorEastAsia" w:hAnsiTheme="minorHAnsi" w:cstheme="minorBidi"/>
          <w:b w:val="0"/>
          <w:smallCaps w:val="0"/>
          <w:noProof/>
          <w:color w:val="auto"/>
          <w:lang w:eastAsia="en-GB"/>
        </w:rPr>
      </w:pPr>
      <w:hyperlink w:anchor="_Toc516146036" w:history="1">
        <w:r w:rsidR="00B1771D" w:rsidRPr="009849EF">
          <w:rPr>
            <w:rStyle w:val="Hyperlink"/>
            <w:noProof/>
            <w:lang w:val="es-ES"/>
          </w:rPr>
          <w:t>IV.</w:t>
        </w:r>
        <w:r w:rsidR="00B1771D">
          <w:rPr>
            <w:rFonts w:asciiTheme="minorHAnsi" w:eastAsiaTheme="minorEastAsia" w:hAnsiTheme="minorHAnsi" w:cstheme="minorBidi"/>
            <w:b w:val="0"/>
            <w:smallCaps w:val="0"/>
            <w:noProof/>
            <w:color w:val="auto"/>
            <w:lang w:eastAsia="en-GB"/>
          </w:rPr>
          <w:tab/>
        </w:r>
        <w:r w:rsidR="00B1771D" w:rsidRPr="009849EF">
          <w:rPr>
            <w:rStyle w:val="Hyperlink"/>
            <w:noProof/>
            <w:lang w:val="es-ES"/>
          </w:rPr>
          <w:t>Conclusiones</w:t>
        </w:r>
        <w:r w:rsidR="00B1771D">
          <w:rPr>
            <w:noProof/>
            <w:webHidden/>
          </w:rPr>
          <w:tab/>
        </w:r>
        <w:r w:rsidR="00B1771D">
          <w:rPr>
            <w:noProof/>
            <w:webHidden/>
          </w:rPr>
          <w:fldChar w:fldCharType="begin"/>
        </w:r>
        <w:r w:rsidR="00B1771D">
          <w:rPr>
            <w:noProof/>
            <w:webHidden/>
          </w:rPr>
          <w:instrText xml:space="preserve"> PAGEREF _Toc516146036 \h </w:instrText>
        </w:r>
        <w:r w:rsidR="00B1771D">
          <w:rPr>
            <w:noProof/>
            <w:webHidden/>
          </w:rPr>
        </w:r>
        <w:r w:rsidR="00B1771D">
          <w:rPr>
            <w:noProof/>
            <w:webHidden/>
          </w:rPr>
          <w:fldChar w:fldCharType="separate"/>
        </w:r>
        <w:r w:rsidR="005E6430">
          <w:rPr>
            <w:noProof/>
            <w:webHidden/>
          </w:rPr>
          <w:t>65</w:t>
        </w:r>
        <w:r w:rsidR="00B1771D">
          <w:rPr>
            <w:noProof/>
            <w:webHidden/>
          </w:rPr>
          <w:fldChar w:fldCharType="end"/>
        </w:r>
      </w:hyperlink>
    </w:p>
    <w:p w14:paraId="1407A76B" w14:textId="2008906D" w:rsidR="00B1771D" w:rsidRDefault="00D322D4">
      <w:pPr>
        <w:pStyle w:val="TOC1"/>
        <w:tabs>
          <w:tab w:val="right" w:leader="dot" w:pos="8494"/>
        </w:tabs>
        <w:rPr>
          <w:rFonts w:asciiTheme="minorHAnsi" w:eastAsiaTheme="minorEastAsia" w:hAnsiTheme="minorHAnsi" w:cstheme="minorBidi"/>
          <w:b w:val="0"/>
          <w:smallCaps w:val="0"/>
          <w:noProof/>
          <w:color w:val="auto"/>
          <w:lang w:eastAsia="en-GB"/>
        </w:rPr>
      </w:pPr>
      <w:hyperlink w:anchor="_Toc516146037" w:history="1">
        <w:r w:rsidR="00B1771D" w:rsidRPr="009849EF">
          <w:rPr>
            <w:rStyle w:val="Hyperlink"/>
            <w:noProof/>
            <w:lang w:val="es-ES"/>
          </w:rPr>
          <w:t>Anexo 1 – Términos de Referencia</w:t>
        </w:r>
        <w:r w:rsidR="00B1771D">
          <w:rPr>
            <w:noProof/>
            <w:webHidden/>
          </w:rPr>
          <w:tab/>
        </w:r>
        <w:r w:rsidR="00B1771D">
          <w:rPr>
            <w:noProof/>
            <w:webHidden/>
          </w:rPr>
          <w:fldChar w:fldCharType="begin"/>
        </w:r>
        <w:r w:rsidR="00B1771D">
          <w:rPr>
            <w:noProof/>
            <w:webHidden/>
          </w:rPr>
          <w:instrText xml:space="preserve"> PAGEREF _Toc516146037 \h </w:instrText>
        </w:r>
        <w:r w:rsidR="00B1771D">
          <w:rPr>
            <w:noProof/>
            <w:webHidden/>
          </w:rPr>
        </w:r>
        <w:r w:rsidR="00B1771D">
          <w:rPr>
            <w:noProof/>
            <w:webHidden/>
          </w:rPr>
          <w:fldChar w:fldCharType="separate"/>
        </w:r>
        <w:r w:rsidR="005E6430">
          <w:rPr>
            <w:noProof/>
            <w:webHidden/>
          </w:rPr>
          <w:t>69</w:t>
        </w:r>
        <w:r w:rsidR="00B1771D">
          <w:rPr>
            <w:noProof/>
            <w:webHidden/>
          </w:rPr>
          <w:fldChar w:fldCharType="end"/>
        </w:r>
      </w:hyperlink>
    </w:p>
    <w:p w14:paraId="04AE6C5F" w14:textId="039968AA" w:rsidR="00B1771D" w:rsidRDefault="00D322D4">
      <w:pPr>
        <w:pStyle w:val="TOC1"/>
        <w:tabs>
          <w:tab w:val="right" w:leader="dot" w:pos="8494"/>
        </w:tabs>
        <w:rPr>
          <w:rFonts w:asciiTheme="minorHAnsi" w:eastAsiaTheme="minorEastAsia" w:hAnsiTheme="minorHAnsi" w:cstheme="minorBidi"/>
          <w:b w:val="0"/>
          <w:smallCaps w:val="0"/>
          <w:noProof/>
          <w:color w:val="auto"/>
          <w:lang w:eastAsia="en-GB"/>
        </w:rPr>
      </w:pPr>
      <w:hyperlink w:anchor="_Toc516146038" w:history="1">
        <w:r w:rsidR="00B1771D" w:rsidRPr="009849EF">
          <w:rPr>
            <w:rStyle w:val="Hyperlink"/>
            <w:noProof/>
            <w:lang w:val="es-ES"/>
          </w:rPr>
          <w:t>Anexo 2 – Presentaciones "Normas de desempeño energético mínimo para productos de iluminación" – diciembre 2017 y marzo 2018</w:t>
        </w:r>
        <w:r w:rsidR="00B1771D">
          <w:rPr>
            <w:noProof/>
            <w:webHidden/>
          </w:rPr>
          <w:tab/>
        </w:r>
        <w:r w:rsidR="00B1771D">
          <w:rPr>
            <w:noProof/>
            <w:webHidden/>
          </w:rPr>
          <w:fldChar w:fldCharType="begin"/>
        </w:r>
        <w:r w:rsidR="00B1771D">
          <w:rPr>
            <w:noProof/>
            <w:webHidden/>
          </w:rPr>
          <w:instrText xml:space="preserve"> PAGEREF _Toc516146038 \h </w:instrText>
        </w:r>
        <w:r w:rsidR="00B1771D">
          <w:rPr>
            <w:noProof/>
            <w:webHidden/>
          </w:rPr>
        </w:r>
        <w:r w:rsidR="00B1771D">
          <w:rPr>
            <w:noProof/>
            <w:webHidden/>
          </w:rPr>
          <w:fldChar w:fldCharType="separate"/>
        </w:r>
        <w:r w:rsidR="005E6430">
          <w:rPr>
            <w:noProof/>
            <w:webHidden/>
          </w:rPr>
          <w:t>70</w:t>
        </w:r>
        <w:r w:rsidR="00B1771D">
          <w:rPr>
            <w:noProof/>
            <w:webHidden/>
          </w:rPr>
          <w:fldChar w:fldCharType="end"/>
        </w:r>
      </w:hyperlink>
    </w:p>
    <w:p w14:paraId="32802A57" w14:textId="2F50E4AD" w:rsidR="00B1771D" w:rsidRDefault="00D322D4">
      <w:pPr>
        <w:pStyle w:val="TOC1"/>
        <w:tabs>
          <w:tab w:val="right" w:leader="dot" w:pos="8494"/>
        </w:tabs>
        <w:rPr>
          <w:rFonts w:asciiTheme="minorHAnsi" w:eastAsiaTheme="minorEastAsia" w:hAnsiTheme="minorHAnsi" w:cstheme="minorBidi"/>
          <w:b w:val="0"/>
          <w:smallCaps w:val="0"/>
          <w:noProof/>
          <w:color w:val="auto"/>
          <w:lang w:eastAsia="en-GB"/>
        </w:rPr>
      </w:pPr>
      <w:hyperlink w:anchor="_Toc516146039" w:history="1">
        <w:r w:rsidR="00B1771D" w:rsidRPr="009849EF">
          <w:rPr>
            <w:rStyle w:val="Hyperlink"/>
            <w:noProof/>
            <w:lang w:val="es-ES"/>
          </w:rPr>
          <w:t>Anexo 3 – Límites de desempeño energético para lámparas seleccionadas – EE.UU.</w:t>
        </w:r>
        <w:r w:rsidR="00B1771D">
          <w:rPr>
            <w:noProof/>
            <w:webHidden/>
          </w:rPr>
          <w:tab/>
        </w:r>
        <w:r w:rsidR="00B1771D">
          <w:rPr>
            <w:noProof/>
            <w:webHidden/>
          </w:rPr>
          <w:fldChar w:fldCharType="begin"/>
        </w:r>
        <w:r w:rsidR="00B1771D">
          <w:rPr>
            <w:noProof/>
            <w:webHidden/>
          </w:rPr>
          <w:instrText xml:space="preserve"> PAGEREF _Toc516146039 \h </w:instrText>
        </w:r>
        <w:r w:rsidR="00B1771D">
          <w:rPr>
            <w:noProof/>
            <w:webHidden/>
          </w:rPr>
        </w:r>
        <w:r w:rsidR="00B1771D">
          <w:rPr>
            <w:noProof/>
            <w:webHidden/>
          </w:rPr>
          <w:fldChar w:fldCharType="separate"/>
        </w:r>
        <w:r w:rsidR="005E6430">
          <w:rPr>
            <w:noProof/>
            <w:webHidden/>
          </w:rPr>
          <w:t>71</w:t>
        </w:r>
        <w:r w:rsidR="00B1771D">
          <w:rPr>
            <w:noProof/>
            <w:webHidden/>
          </w:rPr>
          <w:fldChar w:fldCharType="end"/>
        </w:r>
      </w:hyperlink>
    </w:p>
    <w:p w14:paraId="79E51D6D" w14:textId="4D618D0D" w:rsidR="00B1771D" w:rsidRDefault="00D322D4">
      <w:pPr>
        <w:pStyle w:val="TOC1"/>
        <w:tabs>
          <w:tab w:val="right" w:leader="dot" w:pos="8494"/>
        </w:tabs>
        <w:rPr>
          <w:rFonts w:asciiTheme="minorHAnsi" w:eastAsiaTheme="minorEastAsia" w:hAnsiTheme="minorHAnsi" w:cstheme="minorBidi"/>
          <w:b w:val="0"/>
          <w:smallCaps w:val="0"/>
          <w:noProof/>
          <w:color w:val="auto"/>
          <w:lang w:eastAsia="en-GB"/>
        </w:rPr>
      </w:pPr>
      <w:hyperlink w:anchor="_Toc516146040" w:history="1">
        <w:r w:rsidR="00B1771D" w:rsidRPr="009849EF">
          <w:rPr>
            <w:rStyle w:val="Hyperlink"/>
            <w:rFonts w:eastAsia="Times New Roman"/>
            <w:noProof/>
            <w:lang w:val="es-ES"/>
          </w:rPr>
          <w:t>Anexo 4 – Etiquetas "</w:t>
        </w:r>
        <w:r w:rsidR="00B1771D" w:rsidRPr="009849EF">
          <w:rPr>
            <w:rStyle w:val="Hyperlink"/>
            <w:rFonts w:eastAsia="Times New Roman"/>
            <w:i/>
            <w:noProof/>
            <w:lang w:val="es-ES"/>
          </w:rPr>
          <w:t>Lighting facts</w:t>
        </w:r>
        <w:r w:rsidR="00B1771D" w:rsidRPr="009849EF">
          <w:rPr>
            <w:rStyle w:val="Hyperlink"/>
            <w:rFonts w:eastAsia="Times New Roman"/>
            <w:noProof/>
            <w:lang w:val="es-ES"/>
          </w:rPr>
          <w:t>" de EE.UU. – Diseños permitidos</w:t>
        </w:r>
        <w:r w:rsidR="00B1771D">
          <w:rPr>
            <w:noProof/>
            <w:webHidden/>
          </w:rPr>
          <w:tab/>
        </w:r>
        <w:r w:rsidR="00B1771D">
          <w:rPr>
            <w:noProof/>
            <w:webHidden/>
          </w:rPr>
          <w:fldChar w:fldCharType="begin"/>
        </w:r>
        <w:r w:rsidR="00B1771D">
          <w:rPr>
            <w:noProof/>
            <w:webHidden/>
          </w:rPr>
          <w:instrText xml:space="preserve"> PAGEREF _Toc516146040 \h </w:instrText>
        </w:r>
        <w:r w:rsidR="00B1771D">
          <w:rPr>
            <w:noProof/>
            <w:webHidden/>
          </w:rPr>
        </w:r>
        <w:r w:rsidR="00B1771D">
          <w:rPr>
            <w:noProof/>
            <w:webHidden/>
          </w:rPr>
          <w:fldChar w:fldCharType="separate"/>
        </w:r>
        <w:r w:rsidR="005E6430">
          <w:rPr>
            <w:noProof/>
            <w:webHidden/>
          </w:rPr>
          <w:t>73</w:t>
        </w:r>
        <w:r w:rsidR="00B1771D">
          <w:rPr>
            <w:noProof/>
            <w:webHidden/>
          </w:rPr>
          <w:fldChar w:fldCharType="end"/>
        </w:r>
      </w:hyperlink>
    </w:p>
    <w:p w14:paraId="65A6C5EC" w14:textId="326CFB26" w:rsidR="00B1771D" w:rsidRDefault="00D322D4">
      <w:pPr>
        <w:pStyle w:val="TOC1"/>
        <w:tabs>
          <w:tab w:val="right" w:leader="dot" w:pos="8494"/>
        </w:tabs>
        <w:rPr>
          <w:rFonts w:asciiTheme="minorHAnsi" w:eastAsiaTheme="minorEastAsia" w:hAnsiTheme="minorHAnsi" w:cstheme="minorBidi"/>
          <w:b w:val="0"/>
          <w:smallCaps w:val="0"/>
          <w:noProof/>
          <w:color w:val="auto"/>
          <w:lang w:eastAsia="en-GB"/>
        </w:rPr>
      </w:pPr>
      <w:hyperlink w:anchor="_Toc516146041" w:history="1">
        <w:r w:rsidR="00B1771D" w:rsidRPr="009849EF">
          <w:rPr>
            <w:rStyle w:val="Hyperlink"/>
            <w:noProof/>
            <w:lang w:val="es-ES"/>
          </w:rPr>
          <w:t>Anexo 5 – Requisitos de desempeño energético para varios tipos de lámparas – Unión Europea</w:t>
        </w:r>
        <w:r w:rsidR="00B1771D">
          <w:rPr>
            <w:noProof/>
            <w:webHidden/>
          </w:rPr>
          <w:tab/>
        </w:r>
        <w:r w:rsidR="00B1771D">
          <w:rPr>
            <w:noProof/>
            <w:webHidden/>
          </w:rPr>
          <w:fldChar w:fldCharType="begin"/>
        </w:r>
        <w:r w:rsidR="00B1771D">
          <w:rPr>
            <w:noProof/>
            <w:webHidden/>
          </w:rPr>
          <w:instrText xml:space="preserve"> PAGEREF _Toc516146041 \h </w:instrText>
        </w:r>
        <w:r w:rsidR="00B1771D">
          <w:rPr>
            <w:noProof/>
            <w:webHidden/>
          </w:rPr>
        </w:r>
        <w:r w:rsidR="00B1771D">
          <w:rPr>
            <w:noProof/>
            <w:webHidden/>
          </w:rPr>
          <w:fldChar w:fldCharType="separate"/>
        </w:r>
        <w:r w:rsidR="005E6430">
          <w:rPr>
            <w:noProof/>
            <w:webHidden/>
          </w:rPr>
          <w:t>74</w:t>
        </w:r>
        <w:r w:rsidR="00B1771D">
          <w:rPr>
            <w:noProof/>
            <w:webHidden/>
          </w:rPr>
          <w:fldChar w:fldCharType="end"/>
        </w:r>
      </w:hyperlink>
    </w:p>
    <w:p w14:paraId="4A03DB28" w14:textId="19EBA8F7" w:rsidR="00B1771D" w:rsidRDefault="00D322D4">
      <w:pPr>
        <w:pStyle w:val="TOC1"/>
        <w:tabs>
          <w:tab w:val="right" w:leader="dot" w:pos="8494"/>
        </w:tabs>
        <w:rPr>
          <w:rFonts w:asciiTheme="minorHAnsi" w:eastAsiaTheme="minorEastAsia" w:hAnsiTheme="minorHAnsi" w:cstheme="minorBidi"/>
          <w:b w:val="0"/>
          <w:smallCaps w:val="0"/>
          <w:noProof/>
          <w:color w:val="auto"/>
          <w:lang w:eastAsia="en-GB"/>
        </w:rPr>
      </w:pPr>
      <w:hyperlink w:anchor="_Toc516146042" w:history="1">
        <w:r w:rsidR="00B1771D" w:rsidRPr="009849EF">
          <w:rPr>
            <w:rStyle w:val="Hyperlink"/>
            <w:noProof/>
            <w:lang w:val="es-ES"/>
          </w:rPr>
          <w:t>Anexo 6 – Requisitos de desempeño energético para fuentes de luz – propuesta de la Comisión Europea, noviembre de 2017</w:t>
        </w:r>
        <w:r w:rsidR="00B1771D">
          <w:rPr>
            <w:noProof/>
            <w:webHidden/>
          </w:rPr>
          <w:tab/>
        </w:r>
        <w:r w:rsidR="00B1771D">
          <w:rPr>
            <w:noProof/>
            <w:webHidden/>
          </w:rPr>
          <w:fldChar w:fldCharType="begin"/>
        </w:r>
        <w:r w:rsidR="00B1771D">
          <w:rPr>
            <w:noProof/>
            <w:webHidden/>
          </w:rPr>
          <w:instrText xml:space="preserve"> PAGEREF _Toc516146042 \h </w:instrText>
        </w:r>
        <w:r w:rsidR="00B1771D">
          <w:rPr>
            <w:noProof/>
            <w:webHidden/>
          </w:rPr>
        </w:r>
        <w:r w:rsidR="00B1771D">
          <w:rPr>
            <w:noProof/>
            <w:webHidden/>
          </w:rPr>
          <w:fldChar w:fldCharType="separate"/>
        </w:r>
        <w:r w:rsidR="005E6430">
          <w:rPr>
            <w:noProof/>
            <w:webHidden/>
          </w:rPr>
          <w:t>76</w:t>
        </w:r>
        <w:r w:rsidR="00B1771D">
          <w:rPr>
            <w:noProof/>
            <w:webHidden/>
          </w:rPr>
          <w:fldChar w:fldCharType="end"/>
        </w:r>
      </w:hyperlink>
    </w:p>
    <w:p w14:paraId="10FB6101" w14:textId="00BDBC23" w:rsidR="00B1771D" w:rsidRDefault="00D322D4">
      <w:pPr>
        <w:pStyle w:val="TOC1"/>
        <w:tabs>
          <w:tab w:val="right" w:leader="dot" w:pos="8494"/>
        </w:tabs>
        <w:rPr>
          <w:rFonts w:asciiTheme="minorHAnsi" w:eastAsiaTheme="minorEastAsia" w:hAnsiTheme="minorHAnsi" w:cstheme="minorBidi"/>
          <w:b w:val="0"/>
          <w:smallCaps w:val="0"/>
          <w:noProof/>
          <w:color w:val="auto"/>
          <w:lang w:eastAsia="en-GB"/>
        </w:rPr>
      </w:pPr>
      <w:hyperlink w:anchor="_Toc516146043" w:history="1">
        <w:r w:rsidR="00B1771D" w:rsidRPr="009849EF">
          <w:rPr>
            <w:rStyle w:val="Hyperlink"/>
            <w:noProof/>
            <w:lang w:val="es-ES"/>
          </w:rPr>
          <w:t>Anexo 7 – Límites de desempeño energético para lámparas seleccionadas – México</w:t>
        </w:r>
        <w:r w:rsidR="00B1771D">
          <w:rPr>
            <w:noProof/>
            <w:webHidden/>
          </w:rPr>
          <w:tab/>
        </w:r>
        <w:r w:rsidR="00B1771D">
          <w:rPr>
            <w:noProof/>
            <w:webHidden/>
          </w:rPr>
          <w:fldChar w:fldCharType="begin"/>
        </w:r>
        <w:r w:rsidR="00B1771D">
          <w:rPr>
            <w:noProof/>
            <w:webHidden/>
          </w:rPr>
          <w:instrText xml:space="preserve"> PAGEREF _Toc516146043 \h </w:instrText>
        </w:r>
        <w:r w:rsidR="00B1771D">
          <w:rPr>
            <w:noProof/>
            <w:webHidden/>
          </w:rPr>
        </w:r>
        <w:r w:rsidR="00B1771D">
          <w:rPr>
            <w:noProof/>
            <w:webHidden/>
          </w:rPr>
          <w:fldChar w:fldCharType="separate"/>
        </w:r>
        <w:r w:rsidR="005E6430">
          <w:rPr>
            <w:noProof/>
            <w:webHidden/>
          </w:rPr>
          <w:t>79</w:t>
        </w:r>
        <w:r w:rsidR="00B1771D">
          <w:rPr>
            <w:noProof/>
            <w:webHidden/>
          </w:rPr>
          <w:fldChar w:fldCharType="end"/>
        </w:r>
      </w:hyperlink>
    </w:p>
    <w:p w14:paraId="16C5242E" w14:textId="09E74B3B" w:rsidR="00B1771D" w:rsidRDefault="00D322D4">
      <w:pPr>
        <w:pStyle w:val="TOC1"/>
        <w:tabs>
          <w:tab w:val="right" w:leader="dot" w:pos="8494"/>
        </w:tabs>
        <w:rPr>
          <w:rFonts w:asciiTheme="minorHAnsi" w:eastAsiaTheme="minorEastAsia" w:hAnsiTheme="minorHAnsi" w:cstheme="minorBidi"/>
          <w:b w:val="0"/>
          <w:smallCaps w:val="0"/>
          <w:noProof/>
          <w:color w:val="auto"/>
          <w:lang w:eastAsia="en-GB"/>
        </w:rPr>
      </w:pPr>
      <w:hyperlink w:anchor="_Toc516146044" w:history="1">
        <w:r w:rsidR="00B1771D" w:rsidRPr="009849EF">
          <w:rPr>
            <w:rStyle w:val="Hyperlink"/>
            <w:noProof/>
            <w:lang w:val="es-ES"/>
          </w:rPr>
          <w:t xml:space="preserve">Anexo 8 – Lista de métodos de prueba para productos de iluminación de acuerdo a Subpart B </w:t>
        </w:r>
        <w:r w:rsidR="00B1771D" w:rsidRPr="009849EF">
          <w:rPr>
            <w:rStyle w:val="Hyperlink"/>
            <w:rFonts w:cs="Calibri"/>
            <w:noProof/>
            <w:lang w:val="es-ES"/>
          </w:rPr>
          <w:t>§</w:t>
        </w:r>
        <w:r w:rsidR="00B1771D" w:rsidRPr="009849EF">
          <w:rPr>
            <w:rStyle w:val="Hyperlink"/>
            <w:noProof/>
            <w:lang w:val="es-ES"/>
          </w:rPr>
          <w:t>430.23, normas incorporadas por referencia y equivalencia con normas internacionales</w:t>
        </w:r>
        <w:r w:rsidR="00B1771D">
          <w:rPr>
            <w:noProof/>
            <w:webHidden/>
          </w:rPr>
          <w:tab/>
        </w:r>
        <w:r w:rsidR="00B1771D">
          <w:rPr>
            <w:noProof/>
            <w:webHidden/>
          </w:rPr>
          <w:fldChar w:fldCharType="begin"/>
        </w:r>
        <w:r w:rsidR="00B1771D">
          <w:rPr>
            <w:noProof/>
            <w:webHidden/>
          </w:rPr>
          <w:instrText xml:space="preserve"> PAGEREF _Toc516146044 \h </w:instrText>
        </w:r>
        <w:r w:rsidR="00B1771D">
          <w:rPr>
            <w:noProof/>
            <w:webHidden/>
          </w:rPr>
        </w:r>
        <w:r w:rsidR="00B1771D">
          <w:rPr>
            <w:noProof/>
            <w:webHidden/>
          </w:rPr>
          <w:fldChar w:fldCharType="separate"/>
        </w:r>
        <w:r w:rsidR="005E6430">
          <w:rPr>
            <w:noProof/>
            <w:webHidden/>
          </w:rPr>
          <w:t>82</w:t>
        </w:r>
        <w:r w:rsidR="00B1771D">
          <w:rPr>
            <w:noProof/>
            <w:webHidden/>
          </w:rPr>
          <w:fldChar w:fldCharType="end"/>
        </w:r>
      </w:hyperlink>
    </w:p>
    <w:p w14:paraId="2409B0C2" w14:textId="093DD8FA" w:rsidR="00B1771D" w:rsidRDefault="00D322D4">
      <w:pPr>
        <w:pStyle w:val="TOC1"/>
        <w:tabs>
          <w:tab w:val="right" w:leader="dot" w:pos="8494"/>
        </w:tabs>
        <w:rPr>
          <w:rFonts w:asciiTheme="minorHAnsi" w:eastAsiaTheme="minorEastAsia" w:hAnsiTheme="minorHAnsi" w:cstheme="minorBidi"/>
          <w:b w:val="0"/>
          <w:smallCaps w:val="0"/>
          <w:noProof/>
          <w:color w:val="auto"/>
          <w:lang w:eastAsia="en-GB"/>
        </w:rPr>
      </w:pPr>
      <w:hyperlink w:anchor="_Toc516146045" w:history="1">
        <w:r w:rsidR="00B1771D" w:rsidRPr="009849EF">
          <w:rPr>
            <w:rStyle w:val="Hyperlink"/>
            <w:noProof/>
            <w:lang w:val="es-ES"/>
          </w:rPr>
          <w:t>Anexo 9 – Lista de las normas principales europeas e internacionales para productos de iluminación</w:t>
        </w:r>
        <w:r w:rsidR="00B1771D">
          <w:rPr>
            <w:noProof/>
            <w:webHidden/>
          </w:rPr>
          <w:tab/>
        </w:r>
        <w:r w:rsidR="00B1771D">
          <w:rPr>
            <w:noProof/>
            <w:webHidden/>
          </w:rPr>
          <w:fldChar w:fldCharType="begin"/>
        </w:r>
        <w:r w:rsidR="00B1771D">
          <w:rPr>
            <w:noProof/>
            <w:webHidden/>
          </w:rPr>
          <w:instrText xml:space="preserve"> PAGEREF _Toc516146045 \h </w:instrText>
        </w:r>
        <w:r w:rsidR="00B1771D">
          <w:rPr>
            <w:noProof/>
            <w:webHidden/>
          </w:rPr>
        </w:r>
        <w:r w:rsidR="00B1771D">
          <w:rPr>
            <w:noProof/>
            <w:webHidden/>
          </w:rPr>
          <w:fldChar w:fldCharType="separate"/>
        </w:r>
        <w:r w:rsidR="005E6430">
          <w:rPr>
            <w:noProof/>
            <w:webHidden/>
          </w:rPr>
          <w:t>89</w:t>
        </w:r>
        <w:r w:rsidR="00B1771D">
          <w:rPr>
            <w:noProof/>
            <w:webHidden/>
          </w:rPr>
          <w:fldChar w:fldCharType="end"/>
        </w:r>
      </w:hyperlink>
    </w:p>
    <w:p w14:paraId="22CED739" w14:textId="24B992D3" w:rsidR="00B1771D" w:rsidRDefault="00D322D4">
      <w:pPr>
        <w:pStyle w:val="TOC1"/>
        <w:tabs>
          <w:tab w:val="right" w:leader="dot" w:pos="8494"/>
        </w:tabs>
        <w:rPr>
          <w:rFonts w:asciiTheme="minorHAnsi" w:eastAsiaTheme="minorEastAsia" w:hAnsiTheme="minorHAnsi" w:cstheme="minorBidi"/>
          <w:b w:val="0"/>
          <w:smallCaps w:val="0"/>
          <w:noProof/>
          <w:color w:val="auto"/>
          <w:lang w:eastAsia="en-GB"/>
        </w:rPr>
      </w:pPr>
      <w:hyperlink w:anchor="_Toc516146046" w:history="1">
        <w:r w:rsidR="00B1771D" w:rsidRPr="009849EF">
          <w:rPr>
            <w:rStyle w:val="Hyperlink"/>
            <w:noProof/>
            <w:lang w:val="es-ES"/>
          </w:rPr>
          <w:t>Anexo 10 – Lista de NOM-ENER, NMX referenciadas y equivalencia con normas internacionales</w:t>
        </w:r>
        <w:r w:rsidR="00B1771D">
          <w:rPr>
            <w:noProof/>
            <w:webHidden/>
          </w:rPr>
          <w:tab/>
        </w:r>
        <w:r w:rsidR="00B1771D">
          <w:rPr>
            <w:noProof/>
            <w:webHidden/>
          </w:rPr>
          <w:fldChar w:fldCharType="begin"/>
        </w:r>
        <w:r w:rsidR="00B1771D">
          <w:rPr>
            <w:noProof/>
            <w:webHidden/>
          </w:rPr>
          <w:instrText xml:space="preserve"> PAGEREF _Toc516146046 \h </w:instrText>
        </w:r>
        <w:r w:rsidR="00B1771D">
          <w:rPr>
            <w:noProof/>
            <w:webHidden/>
          </w:rPr>
        </w:r>
        <w:r w:rsidR="00B1771D">
          <w:rPr>
            <w:noProof/>
            <w:webHidden/>
          </w:rPr>
          <w:fldChar w:fldCharType="separate"/>
        </w:r>
        <w:r w:rsidR="005E6430">
          <w:rPr>
            <w:noProof/>
            <w:webHidden/>
          </w:rPr>
          <w:t>96</w:t>
        </w:r>
        <w:r w:rsidR="00B1771D">
          <w:rPr>
            <w:noProof/>
            <w:webHidden/>
          </w:rPr>
          <w:fldChar w:fldCharType="end"/>
        </w:r>
      </w:hyperlink>
    </w:p>
    <w:p w14:paraId="742369E4" w14:textId="7E4279FC" w:rsidR="00B1771D" w:rsidRDefault="00D322D4">
      <w:pPr>
        <w:pStyle w:val="TOC1"/>
        <w:tabs>
          <w:tab w:val="right" w:leader="dot" w:pos="8494"/>
        </w:tabs>
        <w:rPr>
          <w:rFonts w:asciiTheme="minorHAnsi" w:eastAsiaTheme="minorEastAsia" w:hAnsiTheme="minorHAnsi" w:cstheme="minorBidi"/>
          <w:b w:val="0"/>
          <w:smallCaps w:val="0"/>
          <w:noProof/>
          <w:color w:val="auto"/>
          <w:lang w:eastAsia="en-GB"/>
        </w:rPr>
      </w:pPr>
      <w:hyperlink w:anchor="_Toc516146047" w:history="1">
        <w:r w:rsidR="00B1771D" w:rsidRPr="009849EF">
          <w:rPr>
            <w:rStyle w:val="Hyperlink"/>
            <w:noProof/>
            <w:lang w:val="es-ES"/>
          </w:rPr>
          <w:t>Anexo 11 – Normas de medición ISO/IEC y NMX para lámparas incandescentes – normas referenciadas</w:t>
        </w:r>
        <w:r w:rsidR="00B1771D">
          <w:rPr>
            <w:noProof/>
            <w:webHidden/>
          </w:rPr>
          <w:tab/>
        </w:r>
        <w:r w:rsidR="00B1771D">
          <w:rPr>
            <w:noProof/>
            <w:webHidden/>
          </w:rPr>
          <w:fldChar w:fldCharType="begin"/>
        </w:r>
        <w:r w:rsidR="00B1771D">
          <w:rPr>
            <w:noProof/>
            <w:webHidden/>
          </w:rPr>
          <w:instrText xml:space="preserve"> PAGEREF _Toc516146047 \h </w:instrText>
        </w:r>
        <w:r w:rsidR="00B1771D">
          <w:rPr>
            <w:noProof/>
            <w:webHidden/>
          </w:rPr>
        </w:r>
        <w:r w:rsidR="00B1771D">
          <w:rPr>
            <w:noProof/>
            <w:webHidden/>
          </w:rPr>
          <w:fldChar w:fldCharType="separate"/>
        </w:r>
        <w:r w:rsidR="005E6430">
          <w:rPr>
            <w:noProof/>
            <w:webHidden/>
          </w:rPr>
          <w:t>102</w:t>
        </w:r>
        <w:r w:rsidR="00B1771D">
          <w:rPr>
            <w:noProof/>
            <w:webHidden/>
          </w:rPr>
          <w:fldChar w:fldCharType="end"/>
        </w:r>
      </w:hyperlink>
    </w:p>
    <w:p w14:paraId="0DA234E9" w14:textId="574EAC1F" w:rsidR="00B1771D" w:rsidRDefault="00D322D4">
      <w:pPr>
        <w:pStyle w:val="TOC1"/>
        <w:tabs>
          <w:tab w:val="right" w:leader="dot" w:pos="8494"/>
        </w:tabs>
        <w:rPr>
          <w:rFonts w:asciiTheme="minorHAnsi" w:eastAsiaTheme="minorEastAsia" w:hAnsiTheme="minorHAnsi" w:cstheme="minorBidi"/>
          <w:b w:val="0"/>
          <w:smallCaps w:val="0"/>
          <w:noProof/>
          <w:color w:val="auto"/>
          <w:lang w:eastAsia="en-GB"/>
        </w:rPr>
      </w:pPr>
      <w:hyperlink w:anchor="_Toc516146048" w:history="1">
        <w:r w:rsidR="00B1771D" w:rsidRPr="009849EF">
          <w:rPr>
            <w:rStyle w:val="Hyperlink"/>
            <w:noProof/>
            <w:lang w:val="es-ES"/>
          </w:rPr>
          <w:t>Anexo 12 – Normas de medición ISO/IEC y NMX para LFC autobalastradas – normas referenciadas</w:t>
        </w:r>
        <w:r w:rsidR="00B1771D">
          <w:rPr>
            <w:noProof/>
            <w:webHidden/>
          </w:rPr>
          <w:tab/>
        </w:r>
        <w:r w:rsidR="00B1771D">
          <w:rPr>
            <w:noProof/>
            <w:webHidden/>
          </w:rPr>
          <w:fldChar w:fldCharType="begin"/>
        </w:r>
        <w:r w:rsidR="00B1771D">
          <w:rPr>
            <w:noProof/>
            <w:webHidden/>
          </w:rPr>
          <w:instrText xml:space="preserve"> PAGEREF _Toc516146048 \h </w:instrText>
        </w:r>
        <w:r w:rsidR="00B1771D">
          <w:rPr>
            <w:noProof/>
            <w:webHidden/>
          </w:rPr>
        </w:r>
        <w:r w:rsidR="00B1771D">
          <w:rPr>
            <w:noProof/>
            <w:webHidden/>
          </w:rPr>
          <w:fldChar w:fldCharType="separate"/>
        </w:r>
        <w:r w:rsidR="005E6430">
          <w:rPr>
            <w:noProof/>
            <w:webHidden/>
          </w:rPr>
          <w:t>103</w:t>
        </w:r>
        <w:r w:rsidR="00B1771D">
          <w:rPr>
            <w:noProof/>
            <w:webHidden/>
          </w:rPr>
          <w:fldChar w:fldCharType="end"/>
        </w:r>
      </w:hyperlink>
    </w:p>
    <w:p w14:paraId="22D48379" w14:textId="002E1554" w:rsidR="00B1771D" w:rsidRDefault="00D322D4">
      <w:pPr>
        <w:pStyle w:val="TOC1"/>
        <w:tabs>
          <w:tab w:val="right" w:leader="dot" w:pos="8494"/>
        </w:tabs>
        <w:rPr>
          <w:rFonts w:asciiTheme="minorHAnsi" w:eastAsiaTheme="minorEastAsia" w:hAnsiTheme="minorHAnsi" w:cstheme="minorBidi"/>
          <w:b w:val="0"/>
          <w:smallCaps w:val="0"/>
          <w:noProof/>
          <w:color w:val="auto"/>
          <w:lang w:eastAsia="en-GB"/>
        </w:rPr>
      </w:pPr>
      <w:hyperlink w:anchor="_Toc516146049" w:history="1">
        <w:r w:rsidR="00B1771D" w:rsidRPr="009849EF">
          <w:rPr>
            <w:rStyle w:val="Hyperlink"/>
            <w:noProof/>
            <w:lang w:val="es-ES"/>
          </w:rPr>
          <w:t>Anexo 13 – Normas de medición ISO/IEC y NMX para lámparas fluorescentes de doble base – normas referenciadas</w:t>
        </w:r>
        <w:r w:rsidR="00B1771D">
          <w:rPr>
            <w:noProof/>
            <w:webHidden/>
          </w:rPr>
          <w:tab/>
        </w:r>
        <w:r w:rsidR="00B1771D">
          <w:rPr>
            <w:noProof/>
            <w:webHidden/>
          </w:rPr>
          <w:fldChar w:fldCharType="begin"/>
        </w:r>
        <w:r w:rsidR="00B1771D">
          <w:rPr>
            <w:noProof/>
            <w:webHidden/>
          </w:rPr>
          <w:instrText xml:space="preserve"> PAGEREF _Toc516146049 \h </w:instrText>
        </w:r>
        <w:r w:rsidR="00B1771D">
          <w:rPr>
            <w:noProof/>
            <w:webHidden/>
          </w:rPr>
        </w:r>
        <w:r w:rsidR="00B1771D">
          <w:rPr>
            <w:noProof/>
            <w:webHidden/>
          </w:rPr>
          <w:fldChar w:fldCharType="separate"/>
        </w:r>
        <w:r w:rsidR="005E6430">
          <w:rPr>
            <w:noProof/>
            <w:webHidden/>
          </w:rPr>
          <w:t>104</w:t>
        </w:r>
        <w:r w:rsidR="00B1771D">
          <w:rPr>
            <w:noProof/>
            <w:webHidden/>
          </w:rPr>
          <w:fldChar w:fldCharType="end"/>
        </w:r>
      </w:hyperlink>
    </w:p>
    <w:p w14:paraId="4DC46E9B" w14:textId="02F4F8DB" w:rsidR="00B1771D" w:rsidRDefault="00D322D4">
      <w:pPr>
        <w:pStyle w:val="TOC1"/>
        <w:tabs>
          <w:tab w:val="right" w:leader="dot" w:pos="8494"/>
        </w:tabs>
        <w:rPr>
          <w:rFonts w:asciiTheme="minorHAnsi" w:eastAsiaTheme="minorEastAsia" w:hAnsiTheme="minorHAnsi" w:cstheme="minorBidi"/>
          <w:b w:val="0"/>
          <w:smallCaps w:val="0"/>
          <w:noProof/>
          <w:color w:val="auto"/>
          <w:lang w:eastAsia="en-GB"/>
        </w:rPr>
      </w:pPr>
      <w:hyperlink w:anchor="_Toc516146050" w:history="1">
        <w:r w:rsidR="00B1771D" w:rsidRPr="009849EF">
          <w:rPr>
            <w:rStyle w:val="Hyperlink"/>
            <w:rFonts w:eastAsia="Times New Roman"/>
            <w:noProof/>
            <w:lang w:val="es-ES"/>
          </w:rPr>
          <w:t>Anexo 14 – Normas de medición ISO/IEC para lámparas LED integradas, módulos LED y luminarias de LED – normas referenciadas</w:t>
        </w:r>
        <w:r w:rsidR="00B1771D">
          <w:rPr>
            <w:noProof/>
            <w:webHidden/>
          </w:rPr>
          <w:tab/>
        </w:r>
        <w:r w:rsidR="00B1771D">
          <w:rPr>
            <w:noProof/>
            <w:webHidden/>
          </w:rPr>
          <w:fldChar w:fldCharType="begin"/>
        </w:r>
        <w:r w:rsidR="00B1771D">
          <w:rPr>
            <w:noProof/>
            <w:webHidden/>
          </w:rPr>
          <w:instrText xml:space="preserve"> PAGEREF _Toc516146050 \h </w:instrText>
        </w:r>
        <w:r w:rsidR="00B1771D">
          <w:rPr>
            <w:noProof/>
            <w:webHidden/>
          </w:rPr>
        </w:r>
        <w:r w:rsidR="00B1771D">
          <w:rPr>
            <w:noProof/>
            <w:webHidden/>
          </w:rPr>
          <w:fldChar w:fldCharType="separate"/>
        </w:r>
        <w:r w:rsidR="005E6430">
          <w:rPr>
            <w:noProof/>
            <w:webHidden/>
          </w:rPr>
          <w:t>106</w:t>
        </w:r>
        <w:r w:rsidR="00B1771D">
          <w:rPr>
            <w:noProof/>
            <w:webHidden/>
          </w:rPr>
          <w:fldChar w:fldCharType="end"/>
        </w:r>
      </w:hyperlink>
    </w:p>
    <w:p w14:paraId="03D40C40" w14:textId="0AFBAC06" w:rsidR="00B1771D" w:rsidRDefault="00D322D4">
      <w:pPr>
        <w:pStyle w:val="TOC1"/>
        <w:tabs>
          <w:tab w:val="right" w:leader="dot" w:pos="8494"/>
        </w:tabs>
        <w:rPr>
          <w:rFonts w:asciiTheme="minorHAnsi" w:eastAsiaTheme="minorEastAsia" w:hAnsiTheme="minorHAnsi" w:cstheme="minorBidi"/>
          <w:b w:val="0"/>
          <w:smallCaps w:val="0"/>
          <w:noProof/>
          <w:color w:val="auto"/>
          <w:lang w:eastAsia="en-GB"/>
        </w:rPr>
      </w:pPr>
      <w:hyperlink w:anchor="_Toc516146051" w:history="1">
        <w:r w:rsidR="00B1771D" w:rsidRPr="009849EF">
          <w:rPr>
            <w:rStyle w:val="Hyperlink"/>
            <w:noProof/>
            <w:lang w:val="es-ES"/>
          </w:rPr>
          <w:t>Anexo 15 – Esquema de contenidos del Reglamento Técnico DGNTI-COPANIT de eficiencia energética de lámparas de uso general</w:t>
        </w:r>
        <w:r w:rsidR="00B1771D">
          <w:rPr>
            <w:noProof/>
            <w:webHidden/>
          </w:rPr>
          <w:tab/>
        </w:r>
        <w:r w:rsidR="00B1771D">
          <w:rPr>
            <w:noProof/>
            <w:webHidden/>
          </w:rPr>
          <w:fldChar w:fldCharType="begin"/>
        </w:r>
        <w:r w:rsidR="00B1771D">
          <w:rPr>
            <w:noProof/>
            <w:webHidden/>
          </w:rPr>
          <w:instrText xml:space="preserve"> PAGEREF _Toc516146051 \h </w:instrText>
        </w:r>
        <w:r w:rsidR="00B1771D">
          <w:rPr>
            <w:noProof/>
            <w:webHidden/>
          </w:rPr>
        </w:r>
        <w:r w:rsidR="00B1771D">
          <w:rPr>
            <w:noProof/>
            <w:webHidden/>
          </w:rPr>
          <w:fldChar w:fldCharType="separate"/>
        </w:r>
        <w:r w:rsidR="005E6430">
          <w:rPr>
            <w:noProof/>
            <w:webHidden/>
          </w:rPr>
          <w:t>110</w:t>
        </w:r>
        <w:r w:rsidR="00B1771D">
          <w:rPr>
            <w:noProof/>
            <w:webHidden/>
          </w:rPr>
          <w:fldChar w:fldCharType="end"/>
        </w:r>
      </w:hyperlink>
    </w:p>
    <w:p w14:paraId="2945F151" w14:textId="0F6CDB62" w:rsidR="0031204A" w:rsidRPr="00BC66F9" w:rsidRDefault="00771E35" w:rsidP="00D0295B">
      <w:pPr>
        <w:pStyle w:val="MAX"/>
        <w:rPr>
          <w:lang w:val="es-ES"/>
        </w:rPr>
      </w:pPr>
      <w:r w:rsidRPr="00BC66F9">
        <w:rPr>
          <w:rFonts w:eastAsia="Calibri"/>
          <w:color w:val="1C1C1C"/>
          <w:sz w:val="22"/>
          <w:szCs w:val="22"/>
          <w:lang w:val="es-ES"/>
        </w:rPr>
        <w:lastRenderedPageBreak/>
        <w:fldChar w:fldCharType="end"/>
      </w:r>
      <w:bookmarkStart w:id="2" w:name="_Toc516145993"/>
      <w:r w:rsidR="00360E97" w:rsidRPr="00BC66F9">
        <w:rPr>
          <w:lang w:val="es-ES"/>
        </w:rPr>
        <w:t xml:space="preserve">Lista de </w:t>
      </w:r>
      <w:r w:rsidR="00360E97" w:rsidRPr="002B42AA">
        <w:rPr>
          <w:lang w:val="es-ES"/>
        </w:rPr>
        <w:t>acrónimos</w:t>
      </w:r>
      <w:bookmarkEnd w:id="1"/>
      <w:bookmarkEnd w:id="2"/>
    </w:p>
    <w:p w14:paraId="5DE072E5" w14:textId="29F8E819" w:rsidR="00360E97" w:rsidRDefault="00360E97">
      <w:pPr>
        <w:rPr>
          <w:lang w:val="es-ES"/>
        </w:rPr>
      </w:pPr>
    </w:p>
    <w:tbl>
      <w:tblPr>
        <w:tblW w:w="5000" w:type="pct"/>
        <w:tblLook w:val="04A0" w:firstRow="1" w:lastRow="0" w:firstColumn="1" w:lastColumn="0" w:noHBand="0" w:noVBand="1"/>
      </w:tblPr>
      <w:tblGrid>
        <w:gridCol w:w="2118"/>
        <w:gridCol w:w="6366"/>
      </w:tblGrid>
      <w:tr w:rsidR="002B42AA" w:rsidRPr="004D5058" w14:paraId="6FB49CC4" w14:textId="77777777" w:rsidTr="0062766A">
        <w:trPr>
          <w:trHeight w:val="615"/>
        </w:trPr>
        <w:tc>
          <w:tcPr>
            <w:tcW w:w="1248" w:type="pct"/>
            <w:tcBorders>
              <w:top w:val="single" w:sz="8" w:space="0" w:color="555555"/>
              <w:left w:val="single" w:sz="8" w:space="0" w:color="555555"/>
              <w:bottom w:val="double" w:sz="6" w:space="0" w:color="555555"/>
              <w:right w:val="single" w:sz="8" w:space="0" w:color="555555"/>
            </w:tcBorders>
            <w:shd w:val="clear" w:color="auto" w:fill="auto"/>
            <w:vAlign w:val="center"/>
            <w:hideMark/>
          </w:tcPr>
          <w:p w14:paraId="0CA69B18" w14:textId="77777777" w:rsidR="002B42AA" w:rsidRPr="004D5058" w:rsidRDefault="002B42AA" w:rsidP="002B42AA">
            <w:pPr>
              <w:suppressAutoHyphens w:val="0"/>
              <w:autoSpaceDN/>
              <w:spacing w:before="0" w:after="0"/>
              <w:jc w:val="center"/>
              <w:textAlignment w:val="auto"/>
              <w:rPr>
                <w:rFonts w:eastAsia="Times New Roman"/>
                <w:b/>
                <w:bCs/>
                <w:lang w:val="es-419" w:eastAsia="en-GB"/>
              </w:rPr>
            </w:pPr>
            <w:r w:rsidRPr="004D5058">
              <w:rPr>
                <w:rFonts w:eastAsia="Times New Roman"/>
                <w:b/>
                <w:bCs/>
                <w:lang w:val="es-419" w:eastAsia="en-GB"/>
              </w:rPr>
              <w:t>Acrónimos</w:t>
            </w:r>
          </w:p>
        </w:tc>
        <w:tc>
          <w:tcPr>
            <w:tcW w:w="3752" w:type="pct"/>
            <w:tcBorders>
              <w:top w:val="single" w:sz="8" w:space="0" w:color="555555"/>
              <w:left w:val="nil"/>
              <w:bottom w:val="double" w:sz="6" w:space="0" w:color="555555"/>
              <w:right w:val="single" w:sz="8" w:space="0" w:color="555555"/>
            </w:tcBorders>
            <w:shd w:val="clear" w:color="auto" w:fill="auto"/>
            <w:vAlign w:val="center"/>
            <w:hideMark/>
          </w:tcPr>
          <w:p w14:paraId="6E989C64" w14:textId="6C2EBC0E" w:rsidR="002B42AA" w:rsidRPr="00AC1D94" w:rsidRDefault="002B42AA" w:rsidP="002B42AA">
            <w:pPr>
              <w:suppressAutoHyphens w:val="0"/>
              <w:autoSpaceDN/>
              <w:spacing w:before="0" w:after="0"/>
              <w:jc w:val="center"/>
              <w:textAlignment w:val="auto"/>
              <w:rPr>
                <w:rFonts w:eastAsia="Times New Roman"/>
                <w:b/>
                <w:bCs/>
                <w:lang w:val="en-US" w:eastAsia="en-GB"/>
              </w:rPr>
            </w:pPr>
            <w:r w:rsidRPr="004D5058">
              <w:rPr>
                <w:rFonts w:eastAsia="Times New Roman"/>
                <w:b/>
                <w:bCs/>
                <w:lang w:val="es-419" w:eastAsia="en-GB"/>
              </w:rPr>
              <w:t>Definición</w:t>
            </w:r>
            <w:r w:rsidR="00DA74D1">
              <w:rPr>
                <w:rFonts w:eastAsia="Times New Roman"/>
                <w:b/>
                <w:bCs/>
                <w:lang w:val="en-US" w:eastAsia="en-GB"/>
              </w:rPr>
              <w:t xml:space="preserve"> </w:t>
            </w:r>
          </w:p>
        </w:tc>
      </w:tr>
      <w:tr w:rsidR="007022F8" w:rsidRPr="00BC092A" w14:paraId="633E9262" w14:textId="77777777" w:rsidTr="00AC1D94">
        <w:trPr>
          <w:trHeight w:val="330"/>
        </w:trPr>
        <w:tc>
          <w:tcPr>
            <w:tcW w:w="1248" w:type="pct"/>
            <w:tcBorders>
              <w:top w:val="nil"/>
              <w:left w:val="single" w:sz="8" w:space="0" w:color="555555"/>
              <w:bottom w:val="single" w:sz="8" w:space="0" w:color="555555"/>
              <w:right w:val="single" w:sz="8" w:space="0" w:color="555555"/>
            </w:tcBorders>
            <w:shd w:val="clear" w:color="auto" w:fill="auto"/>
            <w:vAlign w:val="center"/>
          </w:tcPr>
          <w:p w14:paraId="6E38CB8A" w14:textId="692C2006" w:rsidR="007022F8" w:rsidRPr="00D13F23" w:rsidRDefault="007022F8" w:rsidP="007022F8">
            <w:pPr>
              <w:suppressAutoHyphens w:val="0"/>
              <w:autoSpaceDN/>
              <w:spacing w:before="0" w:after="0"/>
              <w:jc w:val="left"/>
              <w:textAlignment w:val="auto"/>
              <w:rPr>
                <w:rFonts w:eastAsia="Times New Roman"/>
                <w:b/>
                <w:bCs/>
                <w:color w:val="auto"/>
                <w:lang w:val="es-419" w:eastAsia="en-GB"/>
              </w:rPr>
            </w:pPr>
            <w:r w:rsidRPr="00D13F23">
              <w:rPr>
                <w:rFonts w:eastAsia="Times New Roman"/>
                <w:b/>
                <w:bCs/>
                <w:color w:val="auto"/>
                <w:lang w:val="es-419" w:eastAsia="en-GB"/>
              </w:rPr>
              <w:t>ACODECO</w:t>
            </w:r>
          </w:p>
        </w:tc>
        <w:tc>
          <w:tcPr>
            <w:tcW w:w="3752" w:type="pct"/>
            <w:tcBorders>
              <w:top w:val="nil"/>
              <w:left w:val="nil"/>
              <w:bottom w:val="single" w:sz="8" w:space="0" w:color="555555"/>
              <w:right w:val="single" w:sz="8" w:space="0" w:color="555555"/>
            </w:tcBorders>
            <w:shd w:val="clear" w:color="auto" w:fill="auto"/>
            <w:vAlign w:val="center"/>
          </w:tcPr>
          <w:p w14:paraId="13E56ACA" w14:textId="142C6449" w:rsidR="007022F8" w:rsidRPr="00D13F23" w:rsidRDefault="007022F8" w:rsidP="00AC1D94">
            <w:pPr>
              <w:suppressAutoHyphens w:val="0"/>
              <w:autoSpaceDN/>
              <w:spacing w:before="0" w:after="0"/>
              <w:jc w:val="left"/>
              <w:textAlignment w:val="auto"/>
              <w:rPr>
                <w:rFonts w:eastAsia="Times New Roman"/>
                <w:bCs/>
                <w:color w:val="auto"/>
                <w:lang w:val="es-419" w:eastAsia="en-GB"/>
              </w:rPr>
            </w:pPr>
            <w:r w:rsidRPr="00D13F23">
              <w:rPr>
                <w:rFonts w:eastAsia="Times New Roman"/>
                <w:bCs/>
                <w:color w:val="auto"/>
                <w:lang w:val="es-419" w:eastAsia="en-GB"/>
              </w:rPr>
              <w:t>Autoridad de Protección al Consumidor y Defensa de la Competencia</w:t>
            </w:r>
          </w:p>
        </w:tc>
      </w:tr>
      <w:tr w:rsidR="002B42AA" w:rsidRPr="00AC1D94" w14:paraId="6B0DD2BC"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7BDE72F6" w14:textId="7E3920E7" w:rsidR="002B42AA" w:rsidRPr="00FA48EA" w:rsidRDefault="007022F8" w:rsidP="002B42AA">
            <w:pPr>
              <w:suppressAutoHyphens w:val="0"/>
              <w:autoSpaceDN/>
              <w:spacing w:before="0" w:after="0"/>
              <w:jc w:val="left"/>
              <w:textAlignment w:val="auto"/>
              <w:rPr>
                <w:rFonts w:eastAsia="Times New Roman"/>
                <w:b/>
                <w:bCs/>
                <w:color w:val="auto"/>
                <w:lang w:val="es-419" w:eastAsia="en-GB"/>
              </w:rPr>
            </w:pPr>
            <w:r w:rsidRPr="00FA48EA">
              <w:rPr>
                <w:rFonts w:eastAsia="Times New Roman"/>
                <w:b/>
                <w:bCs/>
                <w:color w:val="auto"/>
                <w:lang w:val="es-419" w:eastAsia="en-GB"/>
              </w:rPr>
              <w:t>ADUANAS</w:t>
            </w:r>
          </w:p>
        </w:tc>
        <w:tc>
          <w:tcPr>
            <w:tcW w:w="3752" w:type="pct"/>
            <w:tcBorders>
              <w:top w:val="nil"/>
              <w:left w:val="nil"/>
              <w:bottom w:val="single" w:sz="8" w:space="0" w:color="555555"/>
              <w:right w:val="single" w:sz="8" w:space="0" w:color="555555"/>
            </w:tcBorders>
            <w:shd w:val="clear" w:color="auto" w:fill="auto"/>
            <w:vAlign w:val="center"/>
          </w:tcPr>
          <w:p w14:paraId="1FED3B6F" w14:textId="1395DFD2" w:rsidR="002B42AA" w:rsidRPr="00FA48EA" w:rsidRDefault="00B86E6C" w:rsidP="00B86E6C">
            <w:pPr>
              <w:suppressAutoHyphens w:val="0"/>
              <w:autoSpaceDN/>
              <w:spacing w:before="0" w:after="0"/>
              <w:jc w:val="left"/>
              <w:textAlignment w:val="auto"/>
              <w:rPr>
                <w:rFonts w:eastAsia="Times New Roman"/>
                <w:color w:val="auto"/>
                <w:lang w:val="es-419" w:eastAsia="en-GB"/>
              </w:rPr>
            </w:pPr>
            <w:r w:rsidRPr="00FA48EA">
              <w:rPr>
                <w:rFonts w:eastAsia="Times New Roman"/>
                <w:color w:val="auto"/>
                <w:lang w:val="es-419" w:eastAsia="en-GB"/>
              </w:rPr>
              <w:t>Autoridad</w:t>
            </w:r>
            <w:r w:rsidR="007022F8" w:rsidRPr="00FA48EA">
              <w:rPr>
                <w:rFonts w:eastAsia="Times New Roman"/>
                <w:color w:val="auto"/>
                <w:lang w:val="es-419" w:eastAsia="en-GB"/>
              </w:rPr>
              <w:t xml:space="preserve"> Nacional de Aduanas</w:t>
            </w:r>
          </w:p>
        </w:tc>
      </w:tr>
      <w:tr w:rsidR="001F2D87" w:rsidRPr="001F2D87" w14:paraId="5CCA8B1B"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30F5887F" w14:textId="0C425B64" w:rsidR="001F2D87" w:rsidRPr="001F2D87" w:rsidRDefault="001F2D87" w:rsidP="002B42AA">
            <w:pPr>
              <w:suppressAutoHyphens w:val="0"/>
              <w:autoSpaceDN/>
              <w:spacing w:before="0" w:after="0"/>
              <w:jc w:val="left"/>
              <w:textAlignment w:val="auto"/>
              <w:rPr>
                <w:rFonts w:eastAsia="Times New Roman"/>
                <w:b/>
                <w:bCs/>
                <w:color w:val="auto"/>
                <w:lang w:val="es-419" w:eastAsia="en-GB"/>
              </w:rPr>
            </w:pPr>
            <w:r w:rsidRPr="001F2D87">
              <w:rPr>
                <w:rFonts w:eastAsia="Times New Roman"/>
                <w:b/>
                <w:bCs/>
                <w:color w:val="auto"/>
                <w:lang w:val="es-419" w:eastAsia="en-GB"/>
              </w:rPr>
              <w:t>AHAM</w:t>
            </w:r>
          </w:p>
        </w:tc>
        <w:tc>
          <w:tcPr>
            <w:tcW w:w="3752" w:type="pct"/>
            <w:tcBorders>
              <w:top w:val="nil"/>
              <w:left w:val="nil"/>
              <w:bottom w:val="single" w:sz="8" w:space="0" w:color="555555"/>
              <w:right w:val="single" w:sz="8" w:space="0" w:color="555555"/>
            </w:tcBorders>
            <w:shd w:val="clear" w:color="auto" w:fill="auto"/>
            <w:vAlign w:val="center"/>
          </w:tcPr>
          <w:p w14:paraId="568238D1" w14:textId="319C1E0F" w:rsidR="001F2D87" w:rsidRPr="001F2D87" w:rsidRDefault="001F2D87" w:rsidP="002B42AA">
            <w:pPr>
              <w:suppressAutoHyphens w:val="0"/>
              <w:autoSpaceDN/>
              <w:spacing w:before="0" w:after="0"/>
              <w:jc w:val="left"/>
              <w:textAlignment w:val="auto"/>
              <w:rPr>
                <w:rFonts w:eastAsia="Times New Roman"/>
                <w:i/>
                <w:color w:val="auto"/>
                <w:lang w:eastAsia="en-GB"/>
              </w:rPr>
            </w:pPr>
            <w:r w:rsidRPr="001F2D87">
              <w:rPr>
                <w:rFonts w:eastAsia="Times New Roman"/>
                <w:i/>
                <w:color w:val="auto"/>
                <w:lang w:eastAsia="en-GB"/>
              </w:rPr>
              <w:t>Association of Home Appliance Manufacturers</w:t>
            </w:r>
          </w:p>
        </w:tc>
      </w:tr>
      <w:tr w:rsidR="001F2D87" w:rsidRPr="006C6495" w14:paraId="4F62373E"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1D57495B" w14:textId="62714D31" w:rsidR="001F2D87" w:rsidRPr="001F2D87" w:rsidRDefault="001F2D87" w:rsidP="002B42AA">
            <w:pPr>
              <w:suppressAutoHyphens w:val="0"/>
              <w:autoSpaceDN/>
              <w:spacing w:before="0" w:after="0"/>
              <w:jc w:val="left"/>
              <w:textAlignment w:val="auto"/>
              <w:rPr>
                <w:rFonts w:eastAsia="Times New Roman"/>
                <w:b/>
                <w:bCs/>
                <w:color w:val="auto"/>
                <w:lang w:val="es-419" w:eastAsia="en-GB"/>
              </w:rPr>
            </w:pPr>
            <w:r w:rsidRPr="001F2D87">
              <w:rPr>
                <w:rFonts w:eastAsia="Times New Roman"/>
                <w:b/>
                <w:bCs/>
                <w:color w:val="auto"/>
                <w:lang w:val="es-419" w:eastAsia="en-GB"/>
              </w:rPr>
              <w:t>ANSI</w:t>
            </w:r>
          </w:p>
        </w:tc>
        <w:tc>
          <w:tcPr>
            <w:tcW w:w="3752" w:type="pct"/>
            <w:tcBorders>
              <w:top w:val="nil"/>
              <w:left w:val="nil"/>
              <w:bottom w:val="single" w:sz="8" w:space="0" w:color="555555"/>
              <w:right w:val="single" w:sz="8" w:space="0" w:color="555555"/>
            </w:tcBorders>
            <w:shd w:val="clear" w:color="auto" w:fill="auto"/>
            <w:vAlign w:val="center"/>
          </w:tcPr>
          <w:p w14:paraId="38A5E580" w14:textId="3407E2B6" w:rsidR="001F2D87" w:rsidRPr="001F2D87" w:rsidRDefault="001F2D87" w:rsidP="002B42AA">
            <w:pPr>
              <w:suppressAutoHyphens w:val="0"/>
              <w:autoSpaceDN/>
              <w:spacing w:before="0" w:after="0"/>
              <w:jc w:val="left"/>
              <w:textAlignment w:val="auto"/>
              <w:rPr>
                <w:rFonts w:eastAsia="Times New Roman"/>
                <w:i/>
                <w:color w:val="auto"/>
                <w:lang w:val="es-419" w:eastAsia="en-GB"/>
              </w:rPr>
            </w:pPr>
            <w:r w:rsidRPr="001F2D87">
              <w:rPr>
                <w:rFonts w:eastAsia="Times New Roman"/>
                <w:i/>
                <w:color w:val="auto"/>
                <w:lang w:val="es-419" w:eastAsia="en-GB"/>
              </w:rPr>
              <w:t>American National Standards Institute</w:t>
            </w:r>
          </w:p>
        </w:tc>
      </w:tr>
      <w:tr w:rsidR="00331B83" w:rsidRPr="00BC092A" w14:paraId="045C97E6"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6C78222A" w14:textId="6DB639AE" w:rsidR="00331B83" w:rsidRDefault="00331B83" w:rsidP="002B42AA">
            <w:pPr>
              <w:suppressAutoHyphens w:val="0"/>
              <w:autoSpaceDN/>
              <w:spacing w:before="0" w:after="0"/>
              <w:jc w:val="left"/>
              <w:textAlignment w:val="auto"/>
              <w:rPr>
                <w:rFonts w:eastAsia="Times New Roman"/>
                <w:b/>
                <w:bCs/>
                <w:color w:val="auto"/>
                <w:lang w:val="es-419" w:eastAsia="en-GB"/>
              </w:rPr>
            </w:pPr>
            <w:r>
              <w:rPr>
                <w:rFonts w:eastAsia="Times New Roman"/>
                <w:b/>
                <w:bCs/>
                <w:color w:val="auto"/>
                <w:lang w:val="es-419" w:eastAsia="en-GB"/>
              </w:rPr>
              <w:t>ASEP</w:t>
            </w:r>
          </w:p>
        </w:tc>
        <w:tc>
          <w:tcPr>
            <w:tcW w:w="3752" w:type="pct"/>
            <w:tcBorders>
              <w:top w:val="nil"/>
              <w:left w:val="nil"/>
              <w:bottom w:val="single" w:sz="8" w:space="0" w:color="555555"/>
              <w:right w:val="single" w:sz="8" w:space="0" w:color="555555"/>
            </w:tcBorders>
            <w:shd w:val="clear" w:color="auto" w:fill="auto"/>
            <w:vAlign w:val="center"/>
          </w:tcPr>
          <w:p w14:paraId="57C38F48" w14:textId="569A532A" w:rsidR="00331B83" w:rsidRPr="00331B83" w:rsidRDefault="00331B83" w:rsidP="002B42AA">
            <w:pPr>
              <w:suppressAutoHyphens w:val="0"/>
              <w:autoSpaceDN/>
              <w:spacing w:before="0" w:after="0"/>
              <w:jc w:val="left"/>
              <w:textAlignment w:val="auto"/>
              <w:rPr>
                <w:rFonts w:eastAsia="Times New Roman"/>
                <w:color w:val="auto"/>
                <w:lang w:val="es-ES" w:eastAsia="en-GB"/>
              </w:rPr>
            </w:pPr>
            <w:r w:rsidRPr="00331B83">
              <w:rPr>
                <w:rFonts w:eastAsia="Times New Roman"/>
                <w:color w:val="auto"/>
                <w:lang w:val="es-ES" w:eastAsia="en-GB"/>
              </w:rPr>
              <w:t>Autoridad de los Servicios Públicos</w:t>
            </w:r>
          </w:p>
        </w:tc>
      </w:tr>
      <w:tr w:rsidR="001F2D87" w:rsidRPr="00601B99" w14:paraId="4D2F6A07"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1B1D27F8" w14:textId="6F5EB23B" w:rsidR="001F2D87" w:rsidRPr="001F2D87" w:rsidRDefault="001F2D87" w:rsidP="002B42AA">
            <w:pPr>
              <w:suppressAutoHyphens w:val="0"/>
              <w:autoSpaceDN/>
              <w:spacing w:before="0" w:after="0"/>
              <w:jc w:val="left"/>
              <w:textAlignment w:val="auto"/>
              <w:rPr>
                <w:rFonts w:eastAsia="Times New Roman"/>
                <w:b/>
                <w:bCs/>
                <w:color w:val="auto"/>
                <w:lang w:val="es-419" w:eastAsia="en-GB"/>
              </w:rPr>
            </w:pPr>
            <w:r>
              <w:rPr>
                <w:rFonts w:eastAsia="Times New Roman"/>
                <w:b/>
                <w:bCs/>
                <w:color w:val="auto"/>
                <w:lang w:val="es-419" w:eastAsia="en-GB"/>
              </w:rPr>
              <w:t>ASHRAE</w:t>
            </w:r>
          </w:p>
        </w:tc>
        <w:tc>
          <w:tcPr>
            <w:tcW w:w="3752" w:type="pct"/>
            <w:tcBorders>
              <w:top w:val="nil"/>
              <w:left w:val="nil"/>
              <w:bottom w:val="single" w:sz="8" w:space="0" w:color="555555"/>
              <w:right w:val="single" w:sz="8" w:space="0" w:color="555555"/>
            </w:tcBorders>
            <w:shd w:val="clear" w:color="auto" w:fill="auto"/>
            <w:vAlign w:val="center"/>
          </w:tcPr>
          <w:p w14:paraId="4893123C" w14:textId="1B79C452" w:rsidR="001F2D87" w:rsidRPr="00601B99" w:rsidRDefault="00601B99" w:rsidP="002B42AA">
            <w:pPr>
              <w:suppressAutoHyphens w:val="0"/>
              <w:autoSpaceDN/>
              <w:spacing w:before="0" w:after="0"/>
              <w:jc w:val="left"/>
              <w:textAlignment w:val="auto"/>
              <w:rPr>
                <w:rFonts w:eastAsia="Times New Roman"/>
                <w:i/>
                <w:color w:val="auto"/>
                <w:lang w:eastAsia="en-GB"/>
              </w:rPr>
            </w:pPr>
            <w:r w:rsidRPr="00601B99">
              <w:rPr>
                <w:rFonts w:eastAsia="Times New Roman"/>
                <w:i/>
                <w:color w:val="auto"/>
                <w:lang w:eastAsia="en-GB"/>
              </w:rPr>
              <w:t>American Society of Heating, Refrigerating and Air-Conditioning Engineers</w:t>
            </w:r>
          </w:p>
        </w:tc>
      </w:tr>
      <w:tr w:rsidR="00954769" w:rsidRPr="00087FE6" w14:paraId="76C384EF"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69084D30" w14:textId="37C91BE1" w:rsidR="00954769" w:rsidRDefault="00954769" w:rsidP="002B42AA">
            <w:pPr>
              <w:suppressAutoHyphens w:val="0"/>
              <w:autoSpaceDN/>
              <w:spacing w:before="0" w:after="0"/>
              <w:jc w:val="left"/>
              <w:textAlignment w:val="auto"/>
              <w:rPr>
                <w:rFonts w:eastAsia="Times New Roman"/>
                <w:b/>
                <w:bCs/>
                <w:color w:val="auto"/>
                <w:lang w:val="es-419" w:eastAsia="en-GB"/>
              </w:rPr>
            </w:pPr>
            <w:r>
              <w:rPr>
                <w:rFonts w:eastAsia="Times New Roman"/>
                <w:b/>
                <w:bCs/>
                <w:color w:val="auto"/>
                <w:lang w:val="es-419" w:eastAsia="en-GB"/>
              </w:rPr>
              <w:t>CE</w:t>
            </w:r>
          </w:p>
        </w:tc>
        <w:tc>
          <w:tcPr>
            <w:tcW w:w="3752" w:type="pct"/>
            <w:tcBorders>
              <w:top w:val="nil"/>
              <w:left w:val="nil"/>
              <w:bottom w:val="single" w:sz="8" w:space="0" w:color="555555"/>
              <w:right w:val="single" w:sz="8" w:space="0" w:color="555555"/>
            </w:tcBorders>
            <w:shd w:val="clear" w:color="auto" w:fill="auto"/>
            <w:vAlign w:val="center"/>
          </w:tcPr>
          <w:p w14:paraId="7E8606E5" w14:textId="6082BBB2" w:rsidR="00954769" w:rsidRPr="00954769" w:rsidRDefault="00954769" w:rsidP="002B42AA">
            <w:pPr>
              <w:suppressAutoHyphens w:val="0"/>
              <w:autoSpaceDN/>
              <w:spacing w:before="0" w:after="0"/>
              <w:jc w:val="left"/>
              <w:textAlignment w:val="auto"/>
              <w:rPr>
                <w:rFonts w:eastAsia="Times New Roman"/>
                <w:color w:val="auto"/>
                <w:lang w:val="es-419" w:eastAsia="en-GB"/>
              </w:rPr>
            </w:pPr>
            <w:r w:rsidRPr="00954769">
              <w:rPr>
                <w:rFonts w:eastAsia="Times New Roman"/>
                <w:color w:val="auto"/>
                <w:lang w:val="es-419" w:eastAsia="en-GB"/>
              </w:rPr>
              <w:t>Comisión Europea</w:t>
            </w:r>
          </w:p>
        </w:tc>
      </w:tr>
      <w:tr w:rsidR="001A6BC6" w:rsidRPr="00087FE6" w14:paraId="6CE38CE2"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5104C0D2" w14:textId="6EA8329F" w:rsidR="001A6BC6" w:rsidRPr="007D224C" w:rsidRDefault="001A6BC6" w:rsidP="002B42AA">
            <w:pPr>
              <w:suppressAutoHyphens w:val="0"/>
              <w:autoSpaceDN/>
              <w:spacing w:before="0" w:after="0"/>
              <w:jc w:val="left"/>
              <w:textAlignment w:val="auto"/>
              <w:rPr>
                <w:rFonts w:eastAsia="Times New Roman"/>
                <w:b/>
                <w:bCs/>
                <w:color w:val="auto"/>
                <w:lang w:val="es-419" w:eastAsia="en-GB"/>
              </w:rPr>
            </w:pPr>
            <w:r>
              <w:rPr>
                <w:rFonts w:eastAsia="Times New Roman"/>
                <w:b/>
                <w:bCs/>
                <w:color w:val="auto"/>
                <w:lang w:val="es-419" w:eastAsia="en-GB"/>
              </w:rPr>
              <w:t>CEN</w:t>
            </w:r>
          </w:p>
        </w:tc>
        <w:tc>
          <w:tcPr>
            <w:tcW w:w="3752" w:type="pct"/>
            <w:tcBorders>
              <w:top w:val="nil"/>
              <w:left w:val="nil"/>
              <w:bottom w:val="single" w:sz="8" w:space="0" w:color="555555"/>
              <w:right w:val="single" w:sz="8" w:space="0" w:color="555555"/>
            </w:tcBorders>
            <w:shd w:val="clear" w:color="auto" w:fill="auto"/>
            <w:vAlign w:val="center"/>
          </w:tcPr>
          <w:p w14:paraId="3E661294" w14:textId="6E7F55E2" w:rsidR="001A6BC6" w:rsidRPr="001A6BC6" w:rsidRDefault="001A6BC6" w:rsidP="002B42AA">
            <w:pPr>
              <w:suppressAutoHyphens w:val="0"/>
              <w:autoSpaceDN/>
              <w:spacing w:before="0" w:after="0"/>
              <w:jc w:val="left"/>
              <w:textAlignment w:val="auto"/>
              <w:rPr>
                <w:rFonts w:eastAsia="Times New Roman"/>
                <w:i/>
                <w:color w:val="auto"/>
                <w:lang w:val="es-419" w:eastAsia="en-GB"/>
              </w:rPr>
            </w:pPr>
            <w:r w:rsidRPr="001A6BC6">
              <w:rPr>
                <w:rFonts w:eastAsia="Times New Roman"/>
                <w:i/>
                <w:color w:val="auto"/>
                <w:lang w:val="es-419" w:eastAsia="en-GB"/>
              </w:rPr>
              <w:t>European Committee for Standardization</w:t>
            </w:r>
          </w:p>
        </w:tc>
      </w:tr>
      <w:tr w:rsidR="00D13F23" w:rsidRPr="00BC092A" w14:paraId="47665C0F"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22BDA2EC" w14:textId="2BCFE4F2" w:rsidR="00D13F23" w:rsidRDefault="00D13F23" w:rsidP="002B42AA">
            <w:pPr>
              <w:suppressAutoHyphens w:val="0"/>
              <w:autoSpaceDN/>
              <w:spacing w:before="0" w:after="0"/>
              <w:jc w:val="left"/>
              <w:textAlignment w:val="auto"/>
              <w:rPr>
                <w:rFonts w:eastAsia="Times New Roman"/>
                <w:b/>
                <w:bCs/>
                <w:color w:val="auto"/>
                <w:lang w:val="es-419" w:eastAsia="en-GB"/>
              </w:rPr>
            </w:pPr>
            <w:r>
              <w:rPr>
                <w:rFonts w:eastAsia="Times New Roman"/>
                <w:b/>
                <w:bCs/>
                <w:color w:val="auto"/>
                <w:lang w:val="es-419" w:eastAsia="en-GB"/>
              </w:rPr>
              <w:t>CENAMEP</w:t>
            </w:r>
          </w:p>
        </w:tc>
        <w:tc>
          <w:tcPr>
            <w:tcW w:w="3752" w:type="pct"/>
            <w:tcBorders>
              <w:top w:val="nil"/>
              <w:left w:val="nil"/>
              <w:bottom w:val="single" w:sz="8" w:space="0" w:color="555555"/>
              <w:right w:val="single" w:sz="8" w:space="0" w:color="555555"/>
            </w:tcBorders>
            <w:shd w:val="clear" w:color="auto" w:fill="auto"/>
            <w:vAlign w:val="center"/>
          </w:tcPr>
          <w:p w14:paraId="602004D5" w14:textId="3119EE54" w:rsidR="00D13F23" w:rsidRPr="00D13F23" w:rsidRDefault="00D13F23" w:rsidP="002B42AA">
            <w:pPr>
              <w:suppressAutoHyphens w:val="0"/>
              <w:autoSpaceDN/>
              <w:spacing w:before="0" w:after="0"/>
              <w:jc w:val="left"/>
              <w:textAlignment w:val="auto"/>
              <w:rPr>
                <w:rFonts w:eastAsia="Times New Roman"/>
                <w:color w:val="auto"/>
                <w:lang w:val="es-419" w:eastAsia="en-GB"/>
              </w:rPr>
            </w:pPr>
            <w:r w:rsidRPr="00D13F23">
              <w:rPr>
                <w:rFonts w:eastAsia="Times New Roman"/>
                <w:color w:val="auto"/>
                <w:lang w:val="es-419" w:eastAsia="en-GB"/>
              </w:rPr>
              <w:t>Centro Nacional de Metrología de Panamá</w:t>
            </w:r>
          </w:p>
        </w:tc>
      </w:tr>
      <w:tr w:rsidR="001A6BC6" w:rsidRPr="00087FE6" w14:paraId="6D4D6227"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31B55565" w14:textId="4D0D3E8F" w:rsidR="001A6BC6" w:rsidRDefault="001A6BC6" w:rsidP="002B42AA">
            <w:pPr>
              <w:suppressAutoHyphens w:val="0"/>
              <w:autoSpaceDN/>
              <w:spacing w:before="0" w:after="0"/>
              <w:jc w:val="left"/>
              <w:textAlignment w:val="auto"/>
              <w:rPr>
                <w:rFonts w:eastAsia="Times New Roman"/>
                <w:b/>
                <w:bCs/>
                <w:color w:val="auto"/>
                <w:lang w:val="es-419" w:eastAsia="en-GB"/>
              </w:rPr>
            </w:pPr>
            <w:r>
              <w:rPr>
                <w:rFonts w:eastAsia="Times New Roman"/>
                <w:b/>
                <w:bCs/>
                <w:color w:val="auto"/>
                <w:lang w:val="es-419" w:eastAsia="en-GB"/>
              </w:rPr>
              <w:t>CENELEC</w:t>
            </w:r>
          </w:p>
        </w:tc>
        <w:tc>
          <w:tcPr>
            <w:tcW w:w="3752" w:type="pct"/>
            <w:tcBorders>
              <w:top w:val="nil"/>
              <w:left w:val="nil"/>
              <w:bottom w:val="single" w:sz="8" w:space="0" w:color="555555"/>
              <w:right w:val="single" w:sz="8" w:space="0" w:color="555555"/>
            </w:tcBorders>
            <w:shd w:val="clear" w:color="auto" w:fill="auto"/>
            <w:vAlign w:val="center"/>
          </w:tcPr>
          <w:p w14:paraId="1499DA03" w14:textId="3B873047" w:rsidR="001A6BC6" w:rsidRPr="001A6BC6" w:rsidRDefault="001A6BC6" w:rsidP="002B42AA">
            <w:pPr>
              <w:suppressAutoHyphens w:val="0"/>
              <w:autoSpaceDN/>
              <w:spacing w:before="0" w:after="0"/>
              <w:jc w:val="left"/>
              <w:textAlignment w:val="auto"/>
              <w:rPr>
                <w:rFonts w:eastAsia="Times New Roman"/>
                <w:i/>
                <w:color w:val="auto"/>
                <w:lang w:eastAsia="en-GB"/>
              </w:rPr>
            </w:pPr>
            <w:r w:rsidRPr="001A6BC6">
              <w:rPr>
                <w:rFonts w:eastAsia="Times New Roman"/>
                <w:i/>
                <w:color w:val="auto"/>
                <w:lang w:eastAsia="en-GB"/>
              </w:rPr>
              <w:t>European Committee for Electrotechnical Standardization</w:t>
            </w:r>
          </w:p>
        </w:tc>
      </w:tr>
      <w:tr w:rsidR="00380F8C" w:rsidRPr="00087FE6" w14:paraId="52D24976"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090418C8" w14:textId="4A6ACBD7" w:rsidR="00380F8C" w:rsidRDefault="00380F8C" w:rsidP="002B42AA">
            <w:pPr>
              <w:suppressAutoHyphens w:val="0"/>
              <w:autoSpaceDN/>
              <w:spacing w:before="0" w:after="0"/>
              <w:jc w:val="left"/>
              <w:textAlignment w:val="auto"/>
              <w:rPr>
                <w:rFonts w:eastAsia="Times New Roman"/>
                <w:b/>
                <w:bCs/>
                <w:color w:val="auto"/>
                <w:lang w:val="es-419" w:eastAsia="en-GB"/>
              </w:rPr>
            </w:pPr>
            <w:r>
              <w:rPr>
                <w:rFonts w:eastAsia="Times New Roman"/>
                <w:b/>
                <w:bCs/>
                <w:color w:val="auto"/>
                <w:lang w:val="es-419" w:eastAsia="en-GB"/>
              </w:rPr>
              <w:t>CIE</w:t>
            </w:r>
          </w:p>
        </w:tc>
        <w:tc>
          <w:tcPr>
            <w:tcW w:w="3752" w:type="pct"/>
            <w:tcBorders>
              <w:top w:val="nil"/>
              <w:left w:val="nil"/>
              <w:bottom w:val="single" w:sz="8" w:space="0" w:color="555555"/>
              <w:right w:val="single" w:sz="8" w:space="0" w:color="555555"/>
            </w:tcBorders>
            <w:shd w:val="clear" w:color="auto" w:fill="auto"/>
            <w:vAlign w:val="center"/>
          </w:tcPr>
          <w:p w14:paraId="7D37700B" w14:textId="0D77F20B" w:rsidR="00380F8C" w:rsidRPr="001A6BC6" w:rsidRDefault="00380F8C" w:rsidP="002B42AA">
            <w:pPr>
              <w:suppressAutoHyphens w:val="0"/>
              <w:autoSpaceDN/>
              <w:spacing w:before="0" w:after="0"/>
              <w:jc w:val="left"/>
              <w:textAlignment w:val="auto"/>
              <w:rPr>
                <w:rFonts w:eastAsia="Times New Roman"/>
                <w:i/>
                <w:color w:val="auto"/>
                <w:lang w:eastAsia="en-GB"/>
              </w:rPr>
            </w:pPr>
            <w:r>
              <w:rPr>
                <w:rFonts w:eastAsia="Times New Roman"/>
                <w:i/>
                <w:color w:val="auto"/>
                <w:lang w:eastAsia="en-GB"/>
              </w:rPr>
              <w:t>International Commission on Illumination</w:t>
            </w:r>
          </w:p>
        </w:tc>
      </w:tr>
      <w:tr w:rsidR="007022F8" w:rsidRPr="00BC092A" w14:paraId="02839854"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42788F92" w14:textId="2E7F3F2D" w:rsidR="007022F8" w:rsidRPr="00995668" w:rsidRDefault="007022F8" w:rsidP="002B42AA">
            <w:pPr>
              <w:suppressAutoHyphens w:val="0"/>
              <w:autoSpaceDN/>
              <w:spacing w:before="0" w:after="0"/>
              <w:jc w:val="left"/>
              <w:textAlignment w:val="auto"/>
              <w:rPr>
                <w:rFonts w:eastAsia="Times New Roman"/>
                <w:b/>
                <w:bCs/>
                <w:color w:val="auto"/>
                <w:lang w:val="es-419" w:eastAsia="en-GB"/>
              </w:rPr>
            </w:pPr>
            <w:r w:rsidRPr="00995668">
              <w:rPr>
                <w:rFonts w:eastAsia="Times New Roman"/>
                <w:b/>
                <w:bCs/>
                <w:color w:val="auto"/>
                <w:lang w:val="es-419" w:eastAsia="en-GB"/>
              </w:rPr>
              <w:t>CGIEE</w:t>
            </w:r>
          </w:p>
        </w:tc>
        <w:tc>
          <w:tcPr>
            <w:tcW w:w="3752" w:type="pct"/>
            <w:tcBorders>
              <w:top w:val="nil"/>
              <w:left w:val="nil"/>
              <w:bottom w:val="single" w:sz="8" w:space="0" w:color="555555"/>
              <w:right w:val="single" w:sz="8" w:space="0" w:color="555555"/>
            </w:tcBorders>
            <w:shd w:val="clear" w:color="auto" w:fill="auto"/>
            <w:vAlign w:val="center"/>
          </w:tcPr>
          <w:p w14:paraId="2628B3B9" w14:textId="0B0ABEA6" w:rsidR="007022F8" w:rsidRPr="00995668" w:rsidRDefault="007022F8" w:rsidP="002B42AA">
            <w:pPr>
              <w:suppressAutoHyphens w:val="0"/>
              <w:autoSpaceDN/>
              <w:spacing w:before="0" w:after="0"/>
              <w:jc w:val="left"/>
              <w:textAlignment w:val="auto"/>
              <w:rPr>
                <w:rFonts w:eastAsia="Times New Roman"/>
                <w:color w:val="auto"/>
                <w:lang w:val="es-419" w:eastAsia="en-GB"/>
              </w:rPr>
            </w:pPr>
            <w:r w:rsidRPr="00995668">
              <w:rPr>
                <w:rFonts w:eastAsia="Times New Roman"/>
                <w:color w:val="auto"/>
                <w:lang w:val="es-419" w:eastAsia="en-GB"/>
              </w:rPr>
              <w:t>Comité Gestor de Índices para la Eficiencia Energética</w:t>
            </w:r>
          </w:p>
        </w:tc>
      </w:tr>
      <w:tr w:rsidR="002B42AA" w:rsidRPr="00BC092A" w14:paraId="47D4099C"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3E8FEC59" w14:textId="4BA7D886" w:rsidR="002B42AA" w:rsidRPr="00430D61" w:rsidRDefault="00F90D16" w:rsidP="002B42AA">
            <w:pPr>
              <w:suppressAutoHyphens w:val="0"/>
              <w:autoSpaceDN/>
              <w:spacing w:before="0" w:after="0"/>
              <w:textAlignment w:val="auto"/>
              <w:rPr>
                <w:rFonts w:eastAsia="Times New Roman"/>
                <w:b/>
                <w:bCs/>
                <w:color w:val="auto"/>
                <w:lang w:val="es-419" w:eastAsia="en-GB"/>
              </w:rPr>
            </w:pPr>
            <w:r w:rsidRPr="00430D61">
              <w:rPr>
                <w:rFonts w:eastAsia="Times New Roman"/>
                <w:b/>
                <w:bCs/>
                <w:color w:val="auto"/>
                <w:lang w:val="es-419" w:eastAsia="en-GB"/>
              </w:rPr>
              <w:t>COPANIT</w:t>
            </w:r>
          </w:p>
        </w:tc>
        <w:tc>
          <w:tcPr>
            <w:tcW w:w="3752" w:type="pct"/>
            <w:tcBorders>
              <w:top w:val="nil"/>
              <w:left w:val="nil"/>
              <w:bottom w:val="single" w:sz="8" w:space="0" w:color="555555"/>
              <w:right w:val="single" w:sz="8" w:space="0" w:color="555555"/>
            </w:tcBorders>
            <w:shd w:val="clear" w:color="auto" w:fill="auto"/>
            <w:vAlign w:val="center"/>
          </w:tcPr>
          <w:p w14:paraId="326AD758" w14:textId="321F2DE8" w:rsidR="002B42AA" w:rsidRPr="00430D61" w:rsidRDefault="00F90D16" w:rsidP="002B42AA">
            <w:pPr>
              <w:suppressAutoHyphens w:val="0"/>
              <w:autoSpaceDN/>
              <w:spacing w:before="0" w:after="0"/>
              <w:jc w:val="left"/>
              <w:textAlignment w:val="auto"/>
              <w:rPr>
                <w:rFonts w:eastAsia="Times New Roman"/>
                <w:color w:val="auto"/>
                <w:lang w:val="es-419" w:eastAsia="en-GB"/>
              </w:rPr>
            </w:pPr>
            <w:r w:rsidRPr="00430D61">
              <w:rPr>
                <w:rFonts w:eastAsia="Times New Roman"/>
                <w:color w:val="auto"/>
                <w:lang w:val="es-419" w:eastAsia="en-GB"/>
              </w:rPr>
              <w:t>Comisión Panameña de Normas Industriales y Técnicas</w:t>
            </w:r>
          </w:p>
        </w:tc>
      </w:tr>
      <w:tr w:rsidR="00BD6AC7" w:rsidRPr="00BC092A" w14:paraId="6FC348FB"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4D27711A" w14:textId="22617D43" w:rsidR="00BD6AC7" w:rsidRDefault="00BD6AC7" w:rsidP="002B42AA">
            <w:pPr>
              <w:suppressAutoHyphens w:val="0"/>
              <w:autoSpaceDN/>
              <w:spacing w:before="0" w:after="0"/>
              <w:textAlignment w:val="auto"/>
              <w:rPr>
                <w:rFonts w:eastAsia="Times New Roman"/>
                <w:b/>
                <w:bCs/>
                <w:color w:val="auto"/>
                <w:lang w:val="es-419" w:eastAsia="en-GB"/>
              </w:rPr>
            </w:pPr>
            <w:r w:rsidRPr="00BD6AC7">
              <w:rPr>
                <w:rFonts w:eastAsia="Times New Roman"/>
                <w:b/>
                <w:bCs/>
                <w:color w:val="auto"/>
                <w:lang w:val="es-419" w:eastAsia="en-GB"/>
              </w:rPr>
              <w:t>COPANT</w:t>
            </w:r>
          </w:p>
        </w:tc>
        <w:tc>
          <w:tcPr>
            <w:tcW w:w="3752" w:type="pct"/>
            <w:tcBorders>
              <w:top w:val="nil"/>
              <w:left w:val="nil"/>
              <w:bottom w:val="single" w:sz="8" w:space="0" w:color="555555"/>
              <w:right w:val="single" w:sz="8" w:space="0" w:color="555555"/>
            </w:tcBorders>
            <w:shd w:val="clear" w:color="auto" w:fill="auto"/>
            <w:vAlign w:val="center"/>
          </w:tcPr>
          <w:p w14:paraId="7D2AD892" w14:textId="197C6D2A" w:rsidR="00BD6AC7" w:rsidRDefault="00BD6AC7" w:rsidP="002B42AA">
            <w:pPr>
              <w:suppressAutoHyphens w:val="0"/>
              <w:autoSpaceDN/>
              <w:spacing w:before="0" w:after="0"/>
              <w:jc w:val="left"/>
              <w:textAlignment w:val="auto"/>
              <w:rPr>
                <w:rFonts w:eastAsia="Times New Roman"/>
                <w:color w:val="auto"/>
                <w:lang w:val="es-419" w:eastAsia="en-GB"/>
              </w:rPr>
            </w:pPr>
            <w:r w:rsidRPr="00BD6AC7">
              <w:rPr>
                <w:rFonts w:eastAsia="Times New Roman"/>
                <w:color w:val="auto"/>
                <w:lang w:val="es-419" w:eastAsia="en-GB"/>
              </w:rPr>
              <w:t>Comisión Panamericana de Normas Técnicas</w:t>
            </w:r>
          </w:p>
        </w:tc>
      </w:tr>
      <w:tr w:rsidR="00BD6AC7" w:rsidRPr="00BC092A" w14:paraId="57853CA5"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6A46EA1B" w14:textId="54416F32" w:rsidR="00BD6AC7" w:rsidRDefault="00BD6AC7" w:rsidP="002B42AA">
            <w:pPr>
              <w:suppressAutoHyphens w:val="0"/>
              <w:autoSpaceDN/>
              <w:spacing w:before="0" w:after="0"/>
              <w:textAlignment w:val="auto"/>
              <w:rPr>
                <w:rFonts w:eastAsia="Times New Roman"/>
                <w:b/>
                <w:bCs/>
                <w:color w:val="auto"/>
                <w:lang w:val="es-419" w:eastAsia="en-GB"/>
              </w:rPr>
            </w:pPr>
            <w:r>
              <w:rPr>
                <w:rFonts w:eastAsia="Times New Roman"/>
                <w:b/>
                <w:bCs/>
                <w:color w:val="auto"/>
                <w:lang w:val="es-419" w:eastAsia="en-GB"/>
              </w:rPr>
              <w:t>DGN</w:t>
            </w:r>
          </w:p>
        </w:tc>
        <w:tc>
          <w:tcPr>
            <w:tcW w:w="3752" w:type="pct"/>
            <w:tcBorders>
              <w:top w:val="nil"/>
              <w:left w:val="nil"/>
              <w:bottom w:val="single" w:sz="8" w:space="0" w:color="555555"/>
              <w:right w:val="single" w:sz="8" w:space="0" w:color="555555"/>
            </w:tcBorders>
            <w:shd w:val="clear" w:color="auto" w:fill="auto"/>
            <w:vAlign w:val="center"/>
          </w:tcPr>
          <w:p w14:paraId="3D8FFA61" w14:textId="1C7578CD" w:rsidR="00BD6AC7" w:rsidRDefault="00BD6AC7" w:rsidP="00BD6AC7">
            <w:pPr>
              <w:suppressAutoHyphens w:val="0"/>
              <w:autoSpaceDN/>
              <w:spacing w:before="0" w:after="0"/>
              <w:jc w:val="left"/>
              <w:textAlignment w:val="auto"/>
              <w:rPr>
                <w:rFonts w:eastAsia="Times New Roman"/>
                <w:color w:val="auto"/>
                <w:lang w:val="es-419" w:eastAsia="en-GB"/>
              </w:rPr>
            </w:pPr>
            <w:r w:rsidRPr="00BD6AC7">
              <w:rPr>
                <w:rFonts w:eastAsia="Times New Roman"/>
                <w:color w:val="auto"/>
                <w:lang w:val="es-419" w:eastAsia="en-GB"/>
              </w:rPr>
              <w:t>Dirección General de Normas</w:t>
            </w:r>
            <w:r>
              <w:rPr>
                <w:rFonts w:eastAsia="Times New Roman"/>
                <w:color w:val="auto"/>
                <w:lang w:val="es-419" w:eastAsia="en-GB"/>
              </w:rPr>
              <w:t>, México</w:t>
            </w:r>
          </w:p>
        </w:tc>
      </w:tr>
      <w:tr w:rsidR="002B42AA" w:rsidRPr="00BC092A" w14:paraId="577AF20A"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2C8179D1" w14:textId="31B86B7E" w:rsidR="002B42AA" w:rsidRPr="00430D61" w:rsidRDefault="007022F8" w:rsidP="002B42AA">
            <w:pPr>
              <w:suppressAutoHyphens w:val="0"/>
              <w:autoSpaceDN/>
              <w:spacing w:before="0" w:after="0"/>
              <w:textAlignment w:val="auto"/>
              <w:rPr>
                <w:rFonts w:eastAsia="Times New Roman"/>
                <w:b/>
                <w:bCs/>
                <w:color w:val="auto"/>
                <w:lang w:val="es-419" w:eastAsia="en-GB"/>
              </w:rPr>
            </w:pPr>
            <w:r w:rsidRPr="00430D61">
              <w:rPr>
                <w:rFonts w:eastAsia="Times New Roman"/>
                <w:b/>
                <w:bCs/>
                <w:color w:val="auto"/>
                <w:lang w:val="es-419" w:eastAsia="en-GB"/>
              </w:rPr>
              <w:t>DGNTI</w:t>
            </w:r>
          </w:p>
        </w:tc>
        <w:tc>
          <w:tcPr>
            <w:tcW w:w="3752" w:type="pct"/>
            <w:tcBorders>
              <w:top w:val="nil"/>
              <w:left w:val="nil"/>
              <w:bottom w:val="single" w:sz="8" w:space="0" w:color="555555"/>
              <w:right w:val="single" w:sz="8" w:space="0" w:color="555555"/>
            </w:tcBorders>
            <w:shd w:val="clear" w:color="auto" w:fill="auto"/>
            <w:vAlign w:val="center"/>
          </w:tcPr>
          <w:p w14:paraId="7E2B2016" w14:textId="03847DCB" w:rsidR="002B42AA" w:rsidRPr="00430D61" w:rsidRDefault="007022F8" w:rsidP="00022E91">
            <w:pPr>
              <w:suppressAutoHyphens w:val="0"/>
              <w:autoSpaceDN/>
              <w:spacing w:before="0" w:after="0"/>
              <w:jc w:val="left"/>
              <w:textAlignment w:val="auto"/>
              <w:rPr>
                <w:rFonts w:eastAsia="Times New Roman"/>
                <w:color w:val="auto"/>
                <w:lang w:val="es-419" w:eastAsia="en-GB"/>
              </w:rPr>
            </w:pPr>
            <w:r w:rsidRPr="00430D61">
              <w:rPr>
                <w:rFonts w:eastAsia="Times New Roman"/>
                <w:color w:val="auto"/>
                <w:lang w:val="es-419" w:eastAsia="en-GB"/>
              </w:rPr>
              <w:t>Dirección General de Normas y Tecnología Industrial del MICI</w:t>
            </w:r>
          </w:p>
        </w:tc>
      </w:tr>
      <w:tr w:rsidR="000B1B71" w:rsidRPr="00BD6AC7" w14:paraId="5EF6EB87"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154B2D91" w14:textId="75EC6786" w:rsidR="000B1B71" w:rsidRPr="00430D61" w:rsidRDefault="000B1B71" w:rsidP="000B1B71">
            <w:pPr>
              <w:suppressAutoHyphens w:val="0"/>
              <w:autoSpaceDN/>
              <w:spacing w:before="0" w:after="0"/>
              <w:textAlignment w:val="auto"/>
              <w:rPr>
                <w:rFonts w:eastAsia="Times New Roman"/>
                <w:b/>
                <w:bCs/>
                <w:color w:val="auto"/>
                <w:lang w:val="es-419" w:eastAsia="en-GB"/>
              </w:rPr>
            </w:pPr>
            <w:r>
              <w:rPr>
                <w:rFonts w:eastAsia="Times New Roman"/>
                <w:b/>
                <w:bCs/>
                <w:color w:val="auto"/>
                <w:lang w:val="es-419" w:eastAsia="en-GB"/>
              </w:rPr>
              <w:t>e-CFR</w:t>
            </w:r>
          </w:p>
        </w:tc>
        <w:tc>
          <w:tcPr>
            <w:tcW w:w="3752" w:type="pct"/>
            <w:tcBorders>
              <w:top w:val="nil"/>
              <w:left w:val="nil"/>
              <w:bottom w:val="single" w:sz="8" w:space="0" w:color="555555"/>
              <w:right w:val="single" w:sz="8" w:space="0" w:color="555555"/>
            </w:tcBorders>
            <w:shd w:val="clear" w:color="auto" w:fill="auto"/>
            <w:vAlign w:val="center"/>
          </w:tcPr>
          <w:p w14:paraId="001FCC8D" w14:textId="0F0AF883" w:rsidR="000B1B71" w:rsidRPr="00C34D89" w:rsidRDefault="000B1B71" w:rsidP="007022F8">
            <w:pPr>
              <w:suppressAutoHyphens w:val="0"/>
              <w:autoSpaceDN/>
              <w:spacing w:before="0" w:after="0"/>
              <w:jc w:val="left"/>
              <w:textAlignment w:val="auto"/>
              <w:rPr>
                <w:rFonts w:eastAsia="Times New Roman"/>
                <w:i/>
                <w:color w:val="auto"/>
                <w:lang w:eastAsia="en-GB"/>
              </w:rPr>
            </w:pPr>
            <w:r w:rsidRPr="00C34D89">
              <w:rPr>
                <w:rFonts w:eastAsia="Times New Roman"/>
                <w:i/>
                <w:color w:val="auto"/>
                <w:lang w:eastAsia="en-GB"/>
              </w:rPr>
              <w:t>Electronic Code of Federal Regulations</w:t>
            </w:r>
          </w:p>
        </w:tc>
      </w:tr>
      <w:tr w:rsidR="001A6BC6" w:rsidRPr="007022F8" w14:paraId="40DC6EDC"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2F418E9B" w14:textId="06ABD8D9" w:rsidR="001A6BC6" w:rsidRDefault="001A6BC6" w:rsidP="002B42AA">
            <w:pPr>
              <w:suppressAutoHyphens w:val="0"/>
              <w:autoSpaceDN/>
              <w:spacing w:before="0" w:after="0"/>
              <w:textAlignment w:val="auto"/>
              <w:rPr>
                <w:rFonts w:eastAsia="Times New Roman"/>
                <w:b/>
                <w:bCs/>
                <w:color w:val="auto"/>
                <w:lang w:val="es-419" w:eastAsia="en-GB"/>
              </w:rPr>
            </w:pPr>
            <w:r>
              <w:rPr>
                <w:rFonts w:eastAsia="Times New Roman"/>
                <w:b/>
                <w:bCs/>
                <w:color w:val="auto"/>
                <w:lang w:val="es-419" w:eastAsia="en-GB"/>
              </w:rPr>
              <w:t>EN</w:t>
            </w:r>
          </w:p>
        </w:tc>
        <w:tc>
          <w:tcPr>
            <w:tcW w:w="3752" w:type="pct"/>
            <w:tcBorders>
              <w:top w:val="nil"/>
              <w:left w:val="nil"/>
              <w:bottom w:val="single" w:sz="8" w:space="0" w:color="555555"/>
              <w:right w:val="single" w:sz="8" w:space="0" w:color="555555"/>
            </w:tcBorders>
            <w:shd w:val="clear" w:color="auto" w:fill="auto"/>
            <w:vAlign w:val="center"/>
          </w:tcPr>
          <w:p w14:paraId="0108922D" w14:textId="4A6D0D13" w:rsidR="001A6BC6" w:rsidRPr="001A6BC6" w:rsidRDefault="001A6BC6" w:rsidP="007E51C5">
            <w:pPr>
              <w:suppressAutoHyphens w:val="0"/>
              <w:autoSpaceDN/>
              <w:spacing w:before="0" w:after="0"/>
              <w:jc w:val="left"/>
              <w:textAlignment w:val="auto"/>
              <w:rPr>
                <w:rFonts w:eastAsia="Times New Roman"/>
                <w:i/>
                <w:color w:val="auto"/>
                <w:lang w:val="es-419" w:eastAsia="en-GB"/>
              </w:rPr>
            </w:pPr>
            <w:r w:rsidRPr="001A6BC6">
              <w:rPr>
                <w:rFonts w:eastAsia="Times New Roman"/>
                <w:i/>
                <w:color w:val="auto"/>
                <w:lang w:val="es-419" w:eastAsia="en-GB"/>
              </w:rPr>
              <w:t>European Standard</w:t>
            </w:r>
          </w:p>
        </w:tc>
      </w:tr>
      <w:tr w:rsidR="0021036E" w:rsidRPr="0021036E" w14:paraId="08ED94D6"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3FD3754B" w14:textId="3ED427C5" w:rsidR="0021036E" w:rsidRDefault="0021036E" w:rsidP="002B42AA">
            <w:pPr>
              <w:suppressAutoHyphens w:val="0"/>
              <w:autoSpaceDN/>
              <w:spacing w:before="0" w:after="0"/>
              <w:textAlignment w:val="auto"/>
              <w:rPr>
                <w:rFonts w:eastAsia="Times New Roman"/>
                <w:b/>
                <w:bCs/>
                <w:color w:val="auto"/>
                <w:lang w:val="es-419" w:eastAsia="en-GB"/>
              </w:rPr>
            </w:pPr>
            <w:r>
              <w:rPr>
                <w:rFonts w:eastAsia="Times New Roman"/>
                <w:b/>
                <w:bCs/>
                <w:color w:val="auto"/>
                <w:lang w:val="es-419" w:eastAsia="en-GB"/>
              </w:rPr>
              <w:t>EPA</w:t>
            </w:r>
          </w:p>
        </w:tc>
        <w:tc>
          <w:tcPr>
            <w:tcW w:w="3752" w:type="pct"/>
            <w:tcBorders>
              <w:top w:val="nil"/>
              <w:left w:val="nil"/>
              <w:bottom w:val="single" w:sz="8" w:space="0" w:color="555555"/>
              <w:right w:val="single" w:sz="8" w:space="0" w:color="555555"/>
            </w:tcBorders>
            <w:shd w:val="clear" w:color="auto" w:fill="auto"/>
            <w:vAlign w:val="center"/>
          </w:tcPr>
          <w:p w14:paraId="2E478607" w14:textId="101FB90E" w:rsidR="0021036E" w:rsidRPr="001A6BC6" w:rsidRDefault="0021036E" w:rsidP="0021036E">
            <w:pPr>
              <w:suppressAutoHyphens w:val="0"/>
              <w:autoSpaceDN/>
              <w:spacing w:before="0" w:after="0"/>
              <w:jc w:val="left"/>
              <w:textAlignment w:val="auto"/>
              <w:rPr>
                <w:rFonts w:eastAsia="Times New Roman"/>
                <w:i/>
                <w:color w:val="auto"/>
                <w:lang w:val="es-419" w:eastAsia="en-GB"/>
              </w:rPr>
            </w:pPr>
            <w:r w:rsidRPr="0021036E">
              <w:rPr>
                <w:rFonts w:eastAsia="Times New Roman"/>
                <w:i/>
                <w:color w:val="auto"/>
                <w:lang w:val="es-419" w:eastAsia="en-GB"/>
              </w:rPr>
              <w:t>Environmental Protection Agency</w:t>
            </w:r>
            <w:r>
              <w:rPr>
                <w:rFonts w:eastAsia="Times New Roman"/>
                <w:i/>
                <w:color w:val="auto"/>
                <w:lang w:val="es-419" w:eastAsia="en-GB"/>
              </w:rPr>
              <w:t xml:space="preserve">, </w:t>
            </w:r>
            <w:r w:rsidRPr="0021036E">
              <w:rPr>
                <w:rFonts w:eastAsia="Times New Roman"/>
                <w:color w:val="auto"/>
                <w:lang w:val="es-419" w:eastAsia="en-GB"/>
              </w:rPr>
              <w:t>EE.UU.</w:t>
            </w:r>
          </w:p>
        </w:tc>
      </w:tr>
      <w:tr w:rsidR="001A6BC6" w:rsidRPr="0021036E" w14:paraId="0904ABDC"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4120630D" w14:textId="0392C925" w:rsidR="001A6BC6" w:rsidRPr="007E51C5" w:rsidRDefault="001A6BC6" w:rsidP="001A6BC6">
            <w:pPr>
              <w:suppressAutoHyphens w:val="0"/>
              <w:autoSpaceDN/>
              <w:spacing w:before="0" w:after="0"/>
              <w:textAlignment w:val="auto"/>
              <w:rPr>
                <w:rFonts w:eastAsia="Times New Roman"/>
                <w:b/>
                <w:bCs/>
                <w:color w:val="auto"/>
                <w:lang w:val="es-419" w:eastAsia="en-GB"/>
              </w:rPr>
            </w:pPr>
            <w:r>
              <w:rPr>
                <w:rFonts w:eastAsia="Times New Roman"/>
                <w:b/>
                <w:bCs/>
                <w:color w:val="auto"/>
                <w:lang w:val="es-419" w:eastAsia="en-GB"/>
              </w:rPr>
              <w:t>ETSI</w:t>
            </w:r>
          </w:p>
        </w:tc>
        <w:tc>
          <w:tcPr>
            <w:tcW w:w="3752" w:type="pct"/>
            <w:tcBorders>
              <w:top w:val="nil"/>
              <w:left w:val="nil"/>
              <w:bottom w:val="single" w:sz="8" w:space="0" w:color="555555"/>
              <w:right w:val="single" w:sz="8" w:space="0" w:color="555555"/>
            </w:tcBorders>
            <w:shd w:val="clear" w:color="auto" w:fill="auto"/>
            <w:vAlign w:val="center"/>
          </w:tcPr>
          <w:p w14:paraId="1284BAF3" w14:textId="5B7D2D83" w:rsidR="001A6BC6" w:rsidRPr="001A6BC6" w:rsidRDefault="001A6BC6" w:rsidP="007E51C5">
            <w:pPr>
              <w:suppressAutoHyphens w:val="0"/>
              <w:autoSpaceDN/>
              <w:spacing w:before="0" w:after="0"/>
              <w:jc w:val="left"/>
              <w:textAlignment w:val="auto"/>
              <w:rPr>
                <w:rFonts w:eastAsia="Times New Roman"/>
                <w:i/>
                <w:color w:val="auto"/>
                <w:lang w:val="es-419" w:eastAsia="en-GB"/>
              </w:rPr>
            </w:pPr>
            <w:r w:rsidRPr="001A6BC6">
              <w:rPr>
                <w:rFonts w:eastAsia="Times New Roman"/>
                <w:i/>
                <w:color w:val="auto"/>
                <w:lang w:val="es-419" w:eastAsia="en-GB"/>
              </w:rPr>
              <w:t>European Telecommunications Standards Institute</w:t>
            </w:r>
          </w:p>
        </w:tc>
      </w:tr>
      <w:tr w:rsidR="007E51C5" w:rsidRPr="0021036E" w14:paraId="23412965"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7C01FA6C" w14:textId="0F7F1A07" w:rsidR="007E51C5" w:rsidRPr="007E51C5" w:rsidRDefault="007E51C5" w:rsidP="002B42AA">
            <w:pPr>
              <w:suppressAutoHyphens w:val="0"/>
              <w:autoSpaceDN/>
              <w:spacing w:before="0" w:after="0"/>
              <w:textAlignment w:val="auto"/>
              <w:rPr>
                <w:rFonts w:eastAsia="Times New Roman"/>
                <w:b/>
                <w:bCs/>
                <w:color w:val="auto"/>
                <w:lang w:val="es-419" w:eastAsia="en-GB"/>
              </w:rPr>
            </w:pPr>
            <w:r w:rsidRPr="007E51C5">
              <w:rPr>
                <w:rFonts w:eastAsia="Times New Roman"/>
                <w:b/>
                <w:bCs/>
                <w:color w:val="auto"/>
                <w:lang w:val="es-419" w:eastAsia="en-GB"/>
              </w:rPr>
              <w:t>EE.UU.</w:t>
            </w:r>
          </w:p>
        </w:tc>
        <w:tc>
          <w:tcPr>
            <w:tcW w:w="3752" w:type="pct"/>
            <w:tcBorders>
              <w:top w:val="nil"/>
              <w:left w:val="nil"/>
              <w:bottom w:val="single" w:sz="8" w:space="0" w:color="555555"/>
              <w:right w:val="single" w:sz="8" w:space="0" w:color="555555"/>
            </w:tcBorders>
            <w:shd w:val="clear" w:color="auto" w:fill="auto"/>
            <w:vAlign w:val="center"/>
          </w:tcPr>
          <w:p w14:paraId="72F1045C" w14:textId="0715757C" w:rsidR="007E51C5" w:rsidRPr="007E51C5" w:rsidRDefault="007E51C5" w:rsidP="007E51C5">
            <w:pPr>
              <w:suppressAutoHyphens w:val="0"/>
              <w:autoSpaceDN/>
              <w:spacing w:before="0" w:after="0"/>
              <w:jc w:val="left"/>
              <w:textAlignment w:val="auto"/>
              <w:rPr>
                <w:rFonts w:eastAsia="Times New Roman"/>
                <w:color w:val="auto"/>
                <w:lang w:val="es-419" w:eastAsia="en-GB"/>
              </w:rPr>
            </w:pPr>
            <w:r w:rsidRPr="007E51C5">
              <w:rPr>
                <w:rFonts w:eastAsia="Times New Roman"/>
                <w:color w:val="auto"/>
                <w:lang w:val="es-419" w:eastAsia="en-GB"/>
              </w:rPr>
              <w:t xml:space="preserve">Estados Unidos </w:t>
            </w:r>
            <w:r>
              <w:rPr>
                <w:rFonts w:eastAsia="Times New Roman"/>
                <w:color w:val="auto"/>
                <w:lang w:val="es-419" w:eastAsia="en-GB"/>
              </w:rPr>
              <w:t>de América</w:t>
            </w:r>
          </w:p>
        </w:tc>
      </w:tr>
      <w:tr w:rsidR="003C6EDB" w:rsidRPr="00DD33C7" w14:paraId="08E10011"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31C772C0" w14:textId="13AD8B19" w:rsidR="003C6EDB" w:rsidRPr="00995668" w:rsidRDefault="003C6EDB" w:rsidP="002B42AA">
            <w:pPr>
              <w:suppressAutoHyphens w:val="0"/>
              <w:autoSpaceDN/>
              <w:spacing w:before="0" w:after="0"/>
              <w:textAlignment w:val="auto"/>
              <w:rPr>
                <w:rFonts w:eastAsia="Times New Roman"/>
                <w:b/>
                <w:bCs/>
                <w:color w:val="auto"/>
                <w:lang w:val="es-419" w:eastAsia="en-GB"/>
              </w:rPr>
            </w:pPr>
            <w:r>
              <w:rPr>
                <w:rFonts w:eastAsia="Times New Roman"/>
                <w:b/>
                <w:bCs/>
                <w:color w:val="auto"/>
                <w:lang w:val="es-419" w:eastAsia="en-GB"/>
              </w:rPr>
              <w:t>FTC</w:t>
            </w:r>
          </w:p>
        </w:tc>
        <w:tc>
          <w:tcPr>
            <w:tcW w:w="3752" w:type="pct"/>
            <w:tcBorders>
              <w:top w:val="nil"/>
              <w:left w:val="nil"/>
              <w:bottom w:val="single" w:sz="8" w:space="0" w:color="555555"/>
              <w:right w:val="single" w:sz="8" w:space="0" w:color="555555"/>
            </w:tcBorders>
            <w:shd w:val="clear" w:color="auto" w:fill="auto"/>
            <w:vAlign w:val="center"/>
          </w:tcPr>
          <w:p w14:paraId="4B8A04A5" w14:textId="58031C19" w:rsidR="003C6EDB" w:rsidRPr="003C6EDB" w:rsidRDefault="003C6EDB" w:rsidP="002B42AA">
            <w:pPr>
              <w:suppressAutoHyphens w:val="0"/>
              <w:autoSpaceDN/>
              <w:spacing w:before="0" w:after="0"/>
              <w:jc w:val="left"/>
              <w:textAlignment w:val="auto"/>
              <w:rPr>
                <w:rFonts w:eastAsia="Times New Roman"/>
                <w:color w:val="auto"/>
                <w:lang w:eastAsia="en-GB"/>
              </w:rPr>
            </w:pPr>
            <w:r w:rsidRPr="003C6EDB">
              <w:rPr>
                <w:rFonts w:eastAsia="Times New Roman"/>
                <w:i/>
                <w:color w:val="auto"/>
                <w:lang w:eastAsia="en-GB"/>
              </w:rPr>
              <w:t>Federal Trade Commission</w:t>
            </w:r>
            <w:r w:rsidRPr="003C6EDB">
              <w:rPr>
                <w:rFonts w:eastAsia="Times New Roman"/>
                <w:color w:val="auto"/>
                <w:lang w:eastAsia="en-GB"/>
              </w:rPr>
              <w:t>, EE.UU.</w:t>
            </w:r>
          </w:p>
        </w:tc>
      </w:tr>
      <w:tr w:rsidR="00995668" w:rsidRPr="00DD33C7" w14:paraId="4FAA1F8F"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69467E4E" w14:textId="2599E93B" w:rsidR="00995668" w:rsidRPr="00995668" w:rsidRDefault="00995668" w:rsidP="002B42AA">
            <w:pPr>
              <w:suppressAutoHyphens w:val="0"/>
              <w:autoSpaceDN/>
              <w:spacing w:before="0" w:after="0"/>
              <w:textAlignment w:val="auto"/>
              <w:rPr>
                <w:rFonts w:eastAsia="Times New Roman"/>
                <w:b/>
                <w:bCs/>
                <w:color w:val="auto"/>
                <w:lang w:val="es-419" w:eastAsia="en-GB"/>
              </w:rPr>
            </w:pPr>
            <w:r w:rsidRPr="00995668">
              <w:rPr>
                <w:rFonts w:eastAsia="Times New Roman"/>
                <w:b/>
                <w:bCs/>
                <w:color w:val="auto"/>
                <w:lang w:val="es-419" w:eastAsia="en-GB"/>
              </w:rPr>
              <w:t>GdP</w:t>
            </w:r>
          </w:p>
        </w:tc>
        <w:tc>
          <w:tcPr>
            <w:tcW w:w="3752" w:type="pct"/>
            <w:tcBorders>
              <w:top w:val="nil"/>
              <w:left w:val="nil"/>
              <w:bottom w:val="single" w:sz="8" w:space="0" w:color="555555"/>
              <w:right w:val="single" w:sz="8" w:space="0" w:color="555555"/>
            </w:tcBorders>
            <w:shd w:val="clear" w:color="auto" w:fill="auto"/>
            <w:vAlign w:val="center"/>
          </w:tcPr>
          <w:p w14:paraId="506862FB" w14:textId="7A4D52E6" w:rsidR="00995668" w:rsidRPr="00995668" w:rsidRDefault="00995668" w:rsidP="002B42AA">
            <w:pPr>
              <w:suppressAutoHyphens w:val="0"/>
              <w:autoSpaceDN/>
              <w:spacing w:before="0" w:after="0"/>
              <w:jc w:val="left"/>
              <w:textAlignment w:val="auto"/>
              <w:rPr>
                <w:rFonts w:eastAsia="Times New Roman"/>
                <w:color w:val="auto"/>
                <w:lang w:val="es-419" w:eastAsia="en-GB"/>
              </w:rPr>
            </w:pPr>
            <w:r w:rsidRPr="00995668">
              <w:rPr>
                <w:rFonts w:eastAsia="Times New Roman"/>
                <w:color w:val="auto"/>
                <w:lang w:val="es-419" w:eastAsia="en-GB"/>
              </w:rPr>
              <w:t>Gobierno de Panamá</w:t>
            </w:r>
          </w:p>
        </w:tc>
      </w:tr>
      <w:tr w:rsidR="007D224C" w:rsidRPr="00BC092A" w14:paraId="4B91EEAD"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1EE1C35C" w14:textId="467E85BC" w:rsidR="007D224C" w:rsidRPr="00995668" w:rsidRDefault="007D224C" w:rsidP="002B42AA">
            <w:pPr>
              <w:suppressAutoHyphens w:val="0"/>
              <w:autoSpaceDN/>
              <w:spacing w:before="0" w:after="0"/>
              <w:textAlignment w:val="auto"/>
              <w:rPr>
                <w:rFonts w:eastAsia="Times New Roman"/>
                <w:b/>
                <w:bCs/>
                <w:color w:val="auto"/>
                <w:lang w:val="es-419" w:eastAsia="en-GB"/>
              </w:rPr>
            </w:pPr>
            <w:r>
              <w:rPr>
                <w:rFonts w:eastAsia="Times New Roman"/>
                <w:b/>
                <w:bCs/>
                <w:color w:val="auto"/>
                <w:lang w:val="es-419" w:eastAsia="en-GB"/>
              </w:rPr>
              <w:t>GSL</w:t>
            </w:r>
          </w:p>
        </w:tc>
        <w:tc>
          <w:tcPr>
            <w:tcW w:w="3752" w:type="pct"/>
            <w:tcBorders>
              <w:top w:val="nil"/>
              <w:left w:val="nil"/>
              <w:bottom w:val="single" w:sz="8" w:space="0" w:color="555555"/>
              <w:right w:val="single" w:sz="8" w:space="0" w:color="555555"/>
            </w:tcBorders>
            <w:shd w:val="clear" w:color="auto" w:fill="auto"/>
            <w:vAlign w:val="center"/>
          </w:tcPr>
          <w:p w14:paraId="561054CC" w14:textId="3E6BCD9C" w:rsidR="007D224C" w:rsidRPr="00995668" w:rsidRDefault="007D224C" w:rsidP="00022E91">
            <w:pPr>
              <w:suppressAutoHyphens w:val="0"/>
              <w:autoSpaceDN/>
              <w:spacing w:before="0" w:after="0"/>
              <w:jc w:val="left"/>
              <w:textAlignment w:val="auto"/>
              <w:rPr>
                <w:rFonts w:eastAsia="Times New Roman"/>
                <w:color w:val="auto"/>
                <w:lang w:val="es-419" w:eastAsia="en-GB"/>
              </w:rPr>
            </w:pPr>
            <w:r w:rsidRPr="00F079BF">
              <w:rPr>
                <w:rFonts w:eastAsia="Times New Roman"/>
                <w:i/>
                <w:color w:val="auto"/>
                <w:lang w:val="es-ES" w:eastAsia="en-GB"/>
              </w:rPr>
              <w:t>General Service Lamp</w:t>
            </w:r>
            <w:r>
              <w:rPr>
                <w:rFonts w:eastAsia="Times New Roman"/>
                <w:color w:val="auto"/>
                <w:lang w:val="es-419" w:eastAsia="en-GB"/>
              </w:rPr>
              <w:t xml:space="preserve"> (Lámpara para </w:t>
            </w:r>
            <w:r w:rsidR="00022E91">
              <w:rPr>
                <w:rFonts w:eastAsia="Times New Roman"/>
                <w:color w:val="auto"/>
                <w:lang w:val="es-419" w:eastAsia="en-GB"/>
              </w:rPr>
              <w:t>uso</w:t>
            </w:r>
            <w:r>
              <w:rPr>
                <w:rFonts w:eastAsia="Times New Roman"/>
                <w:color w:val="auto"/>
                <w:lang w:val="es-419" w:eastAsia="en-GB"/>
              </w:rPr>
              <w:t xml:space="preserve"> general)</w:t>
            </w:r>
          </w:p>
        </w:tc>
      </w:tr>
      <w:tr w:rsidR="003032AC" w:rsidRPr="007022F8" w14:paraId="183488FC"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0FBC804E" w14:textId="41979016" w:rsidR="003032AC" w:rsidRPr="007D224C" w:rsidRDefault="003032AC" w:rsidP="002B42AA">
            <w:pPr>
              <w:suppressAutoHyphens w:val="0"/>
              <w:autoSpaceDN/>
              <w:spacing w:before="0" w:after="0"/>
              <w:textAlignment w:val="auto"/>
              <w:rPr>
                <w:rFonts w:eastAsia="Times New Roman"/>
                <w:b/>
                <w:bCs/>
                <w:color w:val="auto"/>
                <w:lang w:val="es-419" w:eastAsia="en-GB"/>
              </w:rPr>
            </w:pPr>
            <w:r w:rsidRPr="007D224C">
              <w:rPr>
                <w:rFonts w:eastAsia="Times New Roman"/>
                <w:b/>
                <w:bCs/>
                <w:color w:val="auto"/>
                <w:lang w:val="es-419" w:eastAsia="en-GB"/>
              </w:rPr>
              <w:t>IEC</w:t>
            </w:r>
          </w:p>
        </w:tc>
        <w:tc>
          <w:tcPr>
            <w:tcW w:w="3752" w:type="pct"/>
            <w:tcBorders>
              <w:top w:val="nil"/>
              <w:left w:val="nil"/>
              <w:bottom w:val="single" w:sz="8" w:space="0" w:color="555555"/>
              <w:right w:val="single" w:sz="8" w:space="0" w:color="555555"/>
            </w:tcBorders>
            <w:shd w:val="clear" w:color="auto" w:fill="auto"/>
            <w:vAlign w:val="center"/>
          </w:tcPr>
          <w:p w14:paraId="4D92EA54" w14:textId="2C8C141A" w:rsidR="003032AC" w:rsidRPr="007D224C" w:rsidRDefault="003032AC" w:rsidP="002B42AA">
            <w:pPr>
              <w:suppressAutoHyphens w:val="0"/>
              <w:autoSpaceDN/>
              <w:spacing w:before="0" w:after="0"/>
              <w:jc w:val="left"/>
              <w:textAlignment w:val="auto"/>
              <w:rPr>
                <w:rFonts w:eastAsia="Times New Roman"/>
                <w:i/>
                <w:color w:val="auto"/>
                <w:lang w:eastAsia="en-GB"/>
              </w:rPr>
            </w:pPr>
            <w:r w:rsidRPr="007D224C">
              <w:rPr>
                <w:rFonts w:eastAsia="Times New Roman"/>
                <w:i/>
                <w:color w:val="auto"/>
                <w:lang w:eastAsia="en-GB"/>
              </w:rPr>
              <w:t>International Electrotechnical Commission</w:t>
            </w:r>
          </w:p>
        </w:tc>
      </w:tr>
      <w:tr w:rsidR="001F2D87" w:rsidRPr="007022F8" w14:paraId="56F424B8"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05BC07DE" w14:textId="73AAE7F9" w:rsidR="001F2D87" w:rsidRPr="007D224C" w:rsidRDefault="001F2D87" w:rsidP="002B42AA">
            <w:pPr>
              <w:suppressAutoHyphens w:val="0"/>
              <w:autoSpaceDN/>
              <w:spacing w:before="0" w:after="0"/>
              <w:textAlignment w:val="auto"/>
              <w:rPr>
                <w:rFonts w:eastAsia="Times New Roman"/>
                <w:b/>
                <w:bCs/>
                <w:color w:val="auto"/>
                <w:lang w:val="es-419" w:eastAsia="en-GB"/>
              </w:rPr>
            </w:pPr>
            <w:r>
              <w:rPr>
                <w:rFonts w:eastAsia="Times New Roman"/>
                <w:b/>
                <w:bCs/>
                <w:color w:val="auto"/>
                <w:lang w:val="es-419" w:eastAsia="en-GB"/>
              </w:rPr>
              <w:t>IES</w:t>
            </w:r>
          </w:p>
        </w:tc>
        <w:tc>
          <w:tcPr>
            <w:tcW w:w="3752" w:type="pct"/>
            <w:tcBorders>
              <w:top w:val="nil"/>
              <w:left w:val="nil"/>
              <w:bottom w:val="single" w:sz="8" w:space="0" w:color="555555"/>
              <w:right w:val="single" w:sz="8" w:space="0" w:color="555555"/>
            </w:tcBorders>
            <w:shd w:val="clear" w:color="auto" w:fill="auto"/>
            <w:vAlign w:val="center"/>
          </w:tcPr>
          <w:p w14:paraId="1986799C" w14:textId="51A057F4" w:rsidR="001F2D87" w:rsidRPr="007D224C" w:rsidRDefault="001F2D87" w:rsidP="002B42AA">
            <w:pPr>
              <w:suppressAutoHyphens w:val="0"/>
              <w:autoSpaceDN/>
              <w:spacing w:before="0" w:after="0"/>
              <w:jc w:val="left"/>
              <w:textAlignment w:val="auto"/>
              <w:rPr>
                <w:rFonts w:eastAsia="Times New Roman"/>
                <w:i/>
                <w:color w:val="auto"/>
                <w:lang w:eastAsia="en-GB"/>
              </w:rPr>
            </w:pPr>
            <w:r>
              <w:rPr>
                <w:rFonts w:eastAsia="Times New Roman"/>
                <w:i/>
                <w:color w:val="auto"/>
                <w:lang w:eastAsia="en-GB"/>
              </w:rPr>
              <w:t>Illuminating Engineering Society</w:t>
            </w:r>
          </w:p>
        </w:tc>
      </w:tr>
      <w:tr w:rsidR="009F342C" w:rsidRPr="00A27A5E" w14:paraId="011B2CD5"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57735913" w14:textId="7C6A6C44" w:rsidR="009F342C" w:rsidRDefault="009F342C" w:rsidP="002B42AA">
            <w:pPr>
              <w:suppressAutoHyphens w:val="0"/>
              <w:autoSpaceDN/>
              <w:spacing w:before="0" w:after="0"/>
              <w:jc w:val="left"/>
              <w:textAlignment w:val="auto"/>
              <w:rPr>
                <w:rFonts w:eastAsia="Times New Roman"/>
                <w:b/>
                <w:bCs/>
                <w:color w:val="auto"/>
                <w:lang w:val="es-419" w:eastAsia="en-GB"/>
              </w:rPr>
            </w:pPr>
            <w:r>
              <w:rPr>
                <w:rFonts w:eastAsia="Times New Roman"/>
                <w:b/>
                <w:bCs/>
                <w:color w:val="auto"/>
                <w:lang w:val="es-419" w:eastAsia="en-GB"/>
              </w:rPr>
              <w:t>ILAC</w:t>
            </w:r>
          </w:p>
        </w:tc>
        <w:tc>
          <w:tcPr>
            <w:tcW w:w="3752" w:type="pct"/>
            <w:tcBorders>
              <w:top w:val="nil"/>
              <w:left w:val="nil"/>
              <w:bottom w:val="single" w:sz="8" w:space="0" w:color="555555"/>
              <w:right w:val="single" w:sz="8" w:space="0" w:color="555555"/>
            </w:tcBorders>
            <w:shd w:val="clear" w:color="auto" w:fill="auto"/>
            <w:vAlign w:val="center"/>
          </w:tcPr>
          <w:p w14:paraId="7F2D1F6A" w14:textId="51E8B158" w:rsidR="009F342C" w:rsidRPr="009F342C" w:rsidRDefault="009F342C" w:rsidP="009F342C">
            <w:pPr>
              <w:suppressAutoHyphens w:val="0"/>
              <w:autoSpaceDN/>
              <w:spacing w:before="0" w:after="0"/>
              <w:jc w:val="left"/>
              <w:textAlignment w:val="auto"/>
              <w:rPr>
                <w:rFonts w:eastAsia="Times New Roman"/>
                <w:i/>
                <w:color w:val="auto"/>
                <w:lang w:val="es-ES" w:eastAsia="en-GB"/>
              </w:rPr>
            </w:pPr>
            <w:r w:rsidRPr="009F342C">
              <w:rPr>
                <w:rFonts w:eastAsia="Times New Roman"/>
                <w:i/>
                <w:color w:val="auto"/>
                <w:lang w:val="es-ES" w:eastAsia="en-GB"/>
              </w:rPr>
              <w:t>International Laboratory Accreditation Cooperation</w:t>
            </w:r>
          </w:p>
        </w:tc>
      </w:tr>
      <w:tr w:rsidR="00407789" w:rsidRPr="00914127" w14:paraId="7940380B"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2FE0DADA" w14:textId="27B1047D" w:rsidR="00407789" w:rsidRPr="007D224C" w:rsidRDefault="00407789" w:rsidP="002B42AA">
            <w:pPr>
              <w:suppressAutoHyphens w:val="0"/>
              <w:autoSpaceDN/>
              <w:spacing w:before="0" w:after="0"/>
              <w:jc w:val="left"/>
              <w:textAlignment w:val="auto"/>
              <w:rPr>
                <w:rFonts w:eastAsia="Times New Roman"/>
                <w:b/>
                <w:bCs/>
                <w:color w:val="auto"/>
                <w:lang w:val="es-419" w:eastAsia="en-GB"/>
              </w:rPr>
            </w:pPr>
            <w:r>
              <w:rPr>
                <w:rFonts w:eastAsia="Times New Roman"/>
                <w:b/>
                <w:bCs/>
                <w:color w:val="auto"/>
                <w:lang w:val="es-419" w:eastAsia="en-GB"/>
              </w:rPr>
              <w:t>IRC</w:t>
            </w:r>
          </w:p>
        </w:tc>
        <w:tc>
          <w:tcPr>
            <w:tcW w:w="3752" w:type="pct"/>
            <w:tcBorders>
              <w:top w:val="nil"/>
              <w:left w:val="nil"/>
              <w:bottom w:val="single" w:sz="8" w:space="0" w:color="555555"/>
              <w:right w:val="single" w:sz="8" w:space="0" w:color="555555"/>
            </w:tcBorders>
            <w:shd w:val="clear" w:color="auto" w:fill="auto"/>
            <w:vAlign w:val="center"/>
          </w:tcPr>
          <w:p w14:paraId="6038AC8B" w14:textId="3AA649CA" w:rsidR="00407789" w:rsidRPr="00407789" w:rsidRDefault="00407789" w:rsidP="00407789">
            <w:pPr>
              <w:suppressAutoHyphens w:val="0"/>
              <w:autoSpaceDN/>
              <w:spacing w:before="0" w:after="0"/>
              <w:jc w:val="left"/>
              <w:textAlignment w:val="auto"/>
              <w:rPr>
                <w:rFonts w:eastAsia="Times New Roman"/>
                <w:color w:val="auto"/>
                <w:lang w:val="es-ES" w:eastAsia="en-GB"/>
              </w:rPr>
            </w:pPr>
            <w:r>
              <w:rPr>
                <w:rFonts w:eastAsia="Times New Roman"/>
                <w:color w:val="auto"/>
                <w:lang w:val="es-ES" w:eastAsia="en-GB"/>
              </w:rPr>
              <w:t>Í</w:t>
            </w:r>
            <w:r w:rsidRPr="00407789">
              <w:rPr>
                <w:rFonts w:eastAsia="Times New Roman"/>
                <w:color w:val="auto"/>
                <w:lang w:val="es-ES" w:eastAsia="en-GB"/>
              </w:rPr>
              <w:t>ndice de rendimiento de color</w:t>
            </w:r>
          </w:p>
        </w:tc>
      </w:tr>
      <w:tr w:rsidR="00F90D16" w:rsidRPr="008641C5" w14:paraId="7307FE60"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2C8D98D1" w14:textId="26057F0B" w:rsidR="00F90D16" w:rsidRPr="007D224C" w:rsidRDefault="00F90D16" w:rsidP="002B42AA">
            <w:pPr>
              <w:suppressAutoHyphens w:val="0"/>
              <w:autoSpaceDN/>
              <w:spacing w:before="0" w:after="0"/>
              <w:jc w:val="left"/>
              <w:textAlignment w:val="auto"/>
              <w:rPr>
                <w:rFonts w:eastAsia="Times New Roman"/>
                <w:b/>
                <w:bCs/>
                <w:color w:val="auto"/>
                <w:lang w:val="es-419" w:eastAsia="en-GB"/>
              </w:rPr>
            </w:pPr>
            <w:r w:rsidRPr="007D224C">
              <w:rPr>
                <w:rFonts w:eastAsia="Times New Roman"/>
                <w:b/>
                <w:bCs/>
                <w:color w:val="auto"/>
                <w:lang w:val="es-419" w:eastAsia="en-GB"/>
              </w:rPr>
              <w:t>ISO</w:t>
            </w:r>
          </w:p>
        </w:tc>
        <w:tc>
          <w:tcPr>
            <w:tcW w:w="3752" w:type="pct"/>
            <w:tcBorders>
              <w:top w:val="nil"/>
              <w:left w:val="nil"/>
              <w:bottom w:val="single" w:sz="8" w:space="0" w:color="555555"/>
              <w:right w:val="single" w:sz="8" w:space="0" w:color="555555"/>
            </w:tcBorders>
            <w:shd w:val="clear" w:color="auto" w:fill="auto"/>
            <w:vAlign w:val="center"/>
          </w:tcPr>
          <w:p w14:paraId="4F2C56BA" w14:textId="1F3E5955" w:rsidR="00F90D16" w:rsidRPr="007D224C" w:rsidRDefault="00255A4F" w:rsidP="002B42AA">
            <w:pPr>
              <w:suppressAutoHyphens w:val="0"/>
              <w:autoSpaceDN/>
              <w:spacing w:before="0" w:after="0"/>
              <w:jc w:val="left"/>
              <w:textAlignment w:val="auto"/>
              <w:rPr>
                <w:rFonts w:eastAsia="Times New Roman"/>
                <w:i/>
                <w:color w:val="auto"/>
                <w:lang w:val="es-ES" w:eastAsia="en-GB"/>
              </w:rPr>
            </w:pPr>
            <w:r w:rsidRPr="007D224C">
              <w:rPr>
                <w:rFonts w:eastAsia="Times New Roman"/>
                <w:i/>
                <w:color w:val="auto"/>
                <w:lang w:val="es-ES" w:eastAsia="en-GB"/>
              </w:rPr>
              <w:t>International Organization for Standardization</w:t>
            </w:r>
          </w:p>
        </w:tc>
      </w:tr>
      <w:tr w:rsidR="003453B4" w:rsidRPr="00914127" w14:paraId="5371D045"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041B7684" w14:textId="2CBC3761" w:rsidR="003453B4" w:rsidRDefault="003453B4" w:rsidP="002B42AA">
            <w:pPr>
              <w:suppressAutoHyphens w:val="0"/>
              <w:autoSpaceDN/>
              <w:spacing w:before="0" w:after="0"/>
              <w:jc w:val="left"/>
              <w:textAlignment w:val="auto"/>
              <w:rPr>
                <w:rFonts w:eastAsia="Times New Roman"/>
                <w:b/>
                <w:bCs/>
                <w:color w:val="auto"/>
                <w:lang w:val="es-419" w:eastAsia="en-GB"/>
              </w:rPr>
            </w:pPr>
            <w:r>
              <w:rPr>
                <w:rFonts w:eastAsia="Times New Roman"/>
                <w:b/>
                <w:bCs/>
                <w:color w:val="auto"/>
                <w:lang w:val="es-419" w:eastAsia="en-GB"/>
              </w:rPr>
              <w:t>LED</w:t>
            </w:r>
          </w:p>
        </w:tc>
        <w:tc>
          <w:tcPr>
            <w:tcW w:w="3752" w:type="pct"/>
            <w:tcBorders>
              <w:top w:val="nil"/>
              <w:left w:val="nil"/>
              <w:bottom w:val="single" w:sz="8" w:space="0" w:color="555555"/>
              <w:right w:val="single" w:sz="8" w:space="0" w:color="555555"/>
            </w:tcBorders>
            <w:shd w:val="clear" w:color="auto" w:fill="auto"/>
            <w:vAlign w:val="center"/>
          </w:tcPr>
          <w:p w14:paraId="2C9E6412" w14:textId="1E2EDF82" w:rsidR="003453B4" w:rsidRPr="003453B4" w:rsidRDefault="003453B4" w:rsidP="003453B4">
            <w:pPr>
              <w:suppressAutoHyphens w:val="0"/>
              <w:autoSpaceDN/>
              <w:spacing w:before="0" w:after="0"/>
              <w:jc w:val="left"/>
              <w:textAlignment w:val="auto"/>
              <w:rPr>
                <w:rFonts w:eastAsia="Times New Roman"/>
                <w:color w:val="auto"/>
                <w:lang w:val="es-ES" w:eastAsia="en-GB"/>
              </w:rPr>
            </w:pPr>
            <w:r w:rsidRPr="003453B4">
              <w:rPr>
                <w:rFonts w:eastAsia="Times New Roman"/>
                <w:i/>
                <w:color w:val="auto"/>
                <w:lang w:val="es-ES" w:eastAsia="en-GB"/>
              </w:rPr>
              <w:t>Light-emitting Diode Lamp</w:t>
            </w:r>
            <w:r w:rsidRPr="003453B4">
              <w:rPr>
                <w:rFonts w:eastAsia="Times New Roman"/>
                <w:color w:val="auto"/>
                <w:lang w:val="es-ES" w:eastAsia="en-GB"/>
              </w:rPr>
              <w:t xml:space="preserve"> (Lámpara de diodos emisores de luz</w:t>
            </w:r>
            <w:r>
              <w:rPr>
                <w:rFonts w:eastAsia="Times New Roman"/>
                <w:color w:val="auto"/>
                <w:lang w:val="es-ES" w:eastAsia="en-GB"/>
              </w:rPr>
              <w:t>)</w:t>
            </w:r>
          </w:p>
        </w:tc>
      </w:tr>
      <w:tr w:rsidR="003453B4" w:rsidRPr="008641C5" w14:paraId="79D44A4A"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08235DD5" w14:textId="43F7A7B8" w:rsidR="003453B4" w:rsidRDefault="003453B4" w:rsidP="002B42AA">
            <w:pPr>
              <w:suppressAutoHyphens w:val="0"/>
              <w:autoSpaceDN/>
              <w:spacing w:before="0" w:after="0"/>
              <w:jc w:val="left"/>
              <w:textAlignment w:val="auto"/>
              <w:rPr>
                <w:rFonts w:eastAsia="Times New Roman"/>
                <w:b/>
                <w:bCs/>
                <w:color w:val="auto"/>
                <w:lang w:val="es-419" w:eastAsia="en-GB"/>
              </w:rPr>
            </w:pPr>
            <w:r>
              <w:rPr>
                <w:rFonts w:eastAsia="Times New Roman"/>
                <w:b/>
                <w:bCs/>
                <w:color w:val="auto"/>
                <w:lang w:val="es-419" w:eastAsia="en-GB"/>
              </w:rPr>
              <w:t>LFC</w:t>
            </w:r>
          </w:p>
        </w:tc>
        <w:tc>
          <w:tcPr>
            <w:tcW w:w="3752" w:type="pct"/>
            <w:tcBorders>
              <w:top w:val="nil"/>
              <w:left w:val="nil"/>
              <w:bottom w:val="single" w:sz="8" w:space="0" w:color="555555"/>
              <w:right w:val="single" w:sz="8" w:space="0" w:color="555555"/>
            </w:tcBorders>
            <w:shd w:val="clear" w:color="auto" w:fill="auto"/>
            <w:vAlign w:val="center"/>
          </w:tcPr>
          <w:p w14:paraId="4FD35798" w14:textId="089CD492" w:rsidR="003453B4" w:rsidRDefault="003453B4" w:rsidP="002B42AA">
            <w:pPr>
              <w:suppressAutoHyphens w:val="0"/>
              <w:autoSpaceDN/>
              <w:spacing w:before="0" w:after="0"/>
              <w:jc w:val="left"/>
              <w:textAlignment w:val="auto"/>
              <w:rPr>
                <w:rFonts w:eastAsia="Times New Roman"/>
                <w:color w:val="auto"/>
                <w:lang w:val="es-ES" w:eastAsia="en-GB"/>
              </w:rPr>
            </w:pPr>
            <w:r>
              <w:rPr>
                <w:rFonts w:eastAsia="Times New Roman"/>
                <w:color w:val="auto"/>
                <w:lang w:val="es-ES" w:eastAsia="en-GB"/>
              </w:rPr>
              <w:t>Lámpara Fluorescente Compacta</w:t>
            </w:r>
          </w:p>
        </w:tc>
      </w:tr>
      <w:tr w:rsidR="00ED11C6" w:rsidRPr="00914127" w14:paraId="1E0B8243"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1995196E" w14:textId="1B8F6BD8" w:rsidR="00ED11C6" w:rsidRDefault="00ED11C6" w:rsidP="002B42AA">
            <w:pPr>
              <w:suppressAutoHyphens w:val="0"/>
              <w:autoSpaceDN/>
              <w:spacing w:before="0" w:after="0"/>
              <w:jc w:val="left"/>
              <w:textAlignment w:val="auto"/>
              <w:rPr>
                <w:rFonts w:eastAsia="Times New Roman"/>
                <w:b/>
                <w:bCs/>
                <w:color w:val="auto"/>
                <w:lang w:val="es-419" w:eastAsia="en-GB"/>
              </w:rPr>
            </w:pPr>
            <w:r>
              <w:rPr>
                <w:rFonts w:eastAsia="Times New Roman"/>
                <w:b/>
                <w:bCs/>
                <w:color w:val="auto"/>
                <w:lang w:val="es-419" w:eastAsia="en-GB"/>
              </w:rPr>
              <w:t>LFMN</w:t>
            </w:r>
          </w:p>
        </w:tc>
        <w:tc>
          <w:tcPr>
            <w:tcW w:w="3752" w:type="pct"/>
            <w:tcBorders>
              <w:top w:val="nil"/>
              <w:left w:val="nil"/>
              <w:bottom w:val="single" w:sz="8" w:space="0" w:color="555555"/>
              <w:right w:val="single" w:sz="8" w:space="0" w:color="555555"/>
            </w:tcBorders>
            <w:shd w:val="clear" w:color="auto" w:fill="auto"/>
            <w:vAlign w:val="center"/>
          </w:tcPr>
          <w:p w14:paraId="07FD5DFE" w14:textId="056F390E" w:rsidR="00ED11C6" w:rsidRDefault="00ED11C6" w:rsidP="002B42AA">
            <w:pPr>
              <w:suppressAutoHyphens w:val="0"/>
              <w:autoSpaceDN/>
              <w:spacing w:before="0" w:after="0"/>
              <w:jc w:val="left"/>
              <w:textAlignment w:val="auto"/>
              <w:rPr>
                <w:rFonts w:eastAsia="Times New Roman"/>
                <w:color w:val="auto"/>
                <w:lang w:val="es-ES" w:eastAsia="en-GB"/>
              </w:rPr>
            </w:pPr>
            <w:r w:rsidRPr="00ED11C6">
              <w:rPr>
                <w:rFonts w:eastAsia="Times New Roman"/>
                <w:color w:val="auto"/>
                <w:lang w:val="es-ES" w:eastAsia="en-GB"/>
              </w:rPr>
              <w:t>Ley Federal sobre Metrología y Normalización</w:t>
            </w:r>
            <w:r>
              <w:rPr>
                <w:rFonts w:eastAsia="Times New Roman"/>
                <w:color w:val="auto"/>
                <w:lang w:val="es-ES" w:eastAsia="en-GB"/>
              </w:rPr>
              <w:t>, México</w:t>
            </w:r>
          </w:p>
        </w:tc>
      </w:tr>
      <w:tr w:rsidR="007D224C" w:rsidRPr="008641C5" w14:paraId="0AABCA20"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495EC1E5" w14:textId="496F6A76" w:rsidR="007D224C" w:rsidRDefault="007D224C" w:rsidP="002B42AA">
            <w:pPr>
              <w:suppressAutoHyphens w:val="0"/>
              <w:autoSpaceDN/>
              <w:spacing w:before="0" w:after="0"/>
              <w:jc w:val="left"/>
              <w:textAlignment w:val="auto"/>
              <w:rPr>
                <w:rFonts w:eastAsia="Times New Roman"/>
                <w:b/>
                <w:bCs/>
                <w:color w:val="auto"/>
                <w:lang w:val="es-419" w:eastAsia="en-GB"/>
              </w:rPr>
            </w:pPr>
            <w:r>
              <w:rPr>
                <w:rFonts w:eastAsia="Times New Roman"/>
                <w:b/>
                <w:bCs/>
                <w:color w:val="auto"/>
                <w:lang w:val="es-419" w:eastAsia="en-GB"/>
              </w:rPr>
              <w:t>LFL</w:t>
            </w:r>
          </w:p>
        </w:tc>
        <w:tc>
          <w:tcPr>
            <w:tcW w:w="3752" w:type="pct"/>
            <w:tcBorders>
              <w:top w:val="nil"/>
              <w:left w:val="nil"/>
              <w:bottom w:val="single" w:sz="8" w:space="0" w:color="555555"/>
              <w:right w:val="single" w:sz="8" w:space="0" w:color="555555"/>
            </w:tcBorders>
            <w:shd w:val="clear" w:color="auto" w:fill="auto"/>
            <w:vAlign w:val="center"/>
          </w:tcPr>
          <w:p w14:paraId="53414974" w14:textId="30F55CF0" w:rsidR="007D224C" w:rsidRPr="007D224C" w:rsidRDefault="007D224C" w:rsidP="002B42AA">
            <w:pPr>
              <w:suppressAutoHyphens w:val="0"/>
              <w:autoSpaceDN/>
              <w:spacing w:before="0" w:after="0"/>
              <w:jc w:val="left"/>
              <w:textAlignment w:val="auto"/>
              <w:rPr>
                <w:rFonts w:eastAsia="Times New Roman"/>
                <w:color w:val="auto"/>
                <w:lang w:val="es-ES" w:eastAsia="en-GB"/>
              </w:rPr>
            </w:pPr>
            <w:r>
              <w:rPr>
                <w:rFonts w:eastAsia="Times New Roman"/>
                <w:color w:val="auto"/>
                <w:lang w:val="es-ES" w:eastAsia="en-GB"/>
              </w:rPr>
              <w:t>Lámpara Fluorescente Lineal</w:t>
            </w:r>
          </w:p>
        </w:tc>
      </w:tr>
      <w:tr w:rsidR="002B42AA" w:rsidRPr="00914127" w14:paraId="695818D9"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49FEA5C2" w14:textId="32B504BD" w:rsidR="002B42AA" w:rsidRPr="00995668" w:rsidRDefault="007022F8" w:rsidP="002B42AA">
            <w:pPr>
              <w:suppressAutoHyphens w:val="0"/>
              <w:autoSpaceDN/>
              <w:spacing w:before="0" w:after="0"/>
              <w:textAlignment w:val="auto"/>
              <w:rPr>
                <w:rFonts w:eastAsia="Times New Roman"/>
                <w:b/>
                <w:bCs/>
                <w:color w:val="auto"/>
                <w:lang w:val="es-419" w:eastAsia="en-GB"/>
              </w:rPr>
            </w:pPr>
            <w:r w:rsidRPr="00995668">
              <w:rPr>
                <w:rFonts w:eastAsia="Times New Roman"/>
                <w:b/>
                <w:bCs/>
                <w:color w:val="auto"/>
                <w:lang w:val="es-419" w:eastAsia="en-GB"/>
              </w:rPr>
              <w:t>MICI</w:t>
            </w:r>
          </w:p>
        </w:tc>
        <w:tc>
          <w:tcPr>
            <w:tcW w:w="3752" w:type="pct"/>
            <w:tcBorders>
              <w:top w:val="nil"/>
              <w:left w:val="nil"/>
              <w:bottom w:val="single" w:sz="8" w:space="0" w:color="555555"/>
              <w:right w:val="single" w:sz="8" w:space="0" w:color="555555"/>
            </w:tcBorders>
            <w:shd w:val="clear" w:color="auto" w:fill="auto"/>
            <w:vAlign w:val="center"/>
          </w:tcPr>
          <w:p w14:paraId="4929F2E5" w14:textId="25561110" w:rsidR="002B42AA" w:rsidRPr="00995668" w:rsidRDefault="007022F8" w:rsidP="002B42AA">
            <w:pPr>
              <w:suppressAutoHyphens w:val="0"/>
              <w:autoSpaceDN/>
              <w:spacing w:before="0" w:after="0"/>
              <w:jc w:val="left"/>
              <w:textAlignment w:val="auto"/>
              <w:rPr>
                <w:rFonts w:eastAsia="Times New Roman"/>
                <w:color w:val="auto"/>
                <w:lang w:val="es-419" w:eastAsia="en-GB"/>
              </w:rPr>
            </w:pPr>
            <w:r w:rsidRPr="00995668">
              <w:rPr>
                <w:rFonts w:eastAsia="Times New Roman"/>
                <w:color w:val="auto"/>
                <w:lang w:val="es-419" w:eastAsia="en-GB"/>
              </w:rPr>
              <w:t>Ministerio de Comercio e Industrias</w:t>
            </w:r>
          </w:p>
        </w:tc>
      </w:tr>
      <w:tr w:rsidR="00160B12" w:rsidRPr="005831B5" w14:paraId="56B005E4"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41A51D56" w14:textId="65148FF8" w:rsidR="00160B12" w:rsidRDefault="00160B12" w:rsidP="002B42AA">
            <w:pPr>
              <w:suppressAutoHyphens w:val="0"/>
              <w:autoSpaceDN/>
              <w:spacing w:before="0" w:after="0"/>
              <w:textAlignment w:val="auto"/>
              <w:rPr>
                <w:rFonts w:eastAsia="Times New Roman"/>
                <w:b/>
                <w:bCs/>
                <w:color w:val="auto"/>
                <w:lang w:val="es-419" w:eastAsia="en-GB"/>
              </w:rPr>
            </w:pPr>
            <w:r>
              <w:rPr>
                <w:rFonts w:eastAsia="Times New Roman"/>
                <w:b/>
                <w:bCs/>
                <w:color w:val="auto"/>
                <w:lang w:val="es-419" w:eastAsia="en-GB"/>
              </w:rPr>
              <w:t>NIST</w:t>
            </w:r>
          </w:p>
        </w:tc>
        <w:tc>
          <w:tcPr>
            <w:tcW w:w="3752" w:type="pct"/>
            <w:tcBorders>
              <w:top w:val="nil"/>
              <w:left w:val="nil"/>
              <w:bottom w:val="single" w:sz="8" w:space="0" w:color="555555"/>
              <w:right w:val="single" w:sz="8" w:space="0" w:color="555555"/>
            </w:tcBorders>
            <w:shd w:val="clear" w:color="auto" w:fill="auto"/>
            <w:vAlign w:val="center"/>
          </w:tcPr>
          <w:p w14:paraId="76633332" w14:textId="59F0314F" w:rsidR="00160B12" w:rsidRPr="00160B12" w:rsidRDefault="00160B12" w:rsidP="00160B12">
            <w:pPr>
              <w:suppressAutoHyphens w:val="0"/>
              <w:autoSpaceDN/>
              <w:spacing w:before="0" w:after="0"/>
              <w:jc w:val="left"/>
              <w:textAlignment w:val="auto"/>
              <w:rPr>
                <w:rFonts w:eastAsia="Times New Roman"/>
                <w:color w:val="auto"/>
                <w:lang w:eastAsia="en-GB"/>
              </w:rPr>
            </w:pPr>
            <w:r w:rsidRPr="00160B12">
              <w:rPr>
                <w:rFonts w:eastAsia="Times New Roman"/>
                <w:i/>
                <w:color w:val="auto"/>
                <w:lang w:eastAsia="en-GB"/>
              </w:rPr>
              <w:t>National Institute of Standards and Technology</w:t>
            </w:r>
            <w:r w:rsidRPr="00160B12">
              <w:rPr>
                <w:rFonts w:eastAsia="Times New Roman"/>
                <w:color w:val="auto"/>
                <w:lang w:eastAsia="en-GB"/>
              </w:rPr>
              <w:t>, EE.UU</w:t>
            </w:r>
          </w:p>
        </w:tc>
      </w:tr>
      <w:tr w:rsidR="00526D10" w:rsidRPr="005831B5" w14:paraId="4F98E824"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7366B2D2" w14:textId="24D8125F" w:rsidR="00526D10" w:rsidRPr="007D224C" w:rsidRDefault="00526D10" w:rsidP="002B42AA">
            <w:pPr>
              <w:suppressAutoHyphens w:val="0"/>
              <w:autoSpaceDN/>
              <w:spacing w:before="0" w:after="0"/>
              <w:textAlignment w:val="auto"/>
              <w:rPr>
                <w:rFonts w:eastAsia="Times New Roman"/>
                <w:b/>
                <w:bCs/>
                <w:color w:val="auto"/>
                <w:lang w:val="es-419" w:eastAsia="en-GB"/>
              </w:rPr>
            </w:pPr>
            <w:r>
              <w:rPr>
                <w:rFonts w:eastAsia="Times New Roman"/>
                <w:b/>
                <w:bCs/>
                <w:color w:val="auto"/>
                <w:lang w:val="es-419" w:eastAsia="en-GB"/>
              </w:rPr>
              <w:lastRenderedPageBreak/>
              <w:t>NMX</w:t>
            </w:r>
          </w:p>
        </w:tc>
        <w:tc>
          <w:tcPr>
            <w:tcW w:w="3752" w:type="pct"/>
            <w:tcBorders>
              <w:top w:val="nil"/>
              <w:left w:val="nil"/>
              <w:bottom w:val="single" w:sz="8" w:space="0" w:color="555555"/>
              <w:right w:val="single" w:sz="8" w:space="0" w:color="555555"/>
            </w:tcBorders>
            <w:shd w:val="clear" w:color="auto" w:fill="auto"/>
            <w:vAlign w:val="center"/>
          </w:tcPr>
          <w:p w14:paraId="45E72590" w14:textId="1D654A63" w:rsidR="00526D10" w:rsidRPr="007D224C" w:rsidRDefault="00526D10" w:rsidP="002B42AA">
            <w:pPr>
              <w:suppressAutoHyphens w:val="0"/>
              <w:autoSpaceDN/>
              <w:spacing w:before="0" w:after="0"/>
              <w:jc w:val="left"/>
              <w:textAlignment w:val="auto"/>
              <w:rPr>
                <w:rFonts w:eastAsia="Times New Roman"/>
                <w:color w:val="auto"/>
                <w:lang w:val="es-419" w:eastAsia="en-GB"/>
              </w:rPr>
            </w:pPr>
            <w:r>
              <w:rPr>
                <w:rFonts w:eastAsia="Times New Roman"/>
                <w:color w:val="auto"/>
                <w:lang w:val="es-419" w:eastAsia="en-GB"/>
              </w:rPr>
              <w:t>Norma Mexicana</w:t>
            </w:r>
          </w:p>
        </w:tc>
      </w:tr>
      <w:tr w:rsidR="00592AC3" w:rsidRPr="00BC092A" w14:paraId="1CD2A7B2"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091A1642" w14:textId="14C0AA14" w:rsidR="00592AC3" w:rsidRPr="007D224C" w:rsidRDefault="00592AC3" w:rsidP="002B42AA">
            <w:pPr>
              <w:suppressAutoHyphens w:val="0"/>
              <w:autoSpaceDN/>
              <w:spacing w:before="0" w:after="0"/>
              <w:textAlignment w:val="auto"/>
              <w:rPr>
                <w:rFonts w:eastAsia="Times New Roman"/>
                <w:b/>
                <w:bCs/>
                <w:color w:val="auto"/>
                <w:lang w:val="es-419" w:eastAsia="en-GB"/>
              </w:rPr>
            </w:pPr>
            <w:r w:rsidRPr="007D224C">
              <w:rPr>
                <w:rFonts w:eastAsia="Times New Roman"/>
                <w:b/>
                <w:bCs/>
                <w:color w:val="auto"/>
                <w:lang w:val="es-419" w:eastAsia="en-GB"/>
              </w:rPr>
              <w:t>NOM-ENER</w:t>
            </w:r>
          </w:p>
        </w:tc>
        <w:tc>
          <w:tcPr>
            <w:tcW w:w="3752" w:type="pct"/>
            <w:tcBorders>
              <w:top w:val="nil"/>
              <w:left w:val="nil"/>
              <w:bottom w:val="single" w:sz="8" w:space="0" w:color="555555"/>
              <w:right w:val="single" w:sz="8" w:space="0" w:color="555555"/>
            </w:tcBorders>
            <w:shd w:val="clear" w:color="auto" w:fill="auto"/>
            <w:vAlign w:val="center"/>
          </w:tcPr>
          <w:p w14:paraId="48D48A83" w14:textId="0BA1CCFB" w:rsidR="00592AC3" w:rsidRPr="007D224C" w:rsidRDefault="00592AC3" w:rsidP="002B42AA">
            <w:pPr>
              <w:suppressAutoHyphens w:val="0"/>
              <w:autoSpaceDN/>
              <w:spacing w:before="0" w:after="0"/>
              <w:jc w:val="left"/>
              <w:textAlignment w:val="auto"/>
              <w:rPr>
                <w:rFonts w:eastAsia="Times New Roman"/>
                <w:color w:val="auto"/>
                <w:lang w:val="es-419" w:eastAsia="en-GB"/>
              </w:rPr>
            </w:pPr>
            <w:r w:rsidRPr="007D224C">
              <w:rPr>
                <w:rFonts w:eastAsia="Times New Roman"/>
                <w:color w:val="auto"/>
                <w:lang w:val="es-419" w:eastAsia="en-GB"/>
              </w:rPr>
              <w:t>Norma Oficial Mexicana de Eficiencia Energética</w:t>
            </w:r>
          </w:p>
        </w:tc>
      </w:tr>
      <w:tr w:rsidR="00592AC3" w:rsidRPr="007022F8" w14:paraId="1FA9C739"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48481C98" w14:textId="01C5E47C" w:rsidR="00592AC3" w:rsidRPr="00995668" w:rsidRDefault="00F90D16" w:rsidP="002B42AA">
            <w:pPr>
              <w:suppressAutoHyphens w:val="0"/>
              <w:autoSpaceDN/>
              <w:spacing w:before="0" w:after="0"/>
              <w:textAlignment w:val="auto"/>
              <w:rPr>
                <w:rFonts w:eastAsia="Times New Roman"/>
                <w:b/>
                <w:bCs/>
                <w:color w:val="auto"/>
                <w:lang w:val="es-419" w:eastAsia="en-GB"/>
              </w:rPr>
            </w:pPr>
            <w:r w:rsidRPr="00995668">
              <w:rPr>
                <w:rFonts w:eastAsia="Times New Roman"/>
                <w:b/>
                <w:bCs/>
                <w:color w:val="auto"/>
                <w:lang w:val="es-419" w:eastAsia="en-GB"/>
              </w:rPr>
              <w:t>NT</w:t>
            </w:r>
          </w:p>
        </w:tc>
        <w:tc>
          <w:tcPr>
            <w:tcW w:w="3752" w:type="pct"/>
            <w:tcBorders>
              <w:top w:val="nil"/>
              <w:left w:val="nil"/>
              <w:bottom w:val="single" w:sz="8" w:space="0" w:color="555555"/>
              <w:right w:val="single" w:sz="8" w:space="0" w:color="555555"/>
            </w:tcBorders>
            <w:shd w:val="clear" w:color="auto" w:fill="auto"/>
            <w:vAlign w:val="center"/>
          </w:tcPr>
          <w:p w14:paraId="117DBC34" w14:textId="04CBA9E2" w:rsidR="00592AC3" w:rsidRPr="00995668" w:rsidRDefault="00F90D16" w:rsidP="00C72C32">
            <w:pPr>
              <w:suppressAutoHyphens w:val="0"/>
              <w:autoSpaceDN/>
              <w:spacing w:before="0" w:after="0"/>
              <w:jc w:val="left"/>
              <w:textAlignment w:val="auto"/>
              <w:rPr>
                <w:rFonts w:eastAsia="Times New Roman"/>
                <w:color w:val="auto"/>
                <w:lang w:val="es-419" w:eastAsia="en-GB"/>
              </w:rPr>
            </w:pPr>
            <w:r w:rsidRPr="00995668">
              <w:rPr>
                <w:rFonts w:eastAsia="Times New Roman"/>
                <w:color w:val="auto"/>
                <w:lang w:val="es-419" w:eastAsia="en-GB"/>
              </w:rPr>
              <w:t>Norma Técnica</w:t>
            </w:r>
          </w:p>
        </w:tc>
      </w:tr>
      <w:tr w:rsidR="003453B4" w:rsidRPr="00914127" w14:paraId="6FC79639"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7322A6A7" w14:textId="33D25401" w:rsidR="003453B4" w:rsidRPr="00995668" w:rsidRDefault="003453B4" w:rsidP="002B42AA">
            <w:pPr>
              <w:suppressAutoHyphens w:val="0"/>
              <w:autoSpaceDN/>
              <w:spacing w:before="0" w:after="0"/>
              <w:textAlignment w:val="auto"/>
              <w:rPr>
                <w:rFonts w:eastAsia="Times New Roman"/>
                <w:b/>
                <w:bCs/>
                <w:color w:val="auto"/>
                <w:lang w:val="es-419" w:eastAsia="en-GB"/>
              </w:rPr>
            </w:pPr>
            <w:r>
              <w:rPr>
                <w:rFonts w:eastAsia="Times New Roman"/>
                <w:b/>
                <w:bCs/>
                <w:color w:val="auto"/>
                <w:lang w:val="es-419" w:eastAsia="en-GB"/>
              </w:rPr>
              <w:t>OLED</w:t>
            </w:r>
          </w:p>
        </w:tc>
        <w:tc>
          <w:tcPr>
            <w:tcW w:w="3752" w:type="pct"/>
            <w:tcBorders>
              <w:top w:val="nil"/>
              <w:left w:val="nil"/>
              <w:bottom w:val="single" w:sz="8" w:space="0" w:color="555555"/>
              <w:right w:val="single" w:sz="8" w:space="0" w:color="555555"/>
            </w:tcBorders>
            <w:shd w:val="clear" w:color="auto" w:fill="auto"/>
            <w:vAlign w:val="center"/>
          </w:tcPr>
          <w:p w14:paraId="1360486F" w14:textId="08A36B80" w:rsidR="003453B4" w:rsidRPr="00995668" w:rsidRDefault="003453B4" w:rsidP="004928A9">
            <w:pPr>
              <w:suppressAutoHyphens w:val="0"/>
              <w:autoSpaceDN/>
              <w:spacing w:before="0" w:after="0"/>
              <w:jc w:val="left"/>
              <w:textAlignment w:val="auto"/>
              <w:rPr>
                <w:rFonts w:eastAsia="Times New Roman"/>
                <w:color w:val="auto"/>
                <w:lang w:val="es-419" w:eastAsia="en-GB"/>
              </w:rPr>
            </w:pPr>
            <w:r w:rsidRPr="006E65A2">
              <w:rPr>
                <w:rFonts w:eastAsia="Times New Roman"/>
                <w:i/>
                <w:color w:val="auto"/>
                <w:lang w:val="es-419" w:eastAsia="en-GB"/>
              </w:rPr>
              <w:t>Organic Light-emitting Diode Lamp</w:t>
            </w:r>
            <w:r w:rsidRPr="003453B4">
              <w:rPr>
                <w:rFonts w:eastAsia="Times New Roman"/>
                <w:color w:val="auto"/>
                <w:lang w:val="es-419" w:eastAsia="en-GB"/>
              </w:rPr>
              <w:t xml:space="preserve"> (Lámpara de </w:t>
            </w:r>
            <w:r w:rsidR="004928A9">
              <w:rPr>
                <w:rFonts w:eastAsia="Times New Roman"/>
                <w:color w:val="auto"/>
                <w:lang w:val="es-419" w:eastAsia="en-GB"/>
              </w:rPr>
              <w:t>D</w:t>
            </w:r>
            <w:r w:rsidRPr="003453B4">
              <w:rPr>
                <w:rFonts w:eastAsia="Times New Roman"/>
                <w:color w:val="auto"/>
                <w:lang w:val="es-419" w:eastAsia="en-GB"/>
              </w:rPr>
              <w:t xml:space="preserve">iodos </w:t>
            </w:r>
            <w:r w:rsidR="004928A9">
              <w:rPr>
                <w:rFonts w:eastAsia="Times New Roman"/>
                <w:color w:val="auto"/>
                <w:lang w:val="es-419" w:eastAsia="en-GB"/>
              </w:rPr>
              <w:t>O</w:t>
            </w:r>
            <w:r>
              <w:rPr>
                <w:rFonts w:eastAsia="Times New Roman"/>
                <w:color w:val="auto"/>
                <w:lang w:val="es-419" w:eastAsia="en-GB"/>
              </w:rPr>
              <w:t xml:space="preserve">rgánicos </w:t>
            </w:r>
            <w:r w:rsidR="004928A9">
              <w:rPr>
                <w:rFonts w:eastAsia="Times New Roman"/>
                <w:color w:val="auto"/>
                <w:lang w:val="es-419" w:eastAsia="en-GB"/>
              </w:rPr>
              <w:t>E</w:t>
            </w:r>
            <w:r w:rsidRPr="003453B4">
              <w:rPr>
                <w:rFonts w:eastAsia="Times New Roman"/>
                <w:color w:val="auto"/>
                <w:lang w:val="es-419" w:eastAsia="en-GB"/>
              </w:rPr>
              <w:t xml:space="preserve">misores de </w:t>
            </w:r>
            <w:r w:rsidR="004928A9">
              <w:rPr>
                <w:rFonts w:eastAsia="Times New Roman"/>
                <w:color w:val="auto"/>
                <w:lang w:val="es-419" w:eastAsia="en-GB"/>
              </w:rPr>
              <w:t>L</w:t>
            </w:r>
            <w:r w:rsidRPr="003453B4">
              <w:rPr>
                <w:rFonts w:eastAsia="Times New Roman"/>
                <w:color w:val="auto"/>
                <w:lang w:val="es-419" w:eastAsia="en-GB"/>
              </w:rPr>
              <w:t>uz)</w:t>
            </w:r>
          </w:p>
        </w:tc>
      </w:tr>
      <w:tr w:rsidR="00ED459F" w:rsidRPr="00914127" w14:paraId="4A3F1747"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049210B7" w14:textId="7F9DAE5C" w:rsidR="00ED459F" w:rsidRPr="00F62A5D" w:rsidRDefault="00ED459F" w:rsidP="002B42AA">
            <w:pPr>
              <w:suppressAutoHyphens w:val="0"/>
              <w:autoSpaceDN/>
              <w:spacing w:before="0" w:after="0"/>
              <w:textAlignment w:val="auto"/>
              <w:rPr>
                <w:rFonts w:eastAsia="Times New Roman"/>
                <w:b/>
                <w:bCs/>
                <w:color w:val="808080" w:themeColor="background1" w:themeShade="80"/>
                <w:lang w:val="es-419" w:eastAsia="en-GB"/>
              </w:rPr>
            </w:pPr>
            <w:r w:rsidRPr="00F62A5D">
              <w:rPr>
                <w:rFonts w:eastAsia="Times New Roman"/>
                <w:b/>
                <w:bCs/>
                <w:color w:val="auto"/>
                <w:lang w:val="es-419" w:eastAsia="en-GB"/>
              </w:rPr>
              <w:t>PEC</w:t>
            </w:r>
          </w:p>
        </w:tc>
        <w:tc>
          <w:tcPr>
            <w:tcW w:w="3752" w:type="pct"/>
            <w:tcBorders>
              <w:top w:val="nil"/>
              <w:left w:val="nil"/>
              <w:bottom w:val="single" w:sz="8" w:space="0" w:color="555555"/>
              <w:right w:val="single" w:sz="8" w:space="0" w:color="555555"/>
            </w:tcBorders>
            <w:shd w:val="clear" w:color="auto" w:fill="auto"/>
            <w:vAlign w:val="center"/>
          </w:tcPr>
          <w:p w14:paraId="7297F280" w14:textId="097BF515" w:rsidR="00ED459F" w:rsidRPr="00F62A5D" w:rsidRDefault="00ED459F" w:rsidP="00ED459F">
            <w:pPr>
              <w:suppressAutoHyphens w:val="0"/>
              <w:autoSpaceDN/>
              <w:spacing w:before="0" w:after="0"/>
              <w:jc w:val="left"/>
              <w:textAlignment w:val="auto"/>
              <w:rPr>
                <w:rFonts w:eastAsia="Times New Roman"/>
                <w:color w:val="auto"/>
                <w:lang w:val="es-419" w:eastAsia="en-GB"/>
              </w:rPr>
            </w:pPr>
            <w:r w:rsidRPr="00F62A5D">
              <w:rPr>
                <w:rFonts w:eastAsia="Times New Roman"/>
                <w:color w:val="auto"/>
                <w:lang w:val="es-419" w:eastAsia="en-GB"/>
              </w:rPr>
              <w:t>Procedimiento de Evaluación de Conformidad</w:t>
            </w:r>
          </w:p>
        </w:tc>
      </w:tr>
      <w:tr w:rsidR="00543D1A" w:rsidRPr="007022F8" w14:paraId="5F30F31D"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1A8FB4C0" w14:textId="26975DB1" w:rsidR="00543D1A" w:rsidRPr="00995668" w:rsidRDefault="00543D1A" w:rsidP="002B42AA">
            <w:pPr>
              <w:suppressAutoHyphens w:val="0"/>
              <w:autoSpaceDN/>
              <w:spacing w:before="0" w:after="0"/>
              <w:textAlignment w:val="auto"/>
              <w:rPr>
                <w:rFonts w:eastAsia="Times New Roman"/>
                <w:b/>
                <w:bCs/>
                <w:color w:val="auto"/>
                <w:lang w:val="es-419" w:eastAsia="en-GB"/>
              </w:rPr>
            </w:pPr>
            <w:r>
              <w:rPr>
                <w:rFonts w:eastAsia="Times New Roman"/>
                <w:b/>
                <w:bCs/>
                <w:color w:val="auto"/>
                <w:lang w:val="es-419" w:eastAsia="en-GB"/>
              </w:rPr>
              <w:t>QR Code</w:t>
            </w:r>
          </w:p>
        </w:tc>
        <w:tc>
          <w:tcPr>
            <w:tcW w:w="3752" w:type="pct"/>
            <w:tcBorders>
              <w:top w:val="nil"/>
              <w:left w:val="nil"/>
              <w:bottom w:val="single" w:sz="8" w:space="0" w:color="555555"/>
              <w:right w:val="single" w:sz="8" w:space="0" w:color="555555"/>
            </w:tcBorders>
            <w:shd w:val="clear" w:color="auto" w:fill="auto"/>
            <w:vAlign w:val="center"/>
          </w:tcPr>
          <w:p w14:paraId="1615D8F5" w14:textId="60D51912" w:rsidR="00543D1A" w:rsidRPr="00543D1A" w:rsidRDefault="00543D1A" w:rsidP="002B42AA">
            <w:pPr>
              <w:suppressAutoHyphens w:val="0"/>
              <w:autoSpaceDN/>
              <w:spacing w:before="0" w:after="0"/>
              <w:jc w:val="left"/>
              <w:textAlignment w:val="auto"/>
              <w:rPr>
                <w:rFonts w:eastAsia="Times New Roman"/>
                <w:i/>
                <w:color w:val="auto"/>
                <w:lang w:val="es-419" w:eastAsia="en-GB"/>
              </w:rPr>
            </w:pPr>
            <w:r w:rsidRPr="00543D1A">
              <w:rPr>
                <w:rFonts w:eastAsia="Times New Roman"/>
                <w:i/>
                <w:color w:val="auto"/>
                <w:lang w:val="es-419" w:eastAsia="en-GB"/>
              </w:rPr>
              <w:t>Quick Response Code</w:t>
            </w:r>
          </w:p>
        </w:tc>
      </w:tr>
      <w:tr w:rsidR="00F90D16" w:rsidRPr="007022F8" w14:paraId="08D8B09E"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51DF5295" w14:textId="74F905E5" w:rsidR="00F90D16" w:rsidRPr="00995668" w:rsidRDefault="00F90D16" w:rsidP="002B42AA">
            <w:pPr>
              <w:suppressAutoHyphens w:val="0"/>
              <w:autoSpaceDN/>
              <w:spacing w:before="0" w:after="0"/>
              <w:textAlignment w:val="auto"/>
              <w:rPr>
                <w:rFonts w:eastAsia="Times New Roman"/>
                <w:b/>
                <w:bCs/>
                <w:color w:val="auto"/>
                <w:lang w:val="es-419" w:eastAsia="en-GB"/>
              </w:rPr>
            </w:pPr>
            <w:r w:rsidRPr="00995668">
              <w:rPr>
                <w:rFonts w:eastAsia="Times New Roman"/>
                <w:b/>
                <w:bCs/>
                <w:color w:val="auto"/>
                <w:lang w:val="es-419" w:eastAsia="en-GB"/>
              </w:rPr>
              <w:t>RT</w:t>
            </w:r>
          </w:p>
        </w:tc>
        <w:tc>
          <w:tcPr>
            <w:tcW w:w="3752" w:type="pct"/>
            <w:tcBorders>
              <w:top w:val="nil"/>
              <w:left w:val="nil"/>
              <w:bottom w:val="single" w:sz="8" w:space="0" w:color="555555"/>
              <w:right w:val="single" w:sz="8" w:space="0" w:color="555555"/>
            </w:tcBorders>
            <w:shd w:val="clear" w:color="auto" w:fill="auto"/>
            <w:vAlign w:val="center"/>
          </w:tcPr>
          <w:p w14:paraId="7F700E11" w14:textId="58F63097" w:rsidR="00F90D16" w:rsidRPr="00995668" w:rsidRDefault="00F90D16" w:rsidP="002B42AA">
            <w:pPr>
              <w:suppressAutoHyphens w:val="0"/>
              <w:autoSpaceDN/>
              <w:spacing w:before="0" w:after="0"/>
              <w:jc w:val="left"/>
              <w:textAlignment w:val="auto"/>
              <w:rPr>
                <w:rFonts w:eastAsia="Times New Roman"/>
                <w:color w:val="auto"/>
                <w:lang w:val="es-419" w:eastAsia="en-GB"/>
              </w:rPr>
            </w:pPr>
            <w:r w:rsidRPr="00995668">
              <w:rPr>
                <w:rFonts w:eastAsia="Times New Roman"/>
                <w:color w:val="auto"/>
                <w:lang w:val="es-419" w:eastAsia="en-GB"/>
              </w:rPr>
              <w:t>Reglamento Técnico</w:t>
            </w:r>
          </w:p>
        </w:tc>
      </w:tr>
      <w:tr w:rsidR="00D13F23" w:rsidRPr="00914127" w14:paraId="5737BAB1"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6D826180" w14:textId="33A4A366" w:rsidR="00D13F23" w:rsidRPr="00995668" w:rsidRDefault="00D13F23" w:rsidP="002B42AA">
            <w:pPr>
              <w:suppressAutoHyphens w:val="0"/>
              <w:autoSpaceDN/>
              <w:spacing w:before="0" w:after="0"/>
              <w:textAlignment w:val="auto"/>
              <w:rPr>
                <w:rFonts w:eastAsia="Times New Roman"/>
                <w:b/>
                <w:bCs/>
                <w:color w:val="auto"/>
                <w:lang w:val="es-419" w:eastAsia="en-GB"/>
              </w:rPr>
            </w:pPr>
            <w:r w:rsidRPr="00D13F23">
              <w:rPr>
                <w:rFonts w:eastAsia="Times New Roman"/>
                <w:b/>
                <w:bCs/>
                <w:color w:val="auto"/>
                <w:lang w:val="es-419" w:eastAsia="en-GB"/>
              </w:rPr>
              <w:t>SENACYT</w:t>
            </w:r>
          </w:p>
        </w:tc>
        <w:tc>
          <w:tcPr>
            <w:tcW w:w="3752" w:type="pct"/>
            <w:tcBorders>
              <w:top w:val="nil"/>
              <w:left w:val="nil"/>
              <w:bottom w:val="single" w:sz="8" w:space="0" w:color="555555"/>
              <w:right w:val="single" w:sz="8" w:space="0" w:color="555555"/>
            </w:tcBorders>
            <w:shd w:val="clear" w:color="auto" w:fill="auto"/>
            <w:vAlign w:val="center"/>
          </w:tcPr>
          <w:p w14:paraId="3DE3621D" w14:textId="6776117B" w:rsidR="00D13F23" w:rsidRPr="00995668" w:rsidRDefault="00D13F23" w:rsidP="002B42AA">
            <w:pPr>
              <w:suppressAutoHyphens w:val="0"/>
              <w:autoSpaceDN/>
              <w:spacing w:before="0" w:after="0"/>
              <w:jc w:val="left"/>
              <w:textAlignment w:val="auto"/>
              <w:rPr>
                <w:rFonts w:eastAsia="Times New Roman"/>
                <w:color w:val="auto"/>
                <w:lang w:val="es-419" w:eastAsia="en-GB"/>
              </w:rPr>
            </w:pPr>
            <w:r w:rsidRPr="00D13F23">
              <w:rPr>
                <w:rFonts w:eastAsia="Times New Roman"/>
                <w:color w:val="auto"/>
                <w:lang w:val="es-419" w:eastAsia="en-GB"/>
              </w:rPr>
              <w:t>Secretaría Nacional de Ciencia, Tecnología e Innovación</w:t>
            </w:r>
          </w:p>
        </w:tc>
      </w:tr>
      <w:tr w:rsidR="002B42AA" w:rsidRPr="00AC1D94" w14:paraId="0D85BEC3"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29BEBB05" w14:textId="6886559A" w:rsidR="002B42AA" w:rsidRPr="00995668" w:rsidRDefault="007022F8" w:rsidP="002B42AA">
            <w:pPr>
              <w:suppressAutoHyphens w:val="0"/>
              <w:autoSpaceDN/>
              <w:spacing w:before="0" w:after="0"/>
              <w:textAlignment w:val="auto"/>
              <w:rPr>
                <w:rFonts w:eastAsia="Times New Roman"/>
                <w:b/>
                <w:bCs/>
                <w:color w:val="auto"/>
                <w:lang w:val="en-US" w:eastAsia="en-GB"/>
              </w:rPr>
            </w:pPr>
            <w:r w:rsidRPr="00995668">
              <w:rPr>
                <w:rFonts w:eastAsia="Times New Roman"/>
                <w:b/>
                <w:bCs/>
                <w:color w:val="auto"/>
                <w:lang w:val="en-US" w:eastAsia="en-GB"/>
              </w:rPr>
              <w:t>SNE</w:t>
            </w:r>
          </w:p>
        </w:tc>
        <w:tc>
          <w:tcPr>
            <w:tcW w:w="3752" w:type="pct"/>
            <w:tcBorders>
              <w:top w:val="nil"/>
              <w:left w:val="nil"/>
              <w:bottom w:val="single" w:sz="8" w:space="0" w:color="555555"/>
              <w:right w:val="single" w:sz="8" w:space="0" w:color="555555"/>
            </w:tcBorders>
            <w:shd w:val="clear" w:color="auto" w:fill="auto"/>
            <w:vAlign w:val="center"/>
          </w:tcPr>
          <w:p w14:paraId="15197AB9" w14:textId="16E6D47B" w:rsidR="002B42AA" w:rsidRPr="00995668" w:rsidRDefault="007022F8" w:rsidP="002B42AA">
            <w:pPr>
              <w:suppressAutoHyphens w:val="0"/>
              <w:autoSpaceDN/>
              <w:spacing w:before="0" w:after="0"/>
              <w:jc w:val="left"/>
              <w:textAlignment w:val="auto"/>
              <w:rPr>
                <w:rFonts w:eastAsia="Times New Roman"/>
                <w:color w:val="auto"/>
                <w:lang w:val="es-419" w:eastAsia="en-GB"/>
              </w:rPr>
            </w:pPr>
            <w:r w:rsidRPr="00995668">
              <w:rPr>
                <w:rFonts w:eastAsia="Times New Roman"/>
                <w:color w:val="auto"/>
                <w:lang w:val="es-419" w:eastAsia="en-GB"/>
              </w:rPr>
              <w:t>Secretaría Nacional de Energía</w:t>
            </w:r>
          </w:p>
        </w:tc>
      </w:tr>
      <w:tr w:rsidR="002B42AA" w:rsidRPr="004D5058" w14:paraId="28D0977E"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163E3BF1" w14:textId="7B4B6942" w:rsidR="002B42AA" w:rsidRPr="00995668" w:rsidRDefault="00592AC3" w:rsidP="002B42AA">
            <w:pPr>
              <w:suppressAutoHyphens w:val="0"/>
              <w:autoSpaceDN/>
              <w:spacing w:before="0" w:after="0"/>
              <w:textAlignment w:val="auto"/>
              <w:rPr>
                <w:rFonts w:eastAsia="Times New Roman"/>
                <w:b/>
                <w:bCs/>
                <w:color w:val="auto"/>
                <w:lang w:val="es-419" w:eastAsia="en-GB"/>
              </w:rPr>
            </w:pPr>
            <w:r w:rsidRPr="00995668">
              <w:rPr>
                <w:rFonts w:eastAsia="Times New Roman"/>
                <w:b/>
                <w:bCs/>
                <w:color w:val="auto"/>
                <w:lang w:val="es-419" w:eastAsia="en-GB"/>
              </w:rPr>
              <w:t>TdR</w:t>
            </w:r>
          </w:p>
        </w:tc>
        <w:tc>
          <w:tcPr>
            <w:tcW w:w="3752" w:type="pct"/>
            <w:tcBorders>
              <w:top w:val="nil"/>
              <w:left w:val="nil"/>
              <w:bottom w:val="single" w:sz="8" w:space="0" w:color="555555"/>
              <w:right w:val="single" w:sz="8" w:space="0" w:color="555555"/>
            </w:tcBorders>
            <w:shd w:val="clear" w:color="auto" w:fill="auto"/>
            <w:vAlign w:val="center"/>
          </w:tcPr>
          <w:p w14:paraId="6C8E43EC" w14:textId="65E19206" w:rsidR="002B42AA" w:rsidRPr="00995668" w:rsidRDefault="00592AC3" w:rsidP="002B42AA">
            <w:pPr>
              <w:suppressAutoHyphens w:val="0"/>
              <w:autoSpaceDN/>
              <w:spacing w:before="0" w:after="0"/>
              <w:jc w:val="left"/>
              <w:textAlignment w:val="auto"/>
              <w:rPr>
                <w:rFonts w:eastAsia="Times New Roman"/>
                <w:color w:val="auto"/>
                <w:lang w:val="es-419" w:eastAsia="en-GB"/>
              </w:rPr>
            </w:pPr>
            <w:r w:rsidRPr="00995668">
              <w:rPr>
                <w:rFonts w:eastAsia="Times New Roman"/>
                <w:color w:val="auto"/>
                <w:lang w:val="es-419" w:eastAsia="en-GB"/>
              </w:rPr>
              <w:t>Términos de Referencia</w:t>
            </w:r>
          </w:p>
        </w:tc>
      </w:tr>
      <w:tr w:rsidR="00ED2115" w:rsidRPr="004D5058" w14:paraId="58338FEC"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47EF057E" w14:textId="7473DF45" w:rsidR="00ED2115" w:rsidRPr="00995668" w:rsidRDefault="00ED2115" w:rsidP="002B42AA">
            <w:pPr>
              <w:suppressAutoHyphens w:val="0"/>
              <w:autoSpaceDN/>
              <w:spacing w:before="0" w:after="0"/>
              <w:textAlignment w:val="auto"/>
              <w:rPr>
                <w:rFonts w:eastAsia="Times New Roman"/>
                <w:b/>
                <w:bCs/>
                <w:color w:val="auto"/>
                <w:lang w:val="es-419" w:eastAsia="en-GB"/>
              </w:rPr>
            </w:pPr>
            <w:r>
              <w:rPr>
                <w:rFonts w:eastAsia="Times New Roman"/>
                <w:b/>
                <w:bCs/>
                <w:color w:val="auto"/>
                <w:lang w:val="es-419" w:eastAsia="en-GB"/>
              </w:rPr>
              <w:t>UE</w:t>
            </w:r>
          </w:p>
        </w:tc>
        <w:tc>
          <w:tcPr>
            <w:tcW w:w="3752" w:type="pct"/>
            <w:tcBorders>
              <w:top w:val="nil"/>
              <w:left w:val="nil"/>
              <w:bottom w:val="single" w:sz="8" w:space="0" w:color="555555"/>
              <w:right w:val="single" w:sz="8" w:space="0" w:color="555555"/>
            </w:tcBorders>
            <w:shd w:val="clear" w:color="auto" w:fill="auto"/>
            <w:vAlign w:val="center"/>
          </w:tcPr>
          <w:p w14:paraId="37B28F63" w14:textId="2A87A289" w:rsidR="00ED2115" w:rsidRPr="00995668" w:rsidRDefault="00ED2115" w:rsidP="002B42AA">
            <w:pPr>
              <w:suppressAutoHyphens w:val="0"/>
              <w:autoSpaceDN/>
              <w:spacing w:before="0" w:after="0"/>
              <w:jc w:val="left"/>
              <w:textAlignment w:val="auto"/>
              <w:rPr>
                <w:rFonts w:eastAsia="Times New Roman"/>
                <w:color w:val="auto"/>
                <w:lang w:val="es-419" w:eastAsia="en-GB"/>
              </w:rPr>
            </w:pPr>
            <w:r>
              <w:rPr>
                <w:rFonts w:eastAsia="Times New Roman"/>
                <w:color w:val="auto"/>
                <w:lang w:val="es-419" w:eastAsia="en-GB"/>
              </w:rPr>
              <w:t>Unión Europea</w:t>
            </w:r>
          </w:p>
        </w:tc>
      </w:tr>
      <w:tr w:rsidR="00717CBE" w:rsidRPr="004D5058" w14:paraId="33307997"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3533D4FC" w14:textId="3D936962" w:rsidR="00717CBE" w:rsidRDefault="00717CBE" w:rsidP="002B42AA">
            <w:pPr>
              <w:suppressAutoHyphens w:val="0"/>
              <w:autoSpaceDN/>
              <w:spacing w:before="0" w:after="0"/>
              <w:textAlignment w:val="auto"/>
              <w:rPr>
                <w:rFonts w:eastAsia="Times New Roman"/>
                <w:b/>
                <w:bCs/>
                <w:color w:val="auto"/>
                <w:lang w:val="es-419" w:eastAsia="en-GB"/>
              </w:rPr>
            </w:pPr>
            <w:r>
              <w:rPr>
                <w:rFonts w:eastAsia="Times New Roman"/>
                <w:b/>
                <w:bCs/>
                <w:color w:val="auto"/>
                <w:lang w:val="es-419" w:eastAsia="en-GB"/>
              </w:rPr>
              <w:t>UNE</w:t>
            </w:r>
          </w:p>
        </w:tc>
        <w:tc>
          <w:tcPr>
            <w:tcW w:w="3752" w:type="pct"/>
            <w:tcBorders>
              <w:top w:val="nil"/>
              <w:left w:val="nil"/>
              <w:bottom w:val="single" w:sz="8" w:space="0" w:color="555555"/>
              <w:right w:val="single" w:sz="8" w:space="0" w:color="555555"/>
            </w:tcBorders>
            <w:shd w:val="clear" w:color="auto" w:fill="auto"/>
            <w:vAlign w:val="center"/>
          </w:tcPr>
          <w:p w14:paraId="207E9540" w14:textId="6A06C52E" w:rsidR="00717CBE" w:rsidRDefault="00717CBE" w:rsidP="002B42AA">
            <w:pPr>
              <w:suppressAutoHyphens w:val="0"/>
              <w:autoSpaceDN/>
              <w:spacing w:before="0" w:after="0"/>
              <w:jc w:val="left"/>
              <w:textAlignment w:val="auto"/>
              <w:rPr>
                <w:rFonts w:eastAsia="Times New Roman"/>
                <w:color w:val="auto"/>
                <w:lang w:val="es-419" w:eastAsia="en-GB"/>
              </w:rPr>
            </w:pPr>
            <w:r>
              <w:rPr>
                <w:rFonts w:eastAsia="Times New Roman"/>
                <w:color w:val="auto"/>
                <w:lang w:val="es-419" w:eastAsia="en-GB"/>
              </w:rPr>
              <w:t>Asociación Española de Normalización</w:t>
            </w:r>
          </w:p>
        </w:tc>
      </w:tr>
      <w:tr w:rsidR="007D224C" w:rsidRPr="004D5058" w14:paraId="3A773FAB" w14:textId="77777777" w:rsidTr="00AC1D94">
        <w:trPr>
          <w:trHeight w:val="315"/>
        </w:trPr>
        <w:tc>
          <w:tcPr>
            <w:tcW w:w="1248" w:type="pct"/>
            <w:tcBorders>
              <w:top w:val="nil"/>
              <w:left w:val="single" w:sz="8" w:space="0" w:color="555555"/>
              <w:bottom w:val="single" w:sz="8" w:space="0" w:color="555555"/>
              <w:right w:val="single" w:sz="8" w:space="0" w:color="555555"/>
            </w:tcBorders>
            <w:shd w:val="clear" w:color="auto" w:fill="auto"/>
            <w:vAlign w:val="center"/>
          </w:tcPr>
          <w:p w14:paraId="79111292" w14:textId="4AD89891" w:rsidR="007D224C" w:rsidRDefault="007D224C" w:rsidP="002B42AA">
            <w:pPr>
              <w:suppressAutoHyphens w:val="0"/>
              <w:autoSpaceDN/>
              <w:spacing w:before="0" w:after="0"/>
              <w:textAlignment w:val="auto"/>
              <w:rPr>
                <w:rFonts w:eastAsia="Times New Roman"/>
                <w:b/>
                <w:bCs/>
                <w:color w:val="auto"/>
                <w:lang w:val="es-419" w:eastAsia="en-GB"/>
              </w:rPr>
            </w:pPr>
            <w:r>
              <w:rPr>
                <w:rFonts w:eastAsia="Times New Roman"/>
                <w:b/>
                <w:bCs/>
                <w:color w:val="auto"/>
                <w:lang w:val="es-419" w:eastAsia="en-GB"/>
              </w:rPr>
              <w:t>US-DOE</w:t>
            </w:r>
          </w:p>
        </w:tc>
        <w:tc>
          <w:tcPr>
            <w:tcW w:w="3752" w:type="pct"/>
            <w:tcBorders>
              <w:top w:val="nil"/>
              <w:left w:val="nil"/>
              <w:bottom w:val="single" w:sz="8" w:space="0" w:color="555555"/>
              <w:right w:val="single" w:sz="8" w:space="0" w:color="555555"/>
            </w:tcBorders>
            <w:shd w:val="clear" w:color="auto" w:fill="auto"/>
            <w:vAlign w:val="center"/>
          </w:tcPr>
          <w:p w14:paraId="1F0268B2" w14:textId="452864E6" w:rsidR="007D224C" w:rsidRPr="007D224C" w:rsidRDefault="007D224C" w:rsidP="002B42AA">
            <w:pPr>
              <w:suppressAutoHyphens w:val="0"/>
              <w:autoSpaceDN/>
              <w:spacing w:before="0" w:after="0"/>
              <w:jc w:val="left"/>
              <w:textAlignment w:val="auto"/>
              <w:rPr>
                <w:rFonts w:eastAsia="Times New Roman"/>
                <w:color w:val="auto"/>
                <w:lang w:eastAsia="en-GB"/>
              </w:rPr>
            </w:pPr>
            <w:r w:rsidRPr="007D224C">
              <w:rPr>
                <w:rFonts w:eastAsia="Times New Roman"/>
                <w:color w:val="auto"/>
                <w:lang w:eastAsia="en-GB"/>
              </w:rPr>
              <w:t>United States Department of Energy</w:t>
            </w:r>
          </w:p>
        </w:tc>
      </w:tr>
    </w:tbl>
    <w:p w14:paraId="4CECD77B" w14:textId="77777777" w:rsidR="002B42AA" w:rsidRPr="00BC092A" w:rsidRDefault="002B42AA">
      <w:pPr>
        <w:sectPr w:rsidR="002B42AA" w:rsidRPr="00BC092A" w:rsidSect="00984175">
          <w:footerReference w:type="default" r:id="rId13"/>
          <w:pgSz w:w="11906" w:h="16838"/>
          <w:pgMar w:top="1417" w:right="1701" w:bottom="1417" w:left="1701" w:header="708" w:footer="708" w:gutter="0"/>
          <w:cols w:space="720"/>
        </w:sectPr>
      </w:pPr>
    </w:p>
    <w:p w14:paraId="55B2F723" w14:textId="46DBAE8E" w:rsidR="00954AB3" w:rsidRDefault="00954AB3" w:rsidP="001B7308">
      <w:pPr>
        <w:pStyle w:val="MAX"/>
        <w:spacing w:before="100" w:beforeAutospacing="1"/>
        <w:jc w:val="left"/>
        <w:rPr>
          <w:rFonts w:eastAsiaTheme="minorEastAsia"/>
          <w:lang w:val="es-ES"/>
        </w:rPr>
      </w:pPr>
      <w:bookmarkStart w:id="3" w:name="_Toc516145994"/>
      <w:bookmarkStart w:id="4" w:name="_Toc463091792"/>
      <w:bookmarkStart w:id="5" w:name="_Toc465707843"/>
      <w:bookmarkStart w:id="6" w:name="_Toc454792305"/>
      <w:bookmarkStart w:id="7" w:name="_Toc462159541"/>
      <w:r>
        <w:rPr>
          <w:rFonts w:eastAsiaTheme="minorEastAsia"/>
          <w:lang w:val="es-ES"/>
        </w:rPr>
        <w:lastRenderedPageBreak/>
        <w:t>Resumen Ejecutivo</w:t>
      </w:r>
      <w:bookmarkEnd w:id="3"/>
    </w:p>
    <w:p w14:paraId="672645A4" w14:textId="7431ACA0" w:rsidR="00CD1457" w:rsidRDefault="00022E91" w:rsidP="00022E91">
      <w:pPr>
        <w:spacing w:before="0" w:after="140"/>
        <w:rPr>
          <w:lang w:val="es-ES"/>
        </w:rPr>
      </w:pPr>
      <w:r>
        <w:rPr>
          <w:lang w:val="es-ES"/>
        </w:rPr>
        <w:t>De acuerdo a los TdR, e</w:t>
      </w:r>
      <w:r w:rsidRPr="00F50D45">
        <w:rPr>
          <w:lang w:val="es-ES"/>
        </w:rPr>
        <w:t xml:space="preserve">l </w:t>
      </w:r>
      <w:r w:rsidR="001952AA">
        <w:rPr>
          <w:lang w:val="es-ES"/>
        </w:rPr>
        <w:t xml:space="preserve">objetivo de la consultoría es </w:t>
      </w:r>
      <w:r w:rsidRPr="00F50D45">
        <w:rPr>
          <w:lang w:val="es-ES"/>
        </w:rPr>
        <w:t>a</w:t>
      </w:r>
      <w:r>
        <w:rPr>
          <w:lang w:val="es-ES"/>
        </w:rPr>
        <w:t>poyar</w:t>
      </w:r>
      <w:r w:rsidRPr="00F50D45">
        <w:rPr>
          <w:lang w:val="es-ES"/>
        </w:rPr>
        <w:t xml:space="preserve"> al Gobierno de Panamá (GdP) en la evaluación y validación de los proyectos de normas técnicas (</w:t>
      </w:r>
      <w:r>
        <w:rPr>
          <w:lang w:val="es-ES"/>
        </w:rPr>
        <w:t>N</w:t>
      </w:r>
      <w:r w:rsidRPr="00F50D45">
        <w:rPr>
          <w:lang w:val="es-ES"/>
        </w:rPr>
        <w:t>T) y reglamentos técnicos (</w:t>
      </w:r>
      <w:r>
        <w:rPr>
          <w:lang w:val="es-ES"/>
        </w:rPr>
        <w:t>R</w:t>
      </w:r>
      <w:r w:rsidRPr="00F50D45">
        <w:rPr>
          <w:lang w:val="es-ES"/>
        </w:rPr>
        <w:t xml:space="preserve">T) para productos de iluminación, que se encuentran actualmente en desarrollo, en particular </w:t>
      </w:r>
      <w:r>
        <w:rPr>
          <w:lang w:val="es-ES"/>
        </w:rPr>
        <w:t>con</w:t>
      </w:r>
      <w:r w:rsidRPr="00F50D45">
        <w:rPr>
          <w:lang w:val="es-ES"/>
        </w:rPr>
        <w:t xml:space="preserve"> respect</w:t>
      </w:r>
      <w:r>
        <w:rPr>
          <w:lang w:val="es-ES"/>
        </w:rPr>
        <w:t>o</w:t>
      </w:r>
      <w:r w:rsidRPr="00F50D45">
        <w:rPr>
          <w:lang w:val="es-ES"/>
        </w:rPr>
        <w:t xml:space="preserve"> a su alcance, estructura y alineación con otr</w:t>
      </w:r>
      <w:r>
        <w:rPr>
          <w:lang w:val="es-ES"/>
        </w:rPr>
        <w:t>a</w:t>
      </w:r>
      <w:r w:rsidRPr="00F50D45">
        <w:rPr>
          <w:lang w:val="es-ES"/>
        </w:rPr>
        <w:t xml:space="preserve">s </w:t>
      </w:r>
      <w:r>
        <w:rPr>
          <w:lang w:val="es-ES"/>
        </w:rPr>
        <w:t>normas</w:t>
      </w:r>
      <w:r w:rsidRPr="00F50D45">
        <w:rPr>
          <w:lang w:val="es-ES"/>
        </w:rPr>
        <w:t xml:space="preserve"> y reg</w:t>
      </w:r>
      <w:r>
        <w:rPr>
          <w:lang w:val="es-ES"/>
        </w:rPr>
        <w:t>lamentos</w:t>
      </w:r>
      <w:r w:rsidRPr="00F50D45">
        <w:rPr>
          <w:lang w:val="es-ES"/>
        </w:rPr>
        <w:t xml:space="preserve"> nacionales e internacionales</w:t>
      </w:r>
      <w:r w:rsidR="001952AA">
        <w:rPr>
          <w:lang w:val="es-ES"/>
        </w:rPr>
        <w:t>, a través de las siguientes actividades específicas:</w:t>
      </w:r>
    </w:p>
    <w:p w14:paraId="62661C4A" w14:textId="77777777" w:rsidR="001952AA" w:rsidRDefault="001952AA" w:rsidP="001404E7">
      <w:pPr>
        <w:pStyle w:val="BodyText"/>
        <w:numPr>
          <w:ilvl w:val="0"/>
          <w:numId w:val="27"/>
        </w:numPr>
        <w:rPr>
          <w:lang w:val="es-ES"/>
        </w:rPr>
      </w:pPr>
      <w:r>
        <w:rPr>
          <w:lang w:val="es-ES"/>
        </w:rPr>
        <w:t xml:space="preserve">Proporcionar </w:t>
      </w:r>
      <w:r w:rsidRPr="00022E91">
        <w:rPr>
          <w:lang w:val="es-ES"/>
        </w:rPr>
        <w:t>un resumen de las normas y reglamentos de eficiencia energética para productos de iluminación en México, EE.UU. y la Unión Europea</w:t>
      </w:r>
      <w:r>
        <w:rPr>
          <w:lang w:val="es-ES"/>
        </w:rPr>
        <w:t>;</w:t>
      </w:r>
    </w:p>
    <w:p w14:paraId="11B8AD62" w14:textId="6F9F9E90" w:rsidR="001952AA" w:rsidRDefault="001952AA" w:rsidP="001404E7">
      <w:pPr>
        <w:pStyle w:val="BodyText"/>
        <w:numPr>
          <w:ilvl w:val="0"/>
          <w:numId w:val="27"/>
        </w:numPr>
        <w:rPr>
          <w:lang w:val="es-ES"/>
        </w:rPr>
      </w:pPr>
      <w:r>
        <w:rPr>
          <w:lang w:val="es-ES"/>
        </w:rPr>
        <w:t>P</w:t>
      </w:r>
      <w:r w:rsidRPr="00022E91">
        <w:rPr>
          <w:lang w:val="es-ES"/>
        </w:rPr>
        <w:t>resentar a las entidades involucradas principales del GdP (SNE, MICI, CGIEE, Comité Sectorial de Eficiencia Energética) un bosquejo del objetivo, de la metodología propuesta y del alcance de la consultoría</w:t>
      </w:r>
      <w:r>
        <w:rPr>
          <w:lang w:val="es-ES"/>
        </w:rPr>
        <w:t>, incluida</w:t>
      </w:r>
      <w:r w:rsidRPr="001952AA">
        <w:rPr>
          <w:lang w:val="es-ES"/>
        </w:rPr>
        <w:t xml:space="preserve"> una descripción general de las normas y reg</w:t>
      </w:r>
      <w:r w:rsidR="00042AA6">
        <w:rPr>
          <w:lang w:val="es-ES"/>
        </w:rPr>
        <w:t>lamentos</w:t>
      </w:r>
      <w:r w:rsidRPr="001952AA">
        <w:rPr>
          <w:lang w:val="es-ES"/>
        </w:rPr>
        <w:t xml:space="preserve"> de referencia para productos de iluminación de México, EE.UU. y la Unión Europea</w:t>
      </w:r>
      <w:r>
        <w:rPr>
          <w:lang w:val="es-ES"/>
        </w:rPr>
        <w:t>;</w:t>
      </w:r>
    </w:p>
    <w:p w14:paraId="5DC5DAB7" w14:textId="77777777" w:rsidR="001952AA" w:rsidRDefault="001952AA" w:rsidP="001404E7">
      <w:pPr>
        <w:pStyle w:val="BodyText"/>
        <w:numPr>
          <w:ilvl w:val="0"/>
          <w:numId w:val="27"/>
        </w:numPr>
        <w:rPr>
          <w:lang w:val="es-ES"/>
        </w:rPr>
      </w:pPr>
      <w:r>
        <w:rPr>
          <w:lang w:val="es-ES"/>
        </w:rPr>
        <w:t>P</w:t>
      </w:r>
      <w:r w:rsidRPr="001952AA">
        <w:rPr>
          <w:lang w:val="es-ES"/>
        </w:rPr>
        <w:t>roporcionar un análisis del actual borrador del proyecto de NT/RT para productos de iluminación en elaboración</w:t>
      </w:r>
      <w:r>
        <w:rPr>
          <w:lang w:val="es-ES"/>
        </w:rPr>
        <w:t xml:space="preserve">, y </w:t>
      </w:r>
    </w:p>
    <w:p w14:paraId="10811421" w14:textId="38EDB418" w:rsidR="001952AA" w:rsidRPr="00042AA6" w:rsidRDefault="001952AA" w:rsidP="001404E7">
      <w:pPr>
        <w:pStyle w:val="BodyText"/>
        <w:numPr>
          <w:ilvl w:val="0"/>
          <w:numId w:val="27"/>
        </w:numPr>
        <w:rPr>
          <w:lang w:val="es-ES"/>
        </w:rPr>
      </w:pPr>
      <w:r>
        <w:rPr>
          <w:lang w:val="es-ES"/>
        </w:rPr>
        <w:t>P</w:t>
      </w:r>
      <w:r w:rsidRPr="001952AA">
        <w:rPr>
          <w:lang w:val="es-ES"/>
        </w:rPr>
        <w:t>resentar propuestas con respecto</w:t>
      </w:r>
      <w:r>
        <w:rPr>
          <w:lang w:val="es-ES"/>
        </w:rPr>
        <w:t xml:space="preserve"> a</w:t>
      </w:r>
      <w:r w:rsidR="000B20BB">
        <w:rPr>
          <w:lang w:val="es-ES"/>
        </w:rPr>
        <w:t xml:space="preserve">: (i) alcance de la NT/RT, (ii) las normas de medición apropiadas, (iii) los límites de desempeño energético mínimo, </w:t>
      </w:r>
      <w:r w:rsidR="00042AA6">
        <w:rPr>
          <w:lang w:val="es-ES"/>
        </w:rPr>
        <w:t xml:space="preserve">(iv) la </w:t>
      </w:r>
      <w:r w:rsidR="00042AA6" w:rsidRPr="00042AA6">
        <w:rPr>
          <w:lang w:val="es-ES"/>
        </w:rPr>
        <w:t>armonización y alineación, respectivamente, con otras normas y reglamentos nacionales o internacionales</w:t>
      </w:r>
      <w:r w:rsidR="00042AA6">
        <w:rPr>
          <w:lang w:val="es-ES"/>
        </w:rPr>
        <w:t>, (v) los procedimientos de evaluación de la conformidad, (vi) e</w:t>
      </w:r>
      <w:r w:rsidR="00042AA6" w:rsidRPr="00042AA6">
        <w:rPr>
          <w:lang w:val="es-ES"/>
        </w:rPr>
        <w:t>l diseño, contenido y colocación de una etiqueta para productos de iluminación</w:t>
      </w:r>
      <w:r w:rsidR="00042AA6">
        <w:rPr>
          <w:lang w:val="es-ES"/>
        </w:rPr>
        <w:t>, y (vii) la integridad técnica y editorial del documento</w:t>
      </w:r>
      <w:r w:rsidR="00042AA6" w:rsidRPr="00042AA6">
        <w:rPr>
          <w:lang w:val="es-ES"/>
        </w:rPr>
        <w:t>.</w:t>
      </w:r>
    </w:p>
    <w:p w14:paraId="77F55BFF" w14:textId="77777777" w:rsidR="00B12E85" w:rsidRDefault="00B12E85" w:rsidP="001952AA">
      <w:pPr>
        <w:pStyle w:val="BodyText"/>
        <w:rPr>
          <w:lang w:val="es-ES"/>
        </w:rPr>
      </w:pPr>
    </w:p>
    <w:p w14:paraId="42EDED10" w14:textId="6E697FB5" w:rsidR="001952AA" w:rsidRDefault="0056008B" w:rsidP="001952AA">
      <w:pPr>
        <w:pStyle w:val="BodyText"/>
        <w:rPr>
          <w:lang w:val="es-ES"/>
        </w:rPr>
      </w:pPr>
      <w:r>
        <w:rPr>
          <w:lang w:val="es-ES"/>
        </w:rPr>
        <w:t xml:space="preserve">El mercado mundial </w:t>
      </w:r>
      <w:r w:rsidR="00E13A1B">
        <w:rPr>
          <w:lang w:val="es-ES"/>
        </w:rPr>
        <w:t xml:space="preserve">actual </w:t>
      </w:r>
      <w:r>
        <w:rPr>
          <w:lang w:val="es-ES"/>
        </w:rPr>
        <w:t xml:space="preserve">de productos de iluminación se caracteriza por cambios tecnológicos importantes. Luego de casi cien años de predominancia como lámparas para uso general, en particular en el sector residencial, las lámparas incandescentes de filamento de tungsteno fueron sustituidas de forma progresiva por lámparas fluorescentes compactas (LFC), lámparas incandescentes con halógeno y </w:t>
      </w:r>
      <w:r w:rsidRPr="00132B3A">
        <w:rPr>
          <w:lang w:val="es-ES"/>
        </w:rPr>
        <w:t>–</w:t>
      </w:r>
      <w:r>
        <w:rPr>
          <w:lang w:val="es-ES"/>
        </w:rPr>
        <w:t xml:space="preserve"> últimamente </w:t>
      </w:r>
      <w:r w:rsidRPr="003453B4">
        <w:rPr>
          <w:lang w:val="es-ES"/>
        </w:rPr>
        <w:t>–</w:t>
      </w:r>
      <w:r>
        <w:rPr>
          <w:lang w:val="es-ES"/>
        </w:rPr>
        <w:t xml:space="preserve"> por lámparas de diodos emisores de luz (LED, por sus siglas en inglés) y lámparas de diodos orgánicos emisores de luz (OLED). Además, se realizó una transición de lámparas fluorescentes lineales hacia tipos más eficientes (T5) y la sustitución de balastos electromagnéticos hacía electrónicos. En el ámbito de la iluminación de los exteriores, por ejemplo el alumbrado público, se observa también una transición de tecnologías menos eficientes (lámparas de vapor de mercurio</w:t>
      </w:r>
      <w:r w:rsidR="00B12B02">
        <w:rPr>
          <w:lang w:val="es-ES"/>
        </w:rPr>
        <w:t xml:space="preserve"> a alta presión</w:t>
      </w:r>
      <w:r>
        <w:rPr>
          <w:lang w:val="es-ES"/>
        </w:rPr>
        <w:t xml:space="preserve">) hacía lámparas más eficientes, como lámparas de </w:t>
      </w:r>
      <w:r w:rsidRPr="004928A9">
        <w:rPr>
          <w:lang w:val="es-ES"/>
        </w:rPr>
        <w:t>halogenuros metálicos</w:t>
      </w:r>
      <w:r>
        <w:rPr>
          <w:lang w:val="es-ES"/>
        </w:rPr>
        <w:t xml:space="preserve">, </w:t>
      </w:r>
      <w:r w:rsidRPr="00F85C0F">
        <w:rPr>
          <w:lang w:val="es-ES"/>
        </w:rPr>
        <w:t xml:space="preserve">lámparas de sodio </w:t>
      </w:r>
      <w:r w:rsidR="002D0124">
        <w:rPr>
          <w:lang w:val="es-ES"/>
        </w:rPr>
        <w:t>a</w:t>
      </w:r>
      <w:r w:rsidRPr="00F85C0F">
        <w:rPr>
          <w:lang w:val="es-ES"/>
        </w:rPr>
        <w:t xml:space="preserve"> alta presión</w:t>
      </w:r>
      <w:r>
        <w:rPr>
          <w:lang w:val="es-ES"/>
        </w:rPr>
        <w:t xml:space="preserve"> y últimamente lámparas LED.</w:t>
      </w:r>
    </w:p>
    <w:p w14:paraId="57F22949" w14:textId="6055237C" w:rsidR="003810AC" w:rsidRDefault="0056008B" w:rsidP="0056008B">
      <w:pPr>
        <w:suppressAutoHyphens w:val="0"/>
        <w:rPr>
          <w:lang w:val="es-ES"/>
        </w:rPr>
      </w:pPr>
      <w:r w:rsidRPr="0056008B">
        <w:rPr>
          <w:lang w:val="es-ES"/>
        </w:rPr>
        <w:t>Las normas y reglamentos técnicos de DGNTI-COPANIT de eficiencia energética implementados hasta el momento</w:t>
      </w:r>
      <w:r>
        <w:rPr>
          <w:rStyle w:val="FootnoteReference"/>
        </w:rPr>
        <w:footnoteReference w:id="1"/>
      </w:r>
      <w:r w:rsidRPr="0056008B">
        <w:rPr>
          <w:lang w:val="es-ES"/>
        </w:rPr>
        <w:t xml:space="preserve"> siguen, en su estructura y contenido, en gran medida las Normas Oficiales Mexicanas de Eficiencia Energética (NOM-ENER) correspondientes. </w:t>
      </w:r>
      <w:r>
        <w:rPr>
          <w:lang w:val="es-ES"/>
        </w:rPr>
        <w:t xml:space="preserve">Ello significa que las NOM-ENER </w:t>
      </w:r>
      <w:r w:rsidRPr="0056008B">
        <w:rPr>
          <w:lang w:val="es-ES"/>
        </w:rPr>
        <w:t xml:space="preserve">son el referente principal para las NT y RT panameños y merecen obviamente especial atención. </w:t>
      </w:r>
      <w:r>
        <w:rPr>
          <w:lang w:val="es-ES"/>
        </w:rPr>
        <w:t xml:space="preserve">De otra parte, </w:t>
      </w:r>
      <w:r w:rsidR="00E3185F">
        <w:rPr>
          <w:lang w:val="es-ES"/>
        </w:rPr>
        <w:t>t</w:t>
      </w:r>
      <w:r w:rsidRPr="0056008B">
        <w:rPr>
          <w:lang w:val="es-ES"/>
        </w:rPr>
        <w:t xml:space="preserve">omando en consideración el liderazgo internacional de EE.UU. y de la Unión Europea en el ámbito de los reglamentos de desempeño energético mínimo y su influencia en el ámbito internacional y en América Latina, se considera relevante presentar las características principales de estos sistemas y su relevancia tanto para las NOM-ENER como los futuros reglamentos de eficacia </w:t>
      </w:r>
      <w:r w:rsidR="00D4416D">
        <w:rPr>
          <w:lang w:val="es-ES"/>
        </w:rPr>
        <w:t>de lámparas</w:t>
      </w:r>
      <w:r w:rsidRPr="0056008B">
        <w:rPr>
          <w:lang w:val="es-ES"/>
        </w:rPr>
        <w:t xml:space="preserve"> </w:t>
      </w:r>
      <w:r w:rsidRPr="00384C2A">
        <w:rPr>
          <w:lang w:val="es-ES"/>
        </w:rPr>
        <w:t>panameños.</w:t>
      </w:r>
      <w:r w:rsidR="00E3185F" w:rsidRPr="00384C2A">
        <w:rPr>
          <w:lang w:val="es-ES"/>
        </w:rPr>
        <w:t xml:space="preserve"> </w:t>
      </w:r>
      <w:r w:rsidRPr="00384C2A">
        <w:rPr>
          <w:lang w:val="es-ES"/>
        </w:rPr>
        <w:t xml:space="preserve">Además se presentan </w:t>
      </w:r>
      <w:r w:rsidR="00384C2A">
        <w:rPr>
          <w:lang w:val="es-ES"/>
        </w:rPr>
        <w:t xml:space="preserve">en el informe </w:t>
      </w:r>
      <w:r w:rsidRPr="00384C2A">
        <w:rPr>
          <w:lang w:val="es-ES"/>
        </w:rPr>
        <w:t>las normas de medición (métodos de prueba)</w:t>
      </w:r>
      <w:r w:rsidR="00334353">
        <w:rPr>
          <w:lang w:val="es-ES"/>
        </w:rPr>
        <w:t>,</w:t>
      </w:r>
      <w:r w:rsidRPr="00384C2A">
        <w:rPr>
          <w:lang w:val="es-ES"/>
        </w:rPr>
        <w:t xml:space="preserve"> los procedimientos de evaluación de la conformidad </w:t>
      </w:r>
      <w:r w:rsidR="00334353">
        <w:rPr>
          <w:lang w:val="es-ES"/>
        </w:rPr>
        <w:t xml:space="preserve">y </w:t>
      </w:r>
      <w:r w:rsidR="00DD1C8B">
        <w:rPr>
          <w:lang w:val="es-ES"/>
        </w:rPr>
        <w:t>el</w:t>
      </w:r>
      <w:r w:rsidR="00334353">
        <w:rPr>
          <w:lang w:val="es-ES"/>
        </w:rPr>
        <w:t xml:space="preserve"> etiquetado de </w:t>
      </w:r>
      <w:r w:rsidR="00DD1C8B">
        <w:rPr>
          <w:lang w:val="es-ES"/>
        </w:rPr>
        <w:t>las lámparas</w:t>
      </w:r>
      <w:r w:rsidR="00334353">
        <w:rPr>
          <w:lang w:val="es-ES"/>
        </w:rPr>
        <w:t xml:space="preserve"> </w:t>
      </w:r>
      <w:r w:rsidRPr="00384C2A">
        <w:rPr>
          <w:lang w:val="es-ES"/>
        </w:rPr>
        <w:t>aplicados en EE.UU.</w:t>
      </w:r>
      <w:r w:rsidR="00DD1C8B">
        <w:rPr>
          <w:lang w:val="es-ES"/>
        </w:rPr>
        <w:t>, la Unión Europea</w:t>
      </w:r>
      <w:r w:rsidRPr="00384C2A">
        <w:rPr>
          <w:lang w:val="es-ES"/>
        </w:rPr>
        <w:t xml:space="preserve"> y </w:t>
      </w:r>
      <w:r w:rsidR="00DD1C8B">
        <w:rPr>
          <w:lang w:val="es-ES"/>
        </w:rPr>
        <w:t xml:space="preserve">en </w:t>
      </w:r>
      <w:r w:rsidRPr="00384C2A">
        <w:rPr>
          <w:lang w:val="es-ES"/>
        </w:rPr>
        <w:t xml:space="preserve">México, </w:t>
      </w:r>
      <w:r w:rsidR="00D4416D">
        <w:rPr>
          <w:lang w:val="es-ES"/>
        </w:rPr>
        <w:lastRenderedPageBreak/>
        <w:t>así como</w:t>
      </w:r>
      <w:r w:rsidRPr="00384C2A">
        <w:rPr>
          <w:lang w:val="es-ES"/>
        </w:rPr>
        <w:t xml:space="preserve"> las normas </w:t>
      </w:r>
      <w:r w:rsidR="00DD1C8B">
        <w:rPr>
          <w:lang w:val="es-ES"/>
        </w:rPr>
        <w:t xml:space="preserve">de medición internacionales correspondientes a las normas </w:t>
      </w:r>
      <w:r w:rsidRPr="00384C2A">
        <w:rPr>
          <w:lang w:val="es-ES"/>
        </w:rPr>
        <w:t>europeas para productos de iluminación.</w:t>
      </w:r>
      <w:r w:rsidRPr="0056008B">
        <w:rPr>
          <w:lang w:val="es-ES"/>
        </w:rPr>
        <w:t xml:space="preserve"> </w:t>
      </w:r>
    </w:p>
    <w:p w14:paraId="3BD67270" w14:textId="40052D3F" w:rsidR="00B12E85" w:rsidRPr="006710C2" w:rsidRDefault="00B12E85" w:rsidP="006710C2">
      <w:pPr>
        <w:suppressAutoHyphens w:val="0"/>
        <w:autoSpaceDN/>
        <w:spacing w:before="0" w:after="140"/>
        <w:textAlignment w:val="auto"/>
        <w:rPr>
          <w:rFonts w:eastAsia="Calibri"/>
          <w:color w:val="auto"/>
          <w:lang w:val="es-ES"/>
        </w:rPr>
      </w:pPr>
    </w:p>
    <w:p w14:paraId="5A1C7F77" w14:textId="3D3F3911" w:rsidR="003810AC" w:rsidRPr="003810AC" w:rsidRDefault="003810AC" w:rsidP="003810AC">
      <w:pPr>
        <w:suppressAutoHyphens w:val="0"/>
        <w:autoSpaceDN/>
        <w:spacing w:before="0" w:after="140"/>
        <w:textAlignment w:val="auto"/>
        <w:rPr>
          <w:rFonts w:eastAsia="Calibri"/>
          <w:color w:val="auto"/>
          <w:lang w:val="es-ES"/>
        </w:rPr>
      </w:pPr>
      <w:r w:rsidRPr="003810AC">
        <w:rPr>
          <w:rFonts w:eastAsia="Calibri"/>
          <w:color w:val="auto"/>
          <w:lang w:val="es-ES"/>
        </w:rPr>
        <w:t xml:space="preserve">Los reglamentos de desempeño energético mínimo de </w:t>
      </w:r>
      <w:r w:rsidRPr="003810AC">
        <w:rPr>
          <w:rFonts w:eastAsia="Calibri"/>
          <w:b/>
          <w:color w:val="auto"/>
          <w:lang w:val="es-ES"/>
        </w:rPr>
        <w:t>EE.UU.</w:t>
      </w:r>
      <w:r w:rsidRPr="003810AC">
        <w:rPr>
          <w:rFonts w:eastAsia="Calibri"/>
          <w:color w:val="auto"/>
          <w:lang w:val="es-ES"/>
        </w:rPr>
        <w:t xml:space="preserve"> son reglamentos federales (</w:t>
      </w:r>
      <w:r w:rsidRPr="003810AC">
        <w:rPr>
          <w:rFonts w:eastAsia="Calibri"/>
          <w:i/>
          <w:color w:val="auto"/>
          <w:lang w:val="es-ES"/>
        </w:rPr>
        <w:t>Federal regulations</w:t>
      </w:r>
      <w:r w:rsidRPr="003810AC">
        <w:rPr>
          <w:rFonts w:eastAsia="Calibri"/>
          <w:color w:val="auto"/>
          <w:lang w:val="es-ES"/>
        </w:rPr>
        <w:t xml:space="preserve">) que son publicados por el </w:t>
      </w:r>
      <w:r w:rsidR="00986057">
        <w:rPr>
          <w:rFonts w:eastAsia="Calibri"/>
          <w:color w:val="auto"/>
          <w:lang w:val="es-ES"/>
        </w:rPr>
        <w:t>Departamento de Energía (</w:t>
      </w:r>
      <w:r w:rsidRPr="003810AC">
        <w:rPr>
          <w:rFonts w:eastAsia="Calibri"/>
          <w:color w:val="auto"/>
          <w:lang w:val="es-ES"/>
        </w:rPr>
        <w:t>DOE</w:t>
      </w:r>
      <w:r w:rsidR="00986057">
        <w:rPr>
          <w:rFonts w:eastAsia="Calibri"/>
          <w:color w:val="auto"/>
          <w:lang w:val="es-ES"/>
        </w:rPr>
        <w:t xml:space="preserve">) </w:t>
      </w:r>
      <w:r w:rsidRPr="003810AC">
        <w:rPr>
          <w:rFonts w:eastAsia="Calibri"/>
          <w:color w:val="auto"/>
          <w:lang w:val="es-ES"/>
        </w:rPr>
        <w:t>en el Código de Reglamentos Federales (</w:t>
      </w:r>
      <w:r w:rsidRPr="003810AC">
        <w:rPr>
          <w:rFonts w:eastAsia="Calibri"/>
          <w:i/>
          <w:color w:val="auto"/>
          <w:lang w:val="es-ES"/>
        </w:rPr>
        <w:t>Code of Federal Regulations</w:t>
      </w:r>
      <w:r w:rsidRPr="003810AC">
        <w:rPr>
          <w:rFonts w:eastAsia="Calibri"/>
          <w:color w:val="auto"/>
          <w:lang w:val="es-ES"/>
        </w:rPr>
        <w:t>) bajo el rubro "</w:t>
      </w:r>
      <w:r w:rsidRPr="003810AC">
        <w:rPr>
          <w:rFonts w:eastAsia="Calibri"/>
          <w:i/>
          <w:color w:val="auto"/>
          <w:lang w:val="es-ES"/>
        </w:rPr>
        <w:t>Energy and water conservation standards and their compliance dates</w:t>
      </w:r>
      <w:r w:rsidRPr="003810AC">
        <w:rPr>
          <w:rFonts w:eastAsia="Calibri"/>
          <w:color w:val="auto"/>
          <w:lang w:val="es-ES"/>
        </w:rPr>
        <w:t xml:space="preserve">". </w:t>
      </w:r>
    </w:p>
    <w:p w14:paraId="04EB52E6" w14:textId="7ECFBB0A" w:rsidR="00DF03BE" w:rsidRDefault="00FC5762" w:rsidP="00FC5762">
      <w:pPr>
        <w:suppressAutoHyphens w:val="0"/>
        <w:autoSpaceDN/>
        <w:spacing w:before="0" w:after="140"/>
        <w:textAlignment w:val="auto"/>
        <w:rPr>
          <w:lang w:val="es-ES"/>
        </w:rPr>
      </w:pPr>
      <w:r>
        <w:rPr>
          <w:rFonts w:eastAsia="Calibri"/>
          <w:color w:val="auto"/>
          <w:lang w:val="es-ES"/>
        </w:rPr>
        <w:t>En la actualidad existen en EE.UU. reglamentos de desempeño energético mínimo para (i) l</w:t>
      </w:r>
      <w:r w:rsidRPr="00FC5762">
        <w:rPr>
          <w:rFonts w:eastAsia="Calibri"/>
          <w:color w:val="auto"/>
          <w:lang w:val="es-ES"/>
        </w:rPr>
        <w:t>ámparas incandescentes</w:t>
      </w:r>
      <w:r>
        <w:rPr>
          <w:rFonts w:eastAsia="Calibri"/>
          <w:color w:val="auto"/>
          <w:lang w:val="es-ES"/>
        </w:rPr>
        <w:t xml:space="preserve"> e</w:t>
      </w:r>
      <w:r w:rsidRPr="00FC5762">
        <w:rPr>
          <w:rFonts w:eastAsia="Calibri"/>
          <w:color w:val="auto"/>
          <w:lang w:val="es-ES"/>
        </w:rPr>
        <w:t xml:space="preserve"> incandescentes con halógeno para uso general</w:t>
      </w:r>
      <w:r>
        <w:rPr>
          <w:rFonts w:eastAsia="Calibri"/>
          <w:color w:val="auto"/>
          <w:lang w:val="es-ES"/>
        </w:rPr>
        <w:t>, (ii) l</w:t>
      </w:r>
      <w:r w:rsidRPr="00FC5762">
        <w:rPr>
          <w:rFonts w:eastAsia="Calibri"/>
          <w:color w:val="auto"/>
          <w:lang w:val="es-ES"/>
        </w:rPr>
        <w:t>ámparas fluorescentes para uso general</w:t>
      </w:r>
      <w:r>
        <w:rPr>
          <w:rFonts w:eastAsia="Calibri"/>
          <w:color w:val="auto"/>
          <w:lang w:val="es-ES"/>
        </w:rPr>
        <w:t xml:space="preserve"> y l</w:t>
      </w:r>
      <w:r w:rsidRPr="00FC5762">
        <w:rPr>
          <w:rFonts w:eastAsia="Calibri"/>
          <w:color w:val="auto"/>
          <w:lang w:val="es-ES"/>
        </w:rPr>
        <w:t>ámparas incandescentes con reflector</w:t>
      </w:r>
      <w:r>
        <w:rPr>
          <w:rFonts w:eastAsia="Calibri"/>
          <w:color w:val="auto"/>
          <w:lang w:val="es-ES"/>
        </w:rPr>
        <w:t xml:space="preserve">, (iii) </w:t>
      </w:r>
      <w:r w:rsidRPr="00FC5762">
        <w:rPr>
          <w:rFonts w:eastAsia="Calibri"/>
          <w:color w:val="auto"/>
          <w:lang w:val="es-ES"/>
        </w:rPr>
        <w:t>LFC autobalastradas o sin balasto integrado; sin envolvente, con envolvente, sin / con reflector</w:t>
      </w:r>
      <w:r>
        <w:rPr>
          <w:rFonts w:eastAsia="Calibri"/>
          <w:color w:val="auto"/>
          <w:lang w:val="es-ES"/>
        </w:rPr>
        <w:t>, y (iv) b</w:t>
      </w:r>
      <w:r w:rsidRPr="00FC5762">
        <w:rPr>
          <w:rFonts w:eastAsia="Calibri"/>
          <w:color w:val="auto"/>
          <w:lang w:val="es-ES"/>
        </w:rPr>
        <w:t>alastos para lámparas fluorescentes</w:t>
      </w:r>
      <w:r>
        <w:rPr>
          <w:rFonts w:eastAsia="Calibri"/>
          <w:color w:val="auto"/>
          <w:lang w:val="es-ES"/>
        </w:rPr>
        <w:t xml:space="preserve">. </w:t>
      </w:r>
      <w:r w:rsidRPr="00FC5762">
        <w:rPr>
          <w:rFonts w:eastAsia="Calibri"/>
          <w:color w:val="auto"/>
          <w:lang w:val="es-ES"/>
        </w:rPr>
        <w:t xml:space="preserve">Los reglamentos para lámparas incandescentes para uso general y para lámparas fluorescentes para uso general y para lámparas incandescentes con reflector serán </w:t>
      </w:r>
      <w:r w:rsidR="00DD1C8B">
        <w:rPr>
          <w:rFonts w:eastAsia="Calibri"/>
          <w:color w:val="auto"/>
          <w:lang w:val="es-ES"/>
        </w:rPr>
        <w:t xml:space="preserve">probablemente </w:t>
      </w:r>
      <w:r w:rsidRPr="00FC5762">
        <w:rPr>
          <w:rFonts w:eastAsia="Calibri"/>
          <w:color w:val="auto"/>
          <w:lang w:val="es-ES"/>
        </w:rPr>
        <w:t>reemplazados por un nuevo reglamento que define requerimientos mínimos para las siguientes lámparas de uso general (</w:t>
      </w:r>
      <w:r w:rsidRPr="00FC5762">
        <w:rPr>
          <w:rFonts w:eastAsia="Calibri"/>
          <w:i/>
          <w:color w:val="auto"/>
          <w:lang w:val="es-ES"/>
        </w:rPr>
        <w:t>general service lamps</w:t>
      </w:r>
      <w:r w:rsidRPr="00FC5762">
        <w:rPr>
          <w:rFonts w:eastAsia="Calibri"/>
          <w:color w:val="auto"/>
          <w:lang w:val="es-ES"/>
        </w:rPr>
        <w:t>): (i) lámparas incandescentes de uso general, (ii) LFC y (iii) lámparas LED de uso general.</w:t>
      </w:r>
      <w:r w:rsidR="008D01A7">
        <w:rPr>
          <w:rStyle w:val="FootnoteReference"/>
          <w:rFonts w:eastAsia="Calibri"/>
          <w:color w:val="auto"/>
        </w:rPr>
        <w:footnoteReference w:id="2"/>
      </w:r>
      <w:r w:rsidRPr="00FC5762">
        <w:rPr>
          <w:rFonts w:eastAsia="Calibri"/>
          <w:color w:val="auto"/>
          <w:lang w:val="es-ES"/>
        </w:rPr>
        <w:t xml:space="preserve">  El Anexo 3 contiene una compilación de los estándares de desempeño energético mínimo vigentes y propuestos para una selección de lámparas</w:t>
      </w:r>
      <w:r w:rsidR="00DF03BE">
        <w:rPr>
          <w:rFonts w:eastAsia="Calibri"/>
          <w:color w:val="auto"/>
          <w:lang w:val="es-ES"/>
        </w:rPr>
        <w:t xml:space="preserve">, y </w:t>
      </w:r>
      <w:r w:rsidR="00DF03BE" w:rsidRPr="007E0504">
        <w:rPr>
          <w:rFonts w:eastAsia="Calibri"/>
          <w:color w:val="auto"/>
          <w:lang w:val="es-ES"/>
        </w:rPr>
        <w:t>l</w:t>
      </w:r>
      <w:r w:rsidR="00DF03BE" w:rsidRPr="007E0504">
        <w:rPr>
          <w:lang w:val="es-ES"/>
        </w:rPr>
        <w:t xml:space="preserve">a figura 3 muestra los valores límites para algunos tipos de lámparas incluidas en los reglamentos existentes, </w:t>
      </w:r>
      <w:r w:rsidR="007E0504" w:rsidRPr="007E0504">
        <w:rPr>
          <w:lang w:val="es-ES"/>
        </w:rPr>
        <w:t>límites mínimos de</w:t>
      </w:r>
      <w:r w:rsidR="007E0504">
        <w:rPr>
          <w:lang w:val="es-ES"/>
        </w:rPr>
        <w:t>l programa</w:t>
      </w:r>
      <w:r w:rsidR="007E0504" w:rsidRPr="007E0504">
        <w:rPr>
          <w:lang w:val="es-ES"/>
        </w:rPr>
        <w:t xml:space="preserve"> Energy Star</w:t>
      </w:r>
      <w:r w:rsidR="007E0504" w:rsidRPr="007E0504">
        <w:rPr>
          <w:rFonts w:cs="Calibri"/>
          <w:lang w:val="es-ES"/>
        </w:rPr>
        <w:t>®</w:t>
      </w:r>
      <w:r w:rsidR="007E0504" w:rsidRPr="007E0504">
        <w:rPr>
          <w:lang w:val="es-ES"/>
        </w:rPr>
        <w:t xml:space="preserve"> para lámparas omnidireccionales,  </w:t>
      </w:r>
      <w:r w:rsidR="00DF03BE" w:rsidRPr="007E0504">
        <w:rPr>
          <w:lang w:val="es-ES"/>
        </w:rPr>
        <w:t xml:space="preserve">así como la propuesta para el límite de eficacia </w:t>
      </w:r>
      <w:r w:rsidR="00986057" w:rsidRPr="007E0504">
        <w:rPr>
          <w:lang w:val="es-ES"/>
        </w:rPr>
        <w:t>luminosa</w:t>
      </w:r>
      <w:r w:rsidR="00DF03BE" w:rsidRPr="007E0504">
        <w:rPr>
          <w:lang w:val="es-ES"/>
        </w:rPr>
        <w:t xml:space="preserve"> uniforme para las lámparas de uso general incluidas en el nuevo reglamento propuesto</w:t>
      </w:r>
      <w:r w:rsidR="00DF03BE">
        <w:rPr>
          <w:lang w:val="es-ES"/>
        </w:rPr>
        <w:t>.</w:t>
      </w:r>
    </w:p>
    <w:p w14:paraId="70B784A1" w14:textId="18D85954" w:rsidR="00DF03BE" w:rsidRPr="001A609B" w:rsidRDefault="00DF03BE" w:rsidP="001A609B">
      <w:pPr>
        <w:suppressAutoHyphens w:val="0"/>
        <w:autoSpaceDN/>
        <w:spacing w:before="0" w:after="140"/>
        <w:textAlignment w:val="auto"/>
        <w:rPr>
          <w:rFonts w:eastAsia="Calibri"/>
          <w:color w:val="auto"/>
          <w:lang w:val="es-ES"/>
        </w:rPr>
      </w:pPr>
      <w:r>
        <w:rPr>
          <w:rFonts w:eastAsia="Calibri"/>
          <w:color w:val="auto"/>
          <w:lang w:val="es-ES"/>
        </w:rPr>
        <w:t>Existen métodos de prueba (</w:t>
      </w:r>
      <w:r w:rsidRPr="00DF03BE">
        <w:rPr>
          <w:rFonts w:eastAsia="Calibri"/>
          <w:i/>
          <w:color w:val="auto"/>
          <w:lang w:val="es-ES"/>
        </w:rPr>
        <w:t>test procedures</w:t>
      </w:r>
      <w:r>
        <w:rPr>
          <w:rFonts w:eastAsia="Calibri"/>
          <w:color w:val="auto"/>
          <w:lang w:val="es-ES"/>
        </w:rPr>
        <w:t>) para: (</w:t>
      </w:r>
      <w:r w:rsidRPr="003D64EA">
        <w:rPr>
          <w:rFonts w:eastAsia="Calibri"/>
          <w:color w:val="auto"/>
          <w:lang w:val="es-ES"/>
        </w:rPr>
        <w:t>i) lámparas fluorescentes de uso general, lámparas incandescentes de uso general</w:t>
      </w:r>
      <w:r>
        <w:rPr>
          <w:rFonts w:eastAsia="Calibri"/>
          <w:color w:val="auto"/>
          <w:lang w:val="es-ES"/>
        </w:rPr>
        <w:t xml:space="preserve"> y lámparas incandescentes con reflector, (ii) lámparas LED integradas</w:t>
      </w:r>
      <w:r w:rsidR="001A609B">
        <w:rPr>
          <w:rFonts w:eastAsia="Calibri"/>
          <w:color w:val="auto"/>
          <w:lang w:val="es-ES"/>
        </w:rPr>
        <w:t>, (iii) otras lámparas de uso general,</w:t>
      </w:r>
      <w:r>
        <w:rPr>
          <w:rFonts w:eastAsia="Calibri"/>
          <w:color w:val="auto"/>
          <w:lang w:val="es-ES"/>
        </w:rPr>
        <w:t xml:space="preserve"> y (i</w:t>
      </w:r>
      <w:r w:rsidR="001A609B">
        <w:rPr>
          <w:rFonts w:eastAsia="Calibri"/>
          <w:color w:val="auto"/>
          <w:lang w:val="es-ES"/>
        </w:rPr>
        <w:t>v</w:t>
      </w:r>
      <w:r>
        <w:rPr>
          <w:rFonts w:eastAsia="Calibri"/>
          <w:color w:val="auto"/>
          <w:lang w:val="es-ES"/>
        </w:rPr>
        <w:t>) lámparas OLED. Estos métodos de prueba</w:t>
      </w:r>
      <w:r w:rsidR="001A609B">
        <w:rPr>
          <w:rFonts w:eastAsia="Calibri"/>
          <w:color w:val="auto"/>
          <w:lang w:val="es-ES"/>
        </w:rPr>
        <w:t xml:space="preserve"> son publicados por el DOE </w:t>
      </w:r>
      <w:r w:rsidR="001A609B" w:rsidRPr="001A609B">
        <w:rPr>
          <w:rFonts w:eastAsia="Calibri"/>
          <w:color w:val="auto"/>
          <w:lang w:val="es-ES"/>
        </w:rPr>
        <w:t xml:space="preserve">en el Código de Reglamentos Federales </w:t>
      </w:r>
      <w:r w:rsidR="001A609B">
        <w:rPr>
          <w:rFonts w:eastAsia="Calibri"/>
          <w:color w:val="auto"/>
          <w:lang w:val="es-ES"/>
        </w:rPr>
        <w:t xml:space="preserve">bajo el rubro </w:t>
      </w:r>
      <w:r w:rsidR="001A609B" w:rsidRPr="001A609B">
        <w:rPr>
          <w:rFonts w:eastAsia="Calibri"/>
          <w:color w:val="auto"/>
          <w:lang w:val="es-ES"/>
        </w:rPr>
        <w:t>"</w:t>
      </w:r>
      <w:r w:rsidR="001A609B" w:rsidRPr="001A609B">
        <w:rPr>
          <w:rFonts w:eastAsia="Calibri"/>
          <w:i/>
          <w:color w:val="auto"/>
          <w:lang w:val="es-ES"/>
        </w:rPr>
        <w:t>Test procedures for the measurement of energy and water consumption</w:t>
      </w:r>
      <w:r w:rsidR="001A609B" w:rsidRPr="001A609B">
        <w:rPr>
          <w:rFonts w:eastAsia="Calibri"/>
          <w:color w:val="auto"/>
          <w:lang w:val="es-ES"/>
        </w:rPr>
        <w:t xml:space="preserve">", incluidos apéndices </w:t>
      </w:r>
      <w:r w:rsidR="001A609B">
        <w:rPr>
          <w:rFonts w:eastAsia="Calibri"/>
          <w:color w:val="auto"/>
          <w:lang w:val="es-ES"/>
        </w:rPr>
        <w:t>para cada tipo de producto, que i</w:t>
      </w:r>
      <w:r w:rsidR="001A609B" w:rsidRPr="001A609B">
        <w:rPr>
          <w:rFonts w:eastAsia="Calibri"/>
          <w:color w:val="auto"/>
          <w:lang w:val="es-ES"/>
        </w:rPr>
        <w:t>ncorporan por referencia una serie de normas de medición y guías técnicas publicadas por IES y ANSI, además de algunas normas IEC e informes técnicos de la Comisión Internacional de Iluminación (CIE).</w:t>
      </w:r>
      <w:r w:rsidR="001A609B" w:rsidRPr="001A609B">
        <w:rPr>
          <w:lang w:val="es-ES"/>
        </w:rPr>
        <w:t xml:space="preserve"> </w:t>
      </w:r>
      <w:r w:rsidR="001A609B" w:rsidRPr="001A609B">
        <w:rPr>
          <w:rFonts w:eastAsia="Calibri"/>
          <w:color w:val="auto"/>
          <w:lang w:val="es-ES"/>
        </w:rPr>
        <w:t xml:space="preserve">El Anexo </w:t>
      </w:r>
      <w:r w:rsidR="00E21CB6">
        <w:rPr>
          <w:rFonts w:eastAsia="Calibri"/>
          <w:color w:val="auto"/>
          <w:lang w:val="es-ES"/>
        </w:rPr>
        <w:t>8</w:t>
      </w:r>
      <w:r w:rsidR="001A609B" w:rsidRPr="001A609B">
        <w:rPr>
          <w:rFonts w:eastAsia="Calibri"/>
          <w:color w:val="auto"/>
          <w:lang w:val="es-ES"/>
        </w:rPr>
        <w:t xml:space="preserve"> muestra la lista completa de los métodos de prueb</w:t>
      </w:r>
      <w:r w:rsidR="001A609B">
        <w:rPr>
          <w:rFonts w:eastAsia="Calibri"/>
          <w:color w:val="auto"/>
          <w:lang w:val="es-ES"/>
        </w:rPr>
        <w:t>a para productos de iluminación publicados por el DOE</w:t>
      </w:r>
      <w:r w:rsidR="001A609B" w:rsidRPr="001A609B">
        <w:rPr>
          <w:rFonts w:eastAsia="Calibri"/>
          <w:color w:val="auto"/>
          <w:lang w:val="es-ES"/>
        </w:rPr>
        <w:t>, incluidas las normas y guías incorporadas por referencia. Los métodos de IES no son equivalentes con normas internacionales IEC.</w:t>
      </w:r>
    </w:p>
    <w:p w14:paraId="1A9E32C9" w14:textId="77777777" w:rsidR="00EC25BC" w:rsidRDefault="00F87691" w:rsidP="00F87691">
      <w:pPr>
        <w:suppressAutoHyphens w:val="0"/>
        <w:autoSpaceDN/>
        <w:spacing w:before="0" w:after="140"/>
        <w:textAlignment w:val="auto"/>
        <w:rPr>
          <w:rFonts w:eastAsia="Calibri"/>
          <w:color w:val="auto"/>
          <w:lang w:val="es-ES"/>
        </w:rPr>
      </w:pPr>
      <w:r>
        <w:rPr>
          <w:rFonts w:eastAsia="Calibri"/>
          <w:color w:val="auto"/>
          <w:lang w:val="es-ES"/>
        </w:rPr>
        <w:t xml:space="preserve">Los procedimientos para la certificación para cada tipo de lámpara están incluidos en el </w:t>
      </w:r>
      <w:r w:rsidRPr="00040E7F">
        <w:rPr>
          <w:rFonts w:eastAsia="Calibri"/>
          <w:color w:val="auto"/>
          <w:lang w:val="es-ES"/>
        </w:rPr>
        <w:t>Código de Reglamentos Federales (</w:t>
      </w:r>
      <w:r w:rsidRPr="00040E7F">
        <w:rPr>
          <w:rFonts w:eastAsia="Calibri"/>
          <w:i/>
          <w:color w:val="auto"/>
          <w:lang w:val="es-ES"/>
        </w:rPr>
        <w:t>Code of Federal Regulations</w:t>
      </w:r>
      <w:r>
        <w:rPr>
          <w:rFonts w:eastAsia="Calibri"/>
          <w:color w:val="auto"/>
          <w:lang w:val="es-ES"/>
        </w:rPr>
        <w:t xml:space="preserve">) bajo el rubro  </w:t>
      </w:r>
      <w:r w:rsidR="00986057">
        <w:rPr>
          <w:rFonts w:eastAsia="Calibri"/>
          <w:color w:val="auto"/>
          <w:lang w:val="es-ES"/>
        </w:rPr>
        <w:t>"</w:t>
      </w:r>
      <w:r w:rsidRPr="003260C8">
        <w:rPr>
          <w:rFonts w:eastAsia="Calibri"/>
          <w:i/>
          <w:color w:val="auto"/>
          <w:lang w:val="es-ES"/>
        </w:rPr>
        <w:t>Enfor</w:t>
      </w:r>
      <w:r>
        <w:rPr>
          <w:rFonts w:eastAsia="Calibri"/>
          <w:i/>
          <w:color w:val="auto"/>
          <w:lang w:val="es-ES"/>
        </w:rPr>
        <w:t>c</w:t>
      </w:r>
      <w:r w:rsidRPr="003260C8">
        <w:rPr>
          <w:rFonts w:eastAsia="Calibri"/>
          <w:i/>
          <w:color w:val="auto"/>
          <w:lang w:val="es-ES"/>
        </w:rPr>
        <w:t>ement for Consumer Products and Commercial and Industrial Equipment</w:t>
      </w:r>
      <w:r w:rsidR="00986057" w:rsidRPr="00676079">
        <w:rPr>
          <w:rFonts w:eastAsia="Calibri"/>
          <w:color w:val="auto"/>
          <w:lang w:val="es-ES"/>
        </w:rPr>
        <w:t>"</w:t>
      </w:r>
      <w:r>
        <w:rPr>
          <w:rFonts w:eastAsia="Calibri"/>
          <w:i/>
          <w:color w:val="auto"/>
          <w:lang w:val="es-ES"/>
        </w:rPr>
        <w:t>.</w:t>
      </w:r>
      <w:r>
        <w:rPr>
          <w:rFonts w:eastAsia="Calibri"/>
          <w:color w:val="auto"/>
          <w:lang w:val="es-ES"/>
        </w:rPr>
        <w:t xml:space="preserve"> Incluyen estipulaciones con respecto al muestreo, los informes de certificación y la presentación de los datos de los ensayos.</w:t>
      </w:r>
    </w:p>
    <w:p w14:paraId="195876ED" w14:textId="65ECC11F" w:rsidR="00F87691" w:rsidRDefault="00EC25BC" w:rsidP="00F87691">
      <w:pPr>
        <w:suppressAutoHyphens w:val="0"/>
        <w:autoSpaceDN/>
        <w:spacing w:before="0" w:after="140"/>
        <w:textAlignment w:val="auto"/>
        <w:rPr>
          <w:rFonts w:eastAsia="Calibri"/>
          <w:color w:val="auto"/>
          <w:lang w:val="es-ES"/>
        </w:rPr>
      </w:pPr>
      <w:r>
        <w:rPr>
          <w:rFonts w:eastAsia="Calibri"/>
          <w:color w:val="auto"/>
          <w:lang w:val="es-ES"/>
        </w:rPr>
        <w:t>Con respecto al etiquetado, existe la etiqueta "</w:t>
      </w:r>
      <w:r w:rsidRPr="00EC25BC">
        <w:rPr>
          <w:rFonts w:eastAsia="Calibri"/>
          <w:i/>
          <w:color w:val="auto"/>
          <w:lang w:val="es-ES"/>
        </w:rPr>
        <w:t>Lighting facts</w:t>
      </w:r>
      <w:r>
        <w:rPr>
          <w:rFonts w:eastAsia="Calibri"/>
          <w:color w:val="auto"/>
          <w:lang w:val="es-ES"/>
        </w:rPr>
        <w:t xml:space="preserve">", de acuerdo al </w:t>
      </w:r>
      <w:r w:rsidRPr="00EC25BC">
        <w:rPr>
          <w:rFonts w:eastAsia="Calibri"/>
          <w:i/>
          <w:color w:val="auto"/>
          <w:lang w:val="es-ES"/>
        </w:rPr>
        <w:t>Appliance Labeling Rule</w:t>
      </w:r>
      <w:r w:rsidRPr="00EC25BC">
        <w:rPr>
          <w:lang w:val="es-ES"/>
        </w:rPr>
        <w:t xml:space="preserve"> </w:t>
      </w:r>
      <w:r w:rsidRPr="00EC25BC">
        <w:rPr>
          <w:rFonts w:eastAsia="Calibri"/>
          <w:color w:val="auto"/>
          <w:lang w:val="es-ES"/>
        </w:rPr>
        <w:t>de la Comisión Federal de Comerci</w:t>
      </w:r>
      <w:r w:rsidR="00DA1465">
        <w:rPr>
          <w:rFonts w:eastAsia="Calibri"/>
          <w:color w:val="auto"/>
          <w:lang w:val="es-ES"/>
        </w:rPr>
        <w:t>o</w:t>
      </w:r>
      <w:r w:rsidRPr="00EC25BC">
        <w:rPr>
          <w:rFonts w:eastAsia="Calibri"/>
          <w:color w:val="auto"/>
          <w:lang w:val="es-ES"/>
        </w:rPr>
        <w:t xml:space="preserve"> (</w:t>
      </w:r>
      <w:r w:rsidRPr="00EC25BC">
        <w:rPr>
          <w:rFonts w:eastAsia="Calibri"/>
          <w:i/>
          <w:color w:val="auto"/>
          <w:lang w:val="es-ES"/>
        </w:rPr>
        <w:t>Federal Trade Commission</w:t>
      </w:r>
      <w:r w:rsidRPr="00EC25BC">
        <w:rPr>
          <w:rFonts w:eastAsia="Calibri"/>
          <w:color w:val="auto"/>
          <w:lang w:val="es-ES"/>
        </w:rPr>
        <w:t xml:space="preserve"> - FTC)</w:t>
      </w:r>
      <w:r>
        <w:rPr>
          <w:rFonts w:eastAsia="Calibri"/>
          <w:color w:val="auto"/>
          <w:lang w:val="es-ES"/>
        </w:rPr>
        <w:t>. La etiqueta debe adherirse al embalaje de la lámpara y contiene, además de la luminosidad y la potencia de la lámpara, información adicional para el consumidor.</w:t>
      </w:r>
      <w:r w:rsidR="00CF46BD">
        <w:rPr>
          <w:rFonts w:eastAsia="Calibri"/>
          <w:color w:val="auto"/>
          <w:lang w:val="es-ES"/>
        </w:rPr>
        <w:t xml:space="preserve"> Los diseños permitidos de la etiqueta y su contenido se muestran en la figura 4 y el Anexo 4.</w:t>
      </w:r>
      <w:r w:rsidR="00F87691">
        <w:rPr>
          <w:rFonts w:eastAsia="Calibri"/>
          <w:color w:val="auto"/>
          <w:lang w:val="es-ES"/>
        </w:rPr>
        <w:t xml:space="preserve"> </w:t>
      </w:r>
    </w:p>
    <w:p w14:paraId="71E4E3E0" w14:textId="77777777" w:rsidR="00B12E85" w:rsidRDefault="00B12E85" w:rsidP="001E73C1">
      <w:pPr>
        <w:pStyle w:val="BodyText"/>
        <w:rPr>
          <w:lang w:val="es-ES"/>
        </w:rPr>
      </w:pPr>
    </w:p>
    <w:p w14:paraId="3A7765C8" w14:textId="5DD93C23" w:rsidR="001E73C1" w:rsidRDefault="001E73C1" w:rsidP="001E73C1">
      <w:pPr>
        <w:pStyle w:val="BodyText"/>
        <w:rPr>
          <w:lang w:val="es-ES"/>
        </w:rPr>
      </w:pPr>
      <w:r>
        <w:rPr>
          <w:lang w:val="es-ES"/>
        </w:rPr>
        <w:t xml:space="preserve">En la </w:t>
      </w:r>
      <w:r w:rsidRPr="001E58EE">
        <w:rPr>
          <w:b/>
          <w:lang w:val="es-ES"/>
        </w:rPr>
        <w:t>Unión Europea</w:t>
      </w:r>
      <w:r>
        <w:rPr>
          <w:lang w:val="es-ES"/>
        </w:rPr>
        <w:t>, l</w:t>
      </w:r>
      <w:r w:rsidRPr="00BA0535">
        <w:rPr>
          <w:lang w:val="es-ES"/>
        </w:rPr>
        <w:t>os límites de desempeño energético mínimo para productos relacionados con la energía son definidos en los reglamentos de diseño e</w:t>
      </w:r>
      <w:r>
        <w:rPr>
          <w:lang w:val="es-ES"/>
        </w:rPr>
        <w:t>cológico</w:t>
      </w:r>
      <w:r w:rsidRPr="00BA0535">
        <w:rPr>
          <w:lang w:val="es-ES"/>
        </w:rPr>
        <w:t xml:space="preserve"> que son elaborados bajo la Directiva Europea de Diseño Ecológico 2009/125/CE. </w:t>
      </w:r>
      <w:r>
        <w:rPr>
          <w:lang w:val="es-ES"/>
        </w:rPr>
        <w:t>Existen, e</w:t>
      </w:r>
      <w:r w:rsidRPr="001E73C1">
        <w:rPr>
          <w:lang w:val="es-ES"/>
        </w:rPr>
        <w:t>n la actualidad</w:t>
      </w:r>
      <w:r>
        <w:rPr>
          <w:lang w:val="es-ES"/>
        </w:rPr>
        <w:t>, tr</w:t>
      </w:r>
      <w:r w:rsidRPr="001E73C1">
        <w:rPr>
          <w:lang w:val="es-ES"/>
        </w:rPr>
        <w:t>es reglamentos de diseño ecológico para productos de iluminación</w:t>
      </w:r>
      <w:r>
        <w:rPr>
          <w:lang w:val="es-ES"/>
        </w:rPr>
        <w:t xml:space="preserve">: (i) </w:t>
      </w:r>
      <w:r w:rsidRPr="001E73C1">
        <w:rPr>
          <w:lang w:val="es-ES"/>
        </w:rPr>
        <w:t>(CE) 244/2009</w:t>
      </w:r>
      <w:r>
        <w:rPr>
          <w:lang w:val="es-ES"/>
        </w:rPr>
        <w:t xml:space="preserve"> para l</w:t>
      </w:r>
      <w:r w:rsidRPr="001E73C1">
        <w:rPr>
          <w:lang w:val="es-ES"/>
        </w:rPr>
        <w:t xml:space="preserve">ámparas de uso </w:t>
      </w:r>
      <w:r w:rsidRPr="001E73C1">
        <w:rPr>
          <w:lang w:val="es-ES"/>
        </w:rPr>
        <w:lastRenderedPageBreak/>
        <w:t>doméstico</w:t>
      </w:r>
      <w:r>
        <w:rPr>
          <w:lang w:val="es-ES"/>
        </w:rPr>
        <w:t xml:space="preserve"> </w:t>
      </w:r>
      <w:r w:rsidRPr="001E73C1">
        <w:rPr>
          <w:lang w:val="es-ES"/>
        </w:rPr>
        <w:t>no direccionales</w:t>
      </w:r>
      <w:r>
        <w:rPr>
          <w:lang w:val="es-ES"/>
        </w:rPr>
        <w:t xml:space="preserve"> (incluyendo lámparas incandescentes y LFC), (ii)</w:t>
      </w:r>
      <w:r w:rsidRPr="001E73C1">
        <w:rPr>
          <w:lang w:val="es-ES"/>
        </w:rPr>
        <w:t xml:space="preserve"> (CE) 245/2009</w:t>
      </w:r>
      <w:r>
        <w:rPr>
          <w:lang w:val="es-ES"/>
        </w:rPr>
        <w:t xml:space="preserve"> para l</w:t>
      </w:r>
      <w:r w:rsidRPr="001E73C1">
        <w:rPr>
          <w:lang w:val="es-ES"/>
        </w:rPr>
        <w:t>ámparas fluorescentes sin</w:t>
      </w:r>
      <w:r>
        <w:rPr>
          <w:lang w:val="es-ES"/>
        </w:rPr>
        <w:t xml:space="preserve"> </w:t>
      </w:r>
      <w:r w:rsidRPr="001E73C1">
        <w:rPr>
          <w:lang w:val="es-ES"/>
        </w:rPr>
        <w:t>balastos integrados</w:t>
      </w:r>
      <w:r>
        <w:rPr>
          <w:lang w:val="es-ES"/>
        </w:rPr>
        <w:t>, l</w:t>
      </w:r>
      <w:r w:rsidRPr="001E73C1">
        <w:rPr>
          <w:lang w:val="es-ES"/>
        </w:rPr>
        <w:t>ámparas de descarga de</w:t>
      </w:r>
      <w:r>
        <w:rPr>
          <w:lang w:val="es-ES"/>
        </w:rPr>
        <w:t xml:space="preserve"> </w:t>
      </w:r>
      <w:r w:rsidRPr="001E73C1">
        <w:rPr>
          <w:lang w:val="es-ES"/>
        </w:rPr>
        <w:t>alta intensidad</w:t>
      </w:r>
      <w:r>
        <w:rPr>
          <w:lang w:val="es-ES"/>
        </w:rPr>
        <w:t>, b</w:t>
      </w:r>
      <w:r w:rsidRPr="001E73C1">
        <w:rPr>
          <w:lang w:val="es-ES"/>
        </w:rPr>
        <w:t>alastos y luminarias relacionadas</w:t>
      </w:r>
      <w:r>
        <w:rPr>
          <w:lang w:val="es-ES"/>
        </w:rPr>
        <w:t xml:space="preserve">, (iii) </w:t>
      </w:r>
      <w:r w:rsidRPr="001E73C1">
        <w:rPr>
          <w:lang w:val="es-ES"/>
        </w:rPr>
        <w:t>(CE) 1194/2012</w:t>
      </w:r>
      <w:r>
        <w:rPr>
          <w:lang w:val="es-ES"/>
        </w:rPr>
        <w:t xml:space="preserve"> para l</w:t>
      </w:r>
      <w:r w:rsidRPr="001E73C1">
        <w:rPr>
          <w:lang w:val="es-ES"/>
        </w:rPr>
        <w:t>ámparas direccionales</w:t>
      </w:r>
      <w:r>
        <w:rPr>
          <w:lang w:val="es-ES"/>
        </w:rPr>
        <w:t>, l</w:t>
      </w:r>
      <w:r w:rsidRPr="001E73C1">
        <w:rPr>
          <w:lang w:val="es-ES"/>
        </w:rPr>
        <w:t>ámpara</w:t>
      </w:r>
      <w:r>
        <w:rPr>
          <w:lang w:val="es-ES"/>
        </w:rPr>
        <w:t>s</w:t>
      </w:r>
      <w:r w:rsidRPr="001E73C1">
        <w:rPr>
          <w:lang w:val="es-ES"/>
        </w:rPr>
        <w:t xml:space="preserve"> LED y sus equipos</w:t>
      </w:r>
      <w:r>
        <w:rPr>
          <w:lang w:val="es-ES"/>
        </w:rPr>
        <w:t>.</w:t>
      </w:r>
      <w:r w:rsidRPr="001E73C1">
        <w:rPr>
          <w:lang w:val="es-ES"/>
        </w:rPr>
        <w:t xml:space="preserve"> Estos reglamentos</w:t>
      </w:r>
      <w:r w:rsidR="007C6883">
        <w:rPr>
          <w:lang w:val="es-ES"/>
        </w:rPr>
        <w:t xml:space="preserve"> defi</w:t>
      </w:r>
      <w:r w:rsidRPr="001E73C1">
        <w:rPr>
          <w:lang w:val="es-ES"/>
        </w:rPr>
        <w:t>nen para cada tipo de lámpara los límites de desempeño energético mínimo (para varias etapas de aplicación) y los requisitos de funcionalidad</w:t>
      </w:r>
      <w:r w:rsidR="007C6883">
        <w:rPr>
          <w:lang w:val="es-ES"/>
        </w:rPr>
        <w:t>.</w:t>
      </w:r>
    </w:p>
    <w:p w14:paraId="43FBE201" w14:textId="086B84F2" w:rsidR="00D70D47" w:rsidRDefault="007C6883" w:rsidP="00D70D47">
      <w:pPr>
        <w:pStyle w:val="BodyText"/>
        <w:rPr>
          <w:lang w:val="es-ES"/>
        </w:rPr>
      </w:pPr>
      <w:r w:rsidRPr="007C6883">
        <w:rPr>
          <w:lang w:val="es-ES"/>
        </w:rPr>
        <w:t>Estos tres reglamentos serán reemplazados por un solo reglamento para productos de iluminación</w:t>
      </w:r>
      <w:r>
        <w:rPr>
          <w:lang w:val="es-ES"/>
        </w:rPr>
        <w:t xml:space="preserve">, que se encuentra en </w:t>
      </w:r>
      <w:r w:rsidR="005E5EB2">
        <w:rPr>
          <w:lang w:val="es-ES"/>
        </w:rPr>
        <w:t xml:space="preserve">la actualidad en consulta pública, tras concluir las </w:t>
      </w:r>
      <w:r>
        <w:rPr>
          <w:lang w:val="es-ES"/>
        </w:rPr>
        <w:t>discusi</w:t>
      </w:r>
      <w:r w:rsidR="005E5EB2">
        <w:rPr>
          <w:lang w:val="es-ES"/>
        </w:rPr>
        <w:t>ones</w:t>
      </w:r>
      <w:r>
        <w:rPr>
          <w:lang w:val="es-ES"/>
        </w:rPr>
        <w:t xml:space="preserve"> con las partes de interés</w:t>
      </w:r>
      <w:r w:rsidR="005E5EB2">
        <w:rPr>
          <w:lang w:val="es-ES"/>
        </w:rPr>
        <w:t xml:space="preserve"> en el "Foro consultivo"</w:t>
      </w:r>
      <w:r w:rsidR="0054305F">
        <w:rPr>
          <w:lang w:val="es-ES"/>
        </w:rPr>
        <w:t xml:space="preserve"> convocado por la C</w:t>
      </w:r>
      <w:r w:rsidR="003D64EA">
        <w:rPr>
          <w:lang w:val="es-ES"/>
        </w:rPr>
        <w:t xml:space="preserve">omisión </w:t>
      </w:r>
      <w:r w:rsidR="0054305F">
        <w:rPr>
          <w:lang w:val="es-ES"/>
        </w:rPr>
        <w:t>E</w:t>
      </w:r>
      <w:r w:rsidR="003D64EA">
        <w:rPr>
          <w:lang w:val="es-ES"/>
        </w:rPr>
        <w:t>uropea</w:t>
      </w:r>
      <w:r>
        <w:rPr>
          <w:lang w:val="es-ES"/>
        </w:rPr>
        <w:t>.</w:t>
      </w:r>
      <w:r w:rsidR="00D70D47">
        <w:rPr>
          <w:lang w:val="es-ES"/>
        </w:rPr>
        <w:t xml:space="preserve"> Esta nueva propuesta de la C</w:t>
      </w:r>
      <w:r w:rsidR="003D64EA">
        <w:rPr>
          <w:lang w:val="es-ES"/>
        </w:rPr>
        <w:t>E</w:t>
      </w:r>
      <w:r w:rsidR="00D70D47">
        <w:rPr>
          <w:lang w:val="es-ES"/>
        </w:rPr>
        <w:t xml:space="preserve"> prevé la determinación del límite de desempeño mínimo de la lámpara en función de su flujo luminoso, aplicando una sola fórmula para todo tipo de lámparas, tomando en consideración las características específicas de distintos tipos de lámparas a través de coeficientes incluid</w:t>
      </w:r>
      <w:r w:rsidR="0004765F">
        <w:rPr>
          <w:lang w:val="es-ES"/>
        </w:rPr>
        <w:t>o</w:t>
      </w:r>
      <w:r w:rsidR="00D70D47">
        <w:rPr>
          <w:lang w:val="es-ES"/>
        </w:rPr>
        <w:t xml:space="preserve">s en la fórmula. Mientras que los detalles de la propuesta se pueden apreciar el Anexo </w:t>
      </w:r>
      <w:r w:rsidR="00E21CB6">
        <w:rPr>
          <w:lang w:val="es-ES"/>
        </w:rPr>
        <w:t>6</w:t>
      </w:r>
      <w:r w:rsidR="00D70D47">
        <w:rPr>
          <w:lang w:val="es-ES"/>
        </w:rPr>
        <w:t>, l</w:t>
      </w:r>
      <w:r w:rsidR="00D70D47" w:rsidRPr="00CD5F26">
        <w:rPr>
          <w:lang w:val="es-ES"/>
        </w:rPr>
        <w:t xml:space="preserve">a figura </w:t>
      </w:r>
      <w:r w:rsidR="008526E3">
        <w:rPr>
          <w:lang w:val="es-ES"/>
        </w:rPr>
        <w:t>5</w:t>
      </w:r>
      <w:r w:rsidR="00D70D47" w:rsidRPr="00CD5F26">
        <w:rPr>
          <w:lang w:val="es-ES"/>
        </w:rPr>
        <w:t xml:space="preserve"> muestra los valores límites para algunos tipos de lámparas </w:t>
      </w:r>
      <w:r w:rsidR="00D70D47">
        <w:rPr>
          <w:lang w:val="es-ES"/>
        </w:rPr>
        <w:t xml:space="preserve">de acuerdo a esta propuesta. Cabe mencionar que el reglamento propuesto incluye un espectro amplio de lámparas, incluidas lámparas de uso general, LFC, lámparas LED y OLED, lámparas fluorescentes lineales y lámparas </w:t>
      </w:r>
      <w:r w:rsidR="00D70D47" w:rsidRPr="00C21981">
        <w:rPr>
          <w:lang w:val="es-ES"/>
        </w:rPr>
        <w:t>de descarga de alta intensidad</w:t>
      </w:r>
      <w:r w:rsidR="00D70D47">
        <w:rPr>
          <w:lang w:val="es-ES"/>
        </w:rPr>
        <w:t>.</w:t>
      </w:r>
    </w:p>
    <w:p w14:paraId="2411642B" w14:textId="1FD7F07D" w:rsidR="001E58EE" w:rsidRPr="001E58EE" w:rsidRDefault="001E58EE" w:rsidP="001E58EE">
      <w:pPr>
        <w:suppressAutoHyphens w:val="0"/>
        <w:rPr>
          <w:rFonts w:asciiTheme="minorHAnsi" w:eastAsia="Calibri" w:hAnsiTheme="minorHAnsi" w:cstheme="minorHAnsi"/>
          <w:color w:val="auto"/>
          <w:lang w:val="es-ES"/>
        </w:rPr>
      </w:pPr>
      <w:r w:rsidRPr="001E58EE">
        <w:rPr>
          <w:rFonts w:asciiTheme="minorHAnsi" w:eastAsia="Calibri" w:hAnsiTheme="minorHAnsi" w:cstheme="minorHAnsi"/>
          <w:color w:val="auto"/>
          <w:lang w:val="es-ES"/>
        </w:rPr>
        <w:t>Paralelo a la publicación de los reglamentos (CE) 244/2009, (CE) 245/2009 y (CE) 1194/2009, la Comisión Europea ha encomendad</w:t>
      </w:r>
      <w:r w:rsidR="00676079">
        <w:rPr>
          <w:rFonts w:asciiTheme="minorHAnsi" w:eastAsia="Calibri" w:hAnsiTheme="minorHAnsi" w:cstheme="minorHAnsi"/>
          <w:color w:val="auto"/>
          <w:lang w:val="es-ES"/>
        </w:rPr>
        <w:t>o</w:t>
      </w:r>
      <w:r w:rsidRPr="001E58EE">
        <w:rPr>
          <w:rFonts w:asciiTheme="minorHAnsi" w:eastAsia="Calibri" w:hAnsiTheme="minorHAnsi" w:cstheme="minorHAnsi"/>
          <w:color w:val="auto"/>
          <w:lang w:val="es-ES"/>
        </w:rPr>
        <w:t xml:space="preserve"> a los organismos de normalización europeos la elaboración</w:t>
      </w:r>
      <w:r w:rsidR="00DA557E">
        <w:rPr>
          <w:rFonts w:asciiTheme="minorHAnsi" w:eastAsia="Calibri" w:hAnsiTheme="minorHAnsi" w:cstheme="minorHAnsi"/>
          <w:color w:val="auto"/>
          <w:lang w:val="es-ES"/>
        </w:rPr>
        <w:t xml:space="preserve"> y revisión,</w:t>
      </w:r>
      <w:r w:rsidRPr="001E58EE">
        <w:rPr>
          <w:rFonts w:asciiTheme="minorHAnsi" w:eastAsia="Calibri" w:hAnsiTheme="minorHAnsi" w:cstheme="minorHAnsi"/>
          <w:color w:val="auto"/>
          <w:lang w:val="es-ES"/>
        </w:rPr>
        <w:t xml:space="preserve"> respectivamente</w:t>
      </w:r>
      <w:r w:rsidR="00DA557E">
        <w:rPr>
          <w:rFonts w:asciiTheme="minorHAnsi" w:eastAsia="Calibri" w:hAnsiTheme="minorHAnsi" w:cstheme="minorHAnsi"/>
          <w:color w:val="auto"/>
          <w:lang w:val="es-ES"/>
        </w:rPr>
        <w:t>,</w:t>
      </w:r>
      <w:r w:rsidRPr="001E58EE">
        <w:rPr>
          <w:rFonts w:asciiTheme="minorHAnsi" w:eastAsia="Calibri" w:hAnsiTheme="minorHAnsi" w:cstheme="minorHAnsi"/>
          <w:color w:val="auto"/>
          <w:lang w:val="es-ES"/>
        </w:rPr>
        <w:t xml:space="preserve"> de normas europeas (EN) armonizadas para los tipos de lámparas regulados por los reglamentos. El Anexo </w:t>
      </w:r>
      <w:r w:rsidR="00E21CB6">
        <w:rPr>
          <w:rFonts w:asciiTheme="minorHAnsi" w:eastAsia="Calibri" w:hAnsiTheme="minorHAnsi" w:cstheme="minorHAnsi"/>
          <w:color w:val="auto"/>
          <w:lang w:val="es-ES"/>
        </w:rPr>
        <w:t>9</w:t>
      </w:r>
      <w:r w:rsidRPr="001E58EE">
        <w:rPr>
          <w:rFonts w:asciiTheme="minorHAnsi" w:eastAsia="Calibri" w:hAnsiTheme="minorHAnsi" w:cstheme="minorHAnsi"/>
          <w:color w:val="auto"/>
          <w:lang w:val="es-ES"/>
        </w:rPr>
        <w:t xml:space="preserve"> </w:t>
      </w:r>
      <w:r>
        <w:rPr>
          <w:rFonts w:asciiTheme="minorHAnsi" w:eastAsia="Calibri" w:hAnsiTheme="minorHAnsi" w:cstheme="minorHAnsi"/>
          <w:color w:val="auto"/>
          <w:lang w:val="es-ES"/>
        </w:rPr>
        <w:t xml:space="preserve">y la tabla 4 </w:t>
      </w:r>
      <w:r w:rsidRPr="001E58EE">
        <w:rPr>
          <w:rFonts w:asciiTheme="minorHAnsi" w:eastAsia="Calibri" w:hAnsiTheme="minorHAnsi" w:cstheme="minorHAnsi"/>
          <w:color w:val="auto"/>
          <w:lang w:val="es-ES"/>
        </w:rPr>
        <w:t>muestra</w:t>
      </w:r>
      <w:r>
        <w:rPr>
          <w:rFonts w:asciiTheme="minorHAnsi" w:eastAsia="Calibri" w:hAnsiTheme="minorHAnsi" w:cstheme="minorHAnsi"/>
          <w:color w:val="auto"/>
          <w:lang w:val="es-ES"/>
        </w:rPr>
        <w:t>n</w:t>
      </w:r>
      <w:r w:rsidRPr="001E58EE">
        <w:rPr>
          <w:rFonts w:asciiTheme="minorHAnsi" w:eastAsia="Calibri" w:hAnsiTheme="minorHAnsi" w:cstheme="minorHAnsi"/>
          <w:color w:val="auto"/>
          <w:lang w:val="es-ES"/>
        </w:rPr>
        <w:t xml:space="preserve"> las normas europeas (EN) </w:t>
      </w:r>
      <w:r>
        <w:rPr>
          <w:rFonts w:asciiTheme="minorHAnsi" w:eastAsia="Calibri" w:hAnsiTheme="minorHAnsi" w:cstheme="minorHAnsi"/>
          <w:color w:val="auto"/>
          <w:lang w:val="es-ES"/>
        </w:rPr>
        <w:t>principales</w:t>
      </w:r>
      <w:r w:rsidRPr="001E58EE">
        <w:rPr>
          <w:rFonts w:asciiTheme="minorHAnsi" w:eastAsia="Calibri" w:hAnsiTheme="minorHAnsi" w:cstheme="minorHAnsi"/>
          <w:color w:val="auto"/>
          <w:lang w:val="es-ES"/>
        </w:rPr>
        <w:t xml:space="preserve"> publicados e vigentes, incluidas sus últimas modificaciones</w:t>
      </w:r>
      <w:r>
        <w:rPr>
          <w:rFonts w:asciiTheme="minorHAnsi" w:eastAsia="Calibri" w:hAnsiTheme="minorHAnsi" w:cstheme="minorHAnsi"/>
          <w:color w:val="auto"/>
          <w:lang w:val="es-ES"/>
        </w:rPr>
        <w:t xml:space="preserve">, y las normas internacionales IEC correspondientes, que son en </w:t>
      </w:r>
      <w:r w:rsidR="00CF46BD">
        <w:rPr>
          <w:rFonts w:asciiTheme="minorHAnsi" w:eastAsia="Calibri" w:hAnsiTheme="minorHAnsi" w:cstheme="minorHAnsi"/>
          <w:color w:val="auto"/>
          <w:lang w:val="es-ES"/>
        </w:rPr>
        <w:t>general</w:t>
      </w:r>
      <w:r>
        <w:rPr>
          <w:rFonts w:asciiTheme="minorHAnsi" w:eastAsia="Calibri" w:hAnsiTheme="minorHAnsi" w:cstheme="minorHAnsi"/>
          <w:color w:val="auto"/>
          <w:lang w:val="es-ES"/>
        </w:rPr>
        <w:t xml:space="preserve"> equivalentes a las normas EN</w:t>
      </w:r>
      <w:r w:rsidRPr="001E58EE">
        <w:rPr>
          <w:rFonts w:asciiTheme="minorHAnsi" w:eastAsia="Calibri" w:hAnsiTheme="minorHAnsi" w:cstheme="minorHAnsi"/>
          <w:color w:val="auto"/>
          <w:lang w:val="es-ES"/>
        </w:rPr>
        <w:t xml:space="preserve">. </w:t>
      </w:r>
    </w:p>
    <w:p w14:paraId="3CB3A53E" w14:textId="77777777" w:rsidR="00CF46BD" w:rsidRDefault="001E58EE" w:rsidP="00ED50B1">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 xml:space="preserve">De acuerdo a la Directiva 2009/125/CE de diseño ecológico, se permiten dos métodos de evaluación de la conformidad: (i) Control interno de diseño, y (ii) </w:t>
      </w:r>
      <w:r w:rsidRPr="001C4AF3">
        <w:rPr>
          <w:rFonts w:asciiTheme="minorHAnsi" w:eastAsia="Calibri" w:hAnsiTheme="minorHAnsi" w:cstheme="minorHAnsi"/>
          <w:color w:val="auto"/>
          <w:lang w:val="es-ES"/>
        </w:rPr>
        <w:t>Sistema de gestión para la evaluación de la conformidad</w:t>
      </w:r>
      <w:r>
        <w:rPr>
          <w:rFonts w:asciiTheme="minorHAnsi" w:eastAsia="Calibri" w:hAnsiTheme="minorHAnsi" w:cstheme="minorHAnsi"/>
          <w:color w:val="auto"/>
          <w:lang w:val="es-ES"/>
        </w:rPr>
        <w:t>. Ambos procedimientos son confirmados como válidos como procedimientos de evaluación de la conformidad en los reglamentos de diseño ecológica específicos (CE) 244/2009, (CE) 245/2009 y (CE) 1194/2012.</w:t>
      </w:r>
    </w:p>
    <w:p w14:paraId="74B48322" w14:textId="38F74ACD" w:rsidR="001E58EE" w:rsidRDefault="00CF46BD" w:rsidP="00ED50B1">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 xml:space="preserve">De acuerdo a la Directiva </w:t>
      </w:r>
      <w:r w:rsidRPr="00CF46BD">
        <w:rPr>
          <w:rFonts w:asciiTheme="minorHAnsi" w:eastAsia="Calibri" w:hAnsiTheme="minorHAnsi" w:cstheme="minorHAnsi"/>
          <w:color w:val="auto"/>
          <w:lang w:val="es-ES"/>
        </w:rPr>
        <w:t>2010/30/UE</w:t>
      </w:r>
      <w:r>
        <w:rPr>
          <w:rFonts w:asciiTheme="minorHAnsi" w:eastAsia="Calibri" w:hAnsiTheme="minorHAnsi" w:cstheme="minorHAnsi"/>
          <w:color w:val="auto"/>
          <w:lang w:val="es-ES"/>
        </w:rPr>
        <w:t xml:space="preserve"> de Etiquetado Energético</w:t>
      </w:r>
      <w:r w:rsidR="000D1246">
        <w:rPr>
          <w:rStyle w:val="FootnoteReference"/>
          <w:rFonts w:asciiTheme="minorHAnsi" w:eastAsia="Calibri" w:hAnsiTheme="minorHAnsi" w:cstheme="minorHAnsi"/>
          <w:color w:val="auto"/>
        </w:rPr>
        <w:footnoteReference w:id="3"/>
      </w:r>
      <w:r>
        <w:rPr>
          <w:rFonts w:asciiTheme="minorHAnsi" w:eastAsia="Calibri" w:hAnsiTheme="minorHAnsi" w:cstheme="minorHAnsi"/>
          <w:color w:val="auto"/>
          <w:lang w:val="es-ES"/>
        </w:rPr>
        <w:t xml:space="preserve"> y el Reglamento Delegado (UE) 874/2012, se requiere colocar la etiqueta energética en el embalaje de la lámpara. L</w:t>
      </w:r>
      <w:r w:rsidR="00E04808">
        <w:rPr>
          <w:rFonts w:asciiTheme="minorHAnsi" w:eastAsia="Calibri" w:hAnsiTheme="minorHAnsi" w:cstheme="minorHAnsi"/>
          <w:color w:val="auto"/>
          <w:lang w:val="es-ES"/>
        </w:rPr>
        <w:t>a</w:t>
      </w:r>
      <w:r>
        <w:rPr>
          <w:rFonts w:asciiTheme="minorHAnsi" w:eastAsia="Calibri" w:hAnsiTheme="minorHAnsi" w:cstheme="minorHAnsi"/>
          <w:color w:val="auto"/>
          <w:lang w:val="es-ES"/>
        </w:rPr>
        <w:t xml:space="preserve"> etiqueta indica la clase de eficiencia energética de la lámpara, además de información sobre el consumo de energía ponderado. Tanto la Directiva y el Reglamento de etiquetado como los actos legales correspondientes de diseño ecológico requieren la inclusión de información adicional al consumidor en el embalaje de la lámpara</w:t>
      </w:r>
      <w:r w:rsidR="00A009DD">
        <w:rPr>
          <w:rFonts w:asciiTheme="minorHAnsi" w:eastAsia="Calibri" w:hAnsiTheme="minorHAnsi" w:cstheme="minorHAnsi"/>
          <w:color w:val="auto"/>
          <w:lang w:val="es-ES"/>
        </w:rPr>
        <w:t xml:space="preserve"> (véase la tabla 5)</w:t>
      </w:r>
      <w:r>
        <w:rPr>
          <w:rFonts w:asciiTheme="minorHAnsi" w:eastAsia="Calibri" w:hAnsiTheme="minorHAnsi" w:cstheme="minorHAnsi"/>
          <w:color w:val="auto"/>
          <w:lang w:val="es-ES"/>
        </w:rPr>
        <w:t xml:space="preserve">. </w:t>
      </w:r>
      <w:r w:rsidR="00E04808">
        <w:rPr>
          <w:rFonts w:asciiTheme="minorHAnsi" w:eastAsia="Calibri" w:hAnsiTheme="minorHAnsi" w:cstheme="minorHAnsi"/>
          <w:color w:val="auto"/>
          <w:lang w:val="es-ES"/>
        </w:rPr>
        <w:t>La figura 6 muestra los diseños permitidos de la etiqueta, además de su nuevo diseño propuesto por la Comisión Europea</w:t>
      </w:r>
      <w:r w:rsidR="003B683C">
        <w:rPr>
          <w:rStyle w:val="FootnoteReference"/>
          <w:rFonts w:asciiTheme="minorHAnsi" w:eastAsia="Calibri" w:hAnsiTheme="minorHAnsi" w:cstheme="minorHAnsi"/>
          <w:color w:val="auto"/>
        </w:rPr>
        <w:footnoteReference w:id="4"/>
      </w:r>
      <w:r w:rsidR="00E04808">
        <w:rPr>
          <w:rFonts w:asciiTheme="minorHAnsi" w:eastAsia="Calibri" w:hAnsiTheme="minorHAnsi" w:cstheme="minorHAnsi"/>
          <w:color w:val="auto"/>
          <w:lang w:val="es-ES"/>
        </w:rPr>
        <w:t>.</w:t>
      </w:r>
      <w:r w:rsidR="001E58EE" w:rsidRPr="001D4147">
        <w:rPr>
          <w:rFonts w:asciiTheme="minorHAnsi" w:eastAsia="Calibri" w:hAnsiTheme="minorHAnsi" w:cstheme="minorHAnsi"/>
          <w:color w:val="auto"/>
          <w:lang w:val="es-ES"/>
        </w:rPr>
        <w:t xml:space="preserve"> </w:t>
      </w:r>
    </w:p>
    <w:p w14:paraId="1DA07B2B" w14:textId="77777777" w:rsidR="00B12E85" w:rsidRDefault="00B12E85" w:rsidP="00ED50B1">
      <w:pPr>
        <w:suppressAutoHyphens w:val="0"/>
        <w:textAlignment w:val="auto"/>
        <w:rPr>
          <w:lang w:val="es-ES"/>
        </w:rPr>
      </w:pPr>
    </w:p>
    <w:p w14:paraId="5DA83150" w14:textId="1D7552F5" w:rsidR="00ED50B1" w:rsidRPr="00ED50B1" w:rsidRDefault="00CA1CCA" w:rsidP="00ED50B1">
      <w:pPr>
        <w:suppressAutoHyphens w:val="0"/>
        <w:textAlignment w:val="auto"/>
        <w:rPr>
          <w:rFonts w:eastAsia="Times New Roman"/>
          <w:lang w:val="es-ES"/>
        </w:rPr>
      </w:pPr>
      <w:r>
        <w:rPr>
          <w:lang w:val="es-ES"/>
        </w:rPr>
        <w:t xml:space="preserve">En </w:t>
      </w:r>
      <w:r w:rsidRPr="00CA1CCA">
        <w:rPr>
          <w:b/>
          <w:lang w:val="es-ES"/>
        </w:rPr>
        <w:t>México</w:t>
      </w:r>
      <w:r>
        <w:rPr>
          <w:lang w:val="es-ES"/>
        </w:rPr>
        <w:t>, l</w:t>
      </w:r>
      <w:r w:rsidRPr="00CA1CCA">
        <w:rPr>
          <w:lang w:val="es-ES"/>
        </w:rPr>
        <w:t xml:space="preserve">as Normas Oficiales Mexicanas de eficiencia </w:t>
      </w:r>
      <w:r>
        <w:rPr>
          <w:lang w:val="es-ES"/>
        </w:rPr>
        <w:t xml:space="preserve">(NOM-ENER) reúnen </w:t>
      </w:r>
      <w:r w:rsidRPr="00233D8A">
        <w:rPr>
          <w:lang w:val="es-ES"/>
        </w:rPr>
        <w:t>–</w:t>
      </w:r>
      <w:r>
        <w:rPr>
          <w:lang w:val="es-ES"/>
        </w:rPr>
        <w:t xml:space="preserve"> en un solo documento </w:t>
      </w:r>
      <w:r w:rsidRPr="00233D8A">
        <w:rPr>
          <w:lang w:val="es-ES"/>
        </w:rPr>
        <w:t>–</w:t>
      </w:r>
      <w:r>
        <w:rPr>
          <w:lang w:val="es-ES"/>
        </w:rPr>
        <w:t xml:space="preserve"> los límites de desempeño energético mínimo ("especificaciones"), el etiquetado, los métodos de prueba (</w:t>
      </w:r>
      <w:r w:rsidRPr="00CA1CCA">
        <w:rPr>
          <w:lang w:val="es-ES"/>
        </w:rPr>
        <w:t>referencias a normas de medición NMX</w:t>
      </w:r>
      <w:r>
        <w:rPr>
          <w:lang w:val="es-ES"/>
        </w:rPr>
        <w:t xml:space="preserve">), además de otras estipulaciones, por ejemplo con respecto al muestreo, a los procedimientos de evaluación de conformidad, vigilancia de mercado, etc. </w:t>
      </w:r>
      <w:r w:rsidRPr="00CA1CCA">
        <w:rPr>
          <w:lang w:val="es-ES"/>
        </w:rPr>
        <w:t xml:space="preserve">En el ámbito de los productos de iluminación existen  NOM-ENER </w:t>
      </w:r>
      <w:r>
        <w:rPr>
          <w:lang w:val="es-ES"/>
        </w:rPr>
        <w:t>para los siguientes tipos de lámparas: (i)</w:t>
      </w:r>
      <w:r w:rsidRPr="00CA1CCA">
        <w:rPr>
          <w:rFonts w:eastAsia="Times New Roman"/>
          <w:lang w:val="es-ES"/>
        </w:rPr>
        <w:t xml:space="preserve"> </w:t>
      </w:r>
      <w:r w:rsidRPr="00DF433A">
        <w:rPr>
          <w:rFonts w:eastAsia="Times New Roman"/>
          <w:lang w:val="es-ES"/>
        </w:rPr>
        <w:t>NOM-028-ENER-201</w:t>
      </w:r>
      <w:r>
        <w:rPr>
          <w:rFonts w:eastAsia="Times New Roman"/>
          <w:lang w:val="es-ES"/>
        </w:rPr>
        <w:t>0, con modificaciones de 2013 y 2017, para l</w:t>
      </w:r>
      <w:r w:rsidRPr="00DF433A">
        <w:rPr>
          <w:rFonts w:eastAsia="Times New Roman"/>
          <w:lang w:val="es-ES"/>
        </w:rPr>
        <w:t>ámparas para uso general</w:t>
      </w:r>
      <w:r>
        <w:rPr>
          <w:rFonts w:eastAsia="Times New Roman"/>
          <w:lang w:val="es-ES"/>
        </w:rPr>
        <w:t xml:space="preserve"> (incluidas l</w:t>
      </w:r>
      <w:r w:rsidRPr="00CA1CCA">
        <w:rPr>
          <w:rFonts w:eastAsia="Times New Roman"/>
          <w:lang w:val="es-ES"/>
        </w:rPr>
        <w:t>ámparas incandescentes,</w:t>
      </w:r>
      <w:r>
        <w:rPr>
          <w:rFonts w:eastAsia="Times New Roman"/>
          <w:lang w:val="es-ES"/>
        </w:rPr>
        <w:t xml:space="preserve"> </w:t>
      </w:r>
      <w:r w:rsidRPr="00CA1CCA">
        <w:rPr>
          <w:rFonts w:eastAsia="Times New Roman"/>
          <w:lang w:val="es-ES"/>
        </w:rPr>
        <w:t xml:space="preserve">incandescentes con halógeno, LFC autobalastradas, </w:t>
      </w:r>
      <w:r w:rsidR="00676079">
        <w:rPr>
          <w:rFonts w:eastAsia="Times New Roman"/>
          <w:lang w:val="es-ES"/>
        </w:rPr>
        <w:t>lámparas fluorescentes lineales</w:t>
      </w:r>
      <w:r w:rsidRPr="00CA1CCA">
        <w:rPr>
          <w:rFonts w:eastAsia="Times New Roman"/>
          <w:lang w:val="es-ES"/>
        </w:rPr>
        <w:t xml:space="preserve">, </w:t>
      </w:r>
      <w:r>
        <w:rPr>
          <w:rFonts w:eastAsia="Times New Roman"/>
          <w:lang w:val="es-ES"/>
        </w:rPr>
        <w:t xml:space="preserve">lámparas </w:t>
      </w:r>
      <w:r w:rsidRPr="00CA1CCA">
        <w:rPr>
          <w:rFonts w:eastAsia="Times New Roman"/>
          <w:lang w:val="es-ES"/>
        </w:rPr>
        <w:t>de descarga en alta intensidad y luz mixta</w:t>
      </w:r>
      <w:r>
        <w:rPr>
          <w:rFonts w:eastAsia="Times New Roman"/>
          <w:lang w:val="es-ES"/>
        </w:rPr>
        <w:t xml:space="preserve">), (ii) </w:t>
      </w:r>
      <w:r w:rsidR="00242D3E" w:rsidRPr="00242D3E">
        <w:rPr>
          <w:rFonts w:eastAsia="Times New Roman"/>
          <w:lang w:val="es-ES"/>
        </w:rPr>
        <w:t>NOM-017-ENER/SCFI-2012</w:t>
      </w:r>
      <w:r w:rsidR="00242D3E">
        <w:rPr>
          <w:rFonts w:eastAsia="Times New Roman"/>
          <w:lang w:val="es-ES"/>
        </w:rPr>
        <w:t xml:space="preserve">, para </w:t>
      </w:r>
      <w:r w:rsidR="00242D3E" w:rsidRPr="00242D3E">
        <w:rPr>
          <w:rFonts w:eastAsia="Times New Roman"/>
          <w:lang w:val="es-ES"/>
        </w:rPr>
        <w:t xml:space="preserve">LFC </w:t>
      </w:r>
      <w:r w:rsidR="00242D3E" w:rsidRPr="00242D3E">
        <w:rPr>
          <w:rFonts w:eastAsia="Times New Roman"/>
          <w:lang w:val="es-ES"/>
        </w:rPr>
        <w:lastRenderedPageBreak/>
        <w:t>autobalastradas</w:t>
      </w:r>
      <w:r w:rsidR="00242D3E">
        <w:rPr>
          <w:rFonts w:eastAsia="Times New Roman"/>
          <w:lang w:val="es-ES"/>
        </w:rPr>
        <w:t xml:space="preserve">, (iii) </w:t>
      </w:r>
      <w:r w:rsidR="00242D3E" w:rsidRPr="00DF433A">
        <w:rPr>
          <w:rFonts w:eastAsia="Times New Roman"/>
          <w:lang w:val="es-ES"/>
        </w:rPr>
        <w:t>NOM-030-ENER-2016</w:t>
      </w:r>
      <w:r w:rsidR="00242D3E">
        <w:rPr>
          <w:rFonts w:eastAsia="Times New Roman"/>
          <w:lang w:val="es-ES"/>
        </w:rPr>
        <w:t>, para l</w:t>
      </w:r>
      <w:r w:rsidR="00242D3E" w:rsidRPr="00DF433A">
        <w:rPr>
          <w:rFonts w:eastAsia="Times New Roman"/>
          <w:lang w:val="es-ES"/>
        </w:rPr>
        <w:t>ámparas LED integradas para iluminación general</w:t>
      </w:r>
      <w:r w:rsidR="00242D3E">
        <w:rPr>
          <w:rFonts w:eastAsia="Times New Roman"/>
          <w:lang w:val="es-ES"/>
        </w:rPr>
        <w:t xml:space="preserve">, y (iv) </w:t>
      </w:r>
      <w:r w:rsidR="00242D3E" w:rsidRPr="00242D3E">
        <w:rPr>
          <w:rFonts w:eastAsia="Times New Roman"/>
          <w:lang w:val="es-ES"/>
        </w:rPr>
        <w:t>NOM-031-ENER-2012</w:t>
      </w:r>
      <w:r w:rsidR="00242D3E">
        <w:rPr>
          <w:rFonts w:eastAsia="Times New Roman"/>
          <w:lang w:val="es-ES"/>
        </w:rPr>
        <w:t>, para l</w:t>
      </w:r>
      <w:r w:rsidR="00242D3E" w:rsidRPr="00242D3E">
        <w:rPr>
          <w:rFonts w:eastAsia="Times New Roman"/>
          <w:lang w:val="es-ES"/>
        </w:rPr>
        <w:t>uminarios con elementos de iluminación LED destinados a vialidades y áreas exteriores públicas</w:t>
      </w:r>
      <w:r w:rsidR="00242D3E">
        <w:rPr>
          <w:rFonts w:eastAsia="Times New Roman"/>
          <w:lang w:val="es-ES"/>
        </w:rPr>
        <w:t>. Además, existe el proyecto de norma PROY-NOM-028-ENER-2017 que actualizará la NOM-028-ENER-2010 para lámparas incandescentes e incandescentes con halógenos</w:t>
      </w:r>
      <w:r w:rsidR="00B560C4">
        <w:rPr>
          <w:rFonts w:eastAsia="Times New Roman"/>
          <w:lang w:val="es-ES"/>
        </w:rPr>
        <w:t>.</w:t>
      </w:r>
      <w:r w:rsidR="00DA557E">
        <w:rPr>
          <w:rStyle w:val="FootnoteReference"/>
          <w:rFonts w:eastAsia="Times New Roman"/>
        </w:rPr>
        <w:footnoteReference w:id="5"/>
      </w:r>
      <w:r w:rsidR="00C82DE2">
        <w:rPr>
          <w:rFonts w:eastAsia="Times New Roman"/>
          <w:lang w:val="es-ES"/>
        </w:rPr>
        <w:t xml:space="preserve"> </w:t>
      </w:r>
      <w:r w:rsidR="00ED50B1" w:rsidRPr="00ED50B1">
        <w:rPr>
          <w:rFonts w:eastAsia="Times New Roman"/>
          <w:lang w:val="es-ES"/>
        </w:rPr>
        <w:t xml:space="preserve">En el Anexo </w:t>
      </w:r>
      <w:r w:rsidR="00E21CB6">
        <w:rPr>
          <w:rFonts w:eastAsia="Times New Roman"/>
          <w:lang w:val="es-ES"/>
        </w:rPr>
        <w:t>7</w:t>
      </w:r>
      <w:r w:rsidR="00ED50B1" w:rsidRPr="00ED50B1">
        <w:rPr>
          <w:rFonts w:eastAsia="Times New Roman"/>
          <w:lang w:val="es-ES"/>
        </w:rPr>
        <w:t xml:space="preserve"> </w:t>
      </w:r>
      <w:r w:rsidR="00ED50B1">
        <w:rPr>
          <w:rFonts w:eastAsia="Times New Roman"/>
          <w:lang w:val="es-ES"/>
        </w:rPr>
        <w:t xml:space="preserve">y en la figura </w:t>
      </w:r>
      <w:r w:rsidR="008526E3">
        <w:rPr>
          <w:rFonts w:eastAsia="Times New Roman"/>
          <w:lang w:val="es-ES"/>
        </w:rPr>
        <w:t>7</w:t>
      </w:r>
      <w:r w:rsidR="00ED50B1">
        <w:rPr>
          <w:rFonts w:eastAsia="Times New Roman"/>
          <w:lang w:val="es-ES"/>
        </w:rPr>
        <w:t xml:space="preserve"> </w:t>
      </w:r>
      <w:r w:rsidR="00ED50B1" w:rsidRPr="00ED50B1">
        <w:rPr>
          <w:rFonts w:eastAsia="Times New Roman"/>
          <w:lang w:val="es-ES"/>
        </w:rPr>
        <w:t>se muestran los límites de desempeño energético para tipos de lámparas seleccionadas</w:t>
      </w:r>
      <w:r w:rsidR="00ED50B1">
        <w:rPr>
          <w:rFonts w:eastAsia="Times New Roman"/>
          <w:lang w:val="es-ES"/>
        </w:rPr>
        <w:t>.</w:t>
      </w:r>
    </w:p>
    <w:p w14:paraId="2C040D9F" w14:textId="70C50F02" w:rsidR="00C82DE2" w:rsidRPr="00C82DE2" w:rsidRDefault="00C82DE2" w:rsidP="00C82DE2">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Los métodos de prueba que son parte de l</w:t>
      </w:r>
      <w:r w:rsidRPr="00C82DE2">
        <w:rPr>
          <w:rFonts w:asciiTheme="minorHAnsi" w:eastAsia="Calibri" w:hAnsiTheme="minorHAnsi" w:cstheme="minorHAnsi"/>
          <w:color w:val="auto"/>
          <w:lang w:val="es-ES"/>
        </w:rPr>
        <w:t>as normas NOM-028-ENER-2010 y NOM-017-ENER/SCFI-2012 incluyen referencias a varias normas mexicanas de medición NMX</w:t>
      </w:r>
      <w:r>
        <w:rPr>
          <w:rFonts w:asciiTheme="minorHAnsi" w:eastAsia="Calibri" w:hAnsiTheme="minorHAnsi" w:cstheme="minorHAnsi"/>
          <w:color w:val="auto"/>
          <w:lang w:val="es-ES"/>
        </w:rPr>
        <w:t xml:space="preserve">, de las cuales varias </w:t>
      </w:r>
      <w:r w:rsidRPr="00C82DE2">
        <w:rPr>
          <w:rFonts w:asciiTheme="minorHAnsi" w:eastAsia="Calibri" w:hAnsiTheme="minorHAnsi" w:cstheme="minorHAnsi"/>
          <w:color w:val="auto"/>
          <w:lang w:val="es-ES"/>
        </w:rPr>
        <w:t>tienen coincidencia básica con las normas internacionales IEC correspondientes</w:t>
      </w:r>
      <w:r w:rsidR="00BC1DA5">
        <w:rPr>
          <w:rFonts w:asciiTheme="minorHAnsi" w:eastAsia="Calibri" w:hAnsiTheme="minorHAnsi" w:cstheme="minorHAnsi"/>
          <w:color w:val="auto"/>
          <w:lang w:val="es-ES"/>
        </w:rPr>
        <w:t xml:space="preserve"> (véase el Anexo 10)</w:t>
      </w:r>
      <w:r w:rsidRPr="00C82DE2">
        <w:rPr>
          <w:rFonts w:asciiTheme="minorHAnsi" w:eastAsia="Calibri" w:hAnsiTheme="minorHAnsi" w:cstheme="minorHAnsi"/>
          <w:color w:val="auto"/>
          <w:lang w:val="es-ES"/>
        </w:rPr>
        <w:t>.</w:t>
      </w:r>
    </w:p>
    <w:p w14:paraId="1706CDE4" w14:textId="355250DA" w:rsidR="00C82DE2" w:rsidRDefault="00C82DE2" w:rsidP="00C82DE2">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 xml:space="preserve">De acuerdo a las NOM-ENER para productos de iluminación, se puede optar entre los </w:t>
      </w:r>
      <w:r w:rsidR="00FA30C7">
        <w:rPr>
          <w:rFonts w:asciiTheme="minorHAnsi" w:eastAsia="Calibri" w:hAnsiTheme="minorHAnsi" w:cstheme="minorHAnsi"/>
          <w:color w:val="auto"/>
          <w:lang w:val="es-ES"/>
        </w:rPr>
        <w:t>siguientes procedimientos</w:t>
      </w:r>
      <w:r>
        <w:rPr>
          <w:rFonts w:asciiTheme="minorHAnsi" w:eastAsia="Calibri" w:hAnsiTheme="minorHAnsi" w:cstheme="minorHAnsi"/>
          <w:color w:val="auto"/>
          <w:lang w:val="es-ES"/>
        </w:rPr>
        <w:t xml:space="preserve"> de evaluación de conformidad opcionales: </w:t>
      </w:r>
      <w:r w:rsidRPr="00C82DE2">
        <w:rPr>
          <w:rFonts w:asciiTheme="minorHAnsi" w:eastAsia="Calibri" w:hAnsiTheme="minorHAnsi" w:cstheme="minorHAnsi"/>
          <w:color w:val="auto"/>
          <w:lang w:val="es-ES"/>
        </w:rPr>
        <w:t>por la modalidad de certificación mediante pruebas periódicas al producto, o por la modalidad de certificación mediante el sistema de aseguramiento de la calidad de la línea de producción.</w:t>
      </w:r>
    </w:p>
    <w:p w14:paraId="015B04DB" w14:textId="49ED0DAB" w:rsidR="00BC1DA5" w:rsidRPr="00C82DE2" w:rsidRDefault="00BC1DA5" w:rsidP="00C82DE2">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Las NOM-ENER para lámparas no estipulan una etiqueta energética. Sin embargo, incluyen estipulaciones para el marcado de las lámparas en el cuerpo del producto y en el embalaje, de acuerdo a lo mencionado en la tabla 7.</w:t>
      </w:r>
    </w:p>
    <w:p w14:paraId="3CFD2D22" w14:textId="77777777" w:rsidR="00B12E85" w:rsidRDefault="00B12E85" w:rsidP="00C82DE2">
      <w:pPr>
        <w:suppressAutoHyphens w:val="0"/>
        <w:rPr>
          <w:rFonts w:asciiTheme="minorHAnsi" w:eastAsia="Calibri" w:hAnsiTheme="minorHAnsi" w:cstheme="minorHAnsi"/>
          <w:color w:val="auto"/>
          <w:lang w:val="es-ES"/>
        </w:rPr>
      </w:pPr>
    </w:p>
    <w:p w14:paraId="759652E8" w14:textId="65E2F449" w:rsidR="00C82DE2" w:rsidRDefault="00C82DE2" w:rsidP="00C82DE2">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 xml:space="preserve">Comparando </w:t>
      </w:r>
      <w:r w:rsidRPr="00C875A4">
        <w:rPr>
          <w:rFonts w:asciiTheme="minorHAnsi" w:eastAsia="Calibri" w:hAnsiTheme="minorHAnsi" w:cstheme="minorHAnsi"/>
          <w:b/>
          <w:color w:val="auto"/>
          <w:lang w:val="es-ES"/>
        </w:rPr>
        <w:t xml:space="preserve">los límites de desempeño energético </w:t>
      </w:r>
      <w:r w:rsidR="00C875A4">
        <w:rPr>
          <w:rFonts w:asciiTheme="minorHAnsi" w:eastAsia="Calibri" w:hAnsiTheme="minorHAnsi" w:cstheme="minorHAnsi"/>
          <w:b/>
          <w:color w:val="auto"/>
          <w:lang w:val="es-ES"/>
        </w:rPr>
        <w:t xml:space="preserve">mínimo </w:t>
      </w:r>
      <w:r w:rsidRPr="00C875A4">
        <w:rPr>
          <w:rFonts w:asciiTheme="minorHAnsi" w:eastAsia="Calibri" w:hAnsiTheme="minorHAnsi" w:cstheme="minorHAnsi"/>
          <w:color w:val="auto"/>
          <w:lang w:val="es-ES"/>
        </w:rPr>
        <w:t>de EE.UU., de la Unión Europea y de México</w:t>
      </w:r>
      <w:r>
        <w:rPr>
          <w:rFonts w:asciiTheme="minorHAnsi" w:eastAsia="Calibri" w:hAnsiTheme="minorHAnsi" w:cstheme="minorHAnsi"/>
          <w:color w:val="auto"/>
          <w:lang w:val="es-ES"/>
        </w:rPr>
        <w:t xml:space="preserve"> par</w:t>
      </w:r>
      <w:r w:rsidR="00C875A4">
        <w:rPr>
          <w:rFonts w:asciiTheme="minorHAnsi" w:eastAsia="Calibri" w:hAnsiTheme="minorHAnsi" w:cstheme="minorHAnsi"/>
          <w:color w:val="auto"/>
          <w:lang w:val="es-ES"/>
        </w:rPr>
        <w:t>a</w:t>
      </w:r>
      <w:r>
        <w:rPr>
          <w:rFonts w:asciiTheme="minorHAnsi" w:eastAsia="Calibri" w:hAnsiTheme="minorHAnsi" w:cstheme="minorHAnsi"/>
          <w:color w:val="auto"/>
          <w:lang w:val="es-ES"/>
        </w:rPr>
        <w:t xml:space="preserve"> varios tipos de lámparas (véase la figura </w:t>
      </w:r>
      <w:r w:rsidR="008526E3">
        <w:rPr>
          <w:rFonts w:asciiTheme="minorHAnsi" w:eastAsia="Calibri" w:hAnsiTheme="minorHAnsi" w:cstheme="minorHAnsi"/>
          <w:color w:val="auto"/>
          <w:lang w:val="es-ES"/>
        </w:rPr>
        <w:t>8</w:t>
      </w:r>
      <w:r>
        <w:rPr>
          <w:rFonts w:asciiTheme="minorHAnsi" w:eastAsia="Calibri" w:hAnsiTheme="minorHAnsi" w:cstheme="minorHAnsi"/>
          <w:color w:val="auto"/>
          <w:lang w:val="es-ES"/>
        </w:rPr>
        <w:t>), se puede observar:</w:t>
      </w:r>
    </w:p>
    <w:p w14:paraId="3E25B677" w14:textId="523B176F" w:rsidR="00C82DE2" w:rsidRPr="0035041A" w:rsidRDefault="00C82DE2" w:rsidP="001404E7">
      <w:pPr>
        <w:pStyle w:val="ListParagraph"/>
        <w:numPr>
          <w:ilvl w:val="0"/>
          <w:numId w:val="23"/>
        </w:numPr>
        <w:suppressAutoHyphens w:val="0"/>
        <w:rPr>
          <w:rFonts w:asciiTheme="minorHAnsi" w:eastAsia="Calibri" w:hAnsiTheme="minorHAnsi" w:cstheme="minorHAnsi"/>
          <w:color w:val="auto"/>
          <w:lang w:val="es-ES"/>
        </w:rPr>
      </w:pPr>
      <w:r w:rsidRPr="0035041A">
        <w:rPr>
          <w:rFonts w:asciiTheme="minorHAnsi" w:eastAsia="Calibri" w:hAnsiTheme="minorHAnsi" w:cstheme="minorHAnsi"/>
          <w:color w:val="auto"/>
          <w:lang w:val="es-ES"/>
        </w:rPr>
        <w:t>El PROY-NOM-028-ENER-2017 prevé para el año 2019 un límite único de 60 lm/W para lámparas incandescentes</w:t>
      </w:r>
      <w:r>
        <w:rPr>
          <w:rFonts w:asciiTheme="minorHAnsi" w:eastAsia="Calibri" w:hAnsiTheme="minorHAnsi" w:cstheme="minorHAnsi"/>
          <w:color w:val="auto"/>
          <w:lang w:val="es-ES"/>
        </w:rPr>
        <w:t xml:space="preserve"> e </w:t>
      </w:r>
      <w:r w:rsidRPr="0035041A">
        <w:rPr>
          <w:rFonts w:asciiTheme="minorHAnsi" w:eastAsia="Calibri" w:hAnsiTheme="minorHAnsi" w:cstheme="minorHAnsi"/>
          <w:color w:val="auto"/>
          <w:lang w:val="es-ES"/>
        </w:rPr>
        <w:t>incandescentes con halógenos, lo que resultará en la eliminación de lámparas incandescentes del mercado</w:t>
      </w:r>
      <w:r>
        <w:rPr>
          <w:rFonts w:asciiTheme="minorHAnsi" w:eastAsia="Calibri" w:hAnsiTheme="minorHAnsi" w:cstheme="minorHAnsi"/>
          <w:color w:val="auto"/>
          <w:lang w:val="es-ES"/>
        </w:rPr>
        <w:t>. Sin embargo</w:t>
      </w:r>
      <w:r w:rsidRPr="0035041A">
        <w:rPr>
          <w:rFonts w:asciiTheme="minorHAnsi" w:eastAsia="Calibri" w:hAnsiTheme="minorHAnsi" w:cstheme="minorHAnsi"/>
          <w:color w:val="auto"/>
          <w:lang w:val="es-ES"/>
        </w:rPr>
        <w:t xml:space="preserve">, </w:t>
      </w:r>
      <w:r>
        <w:rPr>
          <w:rFonts w:asciiTheme="minorHAnsi" w:eastAsia="Calibri" w:hAnsiTheme="minorHAnsi" w:cstheme="minorHAnsi"/>
          <w:color w:val="auto"/>
          <w:lang w:val="es-ES"/>
        </w:rPr>
        <w:t xml:space="preserve">se </w:t>
      </w:r>
      <w:r w:rsidRPr="0035041A">
        <w:rPr>
          <w:rFonts w:asciiTheme="minorHAnsi" w:eastAsia="Calibri" w:hAnsiTheme="minorHAnsi" w:cstheme="minorHAnsi"/>
          <w:color w:val="auto"/>
          <w:lang w:val="es-ES"/>
        </w:rPr>
        <w:t>preserv</w:t>
      </w:r>
      <w:r>
        <w:rPr>
          <w:rFonts w:asciiTheme="minorHAnsi" w:eastAsia="Calibri" w:hAnsiTheme="minorHAnsi" w:cstheme="minorHAnsi"/>
          <w:color w:val="auto"/>
          <w:lang w:val="es-ES"/>
        </w:rPr>
        <w:t>a</w:t>
      </w:r>
      <w:r w:rsidRPr="0035041A">
        <w:rPr>
          <w:rFonts w:asciiTheme="minorHAnsi" w:eastAsia="Calibri" w:hAnsiTheme="minorHAnsi" w:cstheme="minorHAnsi"/>
          <w:color w:val="auto"/>
          <w:lang w:val="es-ES"/>
        </w:rPr>
        <w:t>rá un mercado para LFC</w:t>
      </w:r>
      <w:r>
        <w:rPr>
          <w:rFonts w:asciiTheme="minorHAnsi" w:eastAsia="Calibri" w:hAnsiTheme="minorHAnsi" w:cstheme="minorHAnsi"/>
          <w:color w:val="auto"/>
          <w:lang w:val="es-ES"/>
        </w:rPr>
        <w:t>, debido a los valores límites incluidos en la NOM-017-ENER/SCFI-2012</w:t>
      </w:r>
      <w:r w:rsidRPr="0035041A">
        <w:rPr>
          <w:rFonts w:asciiTheme="minorHAnsi" w:eastAsia="Calibri" w:hAnsiTheme="minorHAnsi" w:cstheme="minorHAnsi"/>
          <w:color w:val="auto"/>
          <w:lang w:val="es-ES"/>
        </w:rPr>
        <w:t xml:space="preserve">. </w:t>
      </w:r>
    </w:p>
    <w:p w14:paraId="47D5BEFC" w14:textId="38FC4258" w:rsidR="00C82DE2" w:rsidRPr="0035041A" w:rsidRDefault="00C82DE2" w:rsidP="001404E7">
      <w:pPr>
        <w:pStyle w:val="ListParagraph"/>
        <w:numPr>
          <w:ilvl w:val="0"/>
          <w:numId w:val="23"/>
        </w:numPr>
        <w:suppressAutoHyphens w:val="0"/>
        <w:rPr>
          <w:rFonts w:asciiTheme="minorHAnsi" w:eastAsia="Calibri" w:hAnsiTheme="minorHAnsi" w:cstheme="minorHAnsi"/>
          <w:color w:val="auto"/>
          <w:lang w:val="es-ES"/>
        </w:rPr>
      </w:pPr>
      <w:r w:rsidRPr="0035041A">
        <w:rPr>
          <w:rFonts w:asciiTheme="minorHAnsi" w:eastAsia="Calibri" w:hAnsiTheme="minorHAnsi" w:cstheme="minorHAnsi"/>
          <w:color w:val="auto"/>
          <w:lang w:val="es-ES"/>
        </w:rPr>
        <w:t>Los límites de desempeño energético mínimo de las NOM-ENER</w:t>
      </w:r>
      <w:r w:rsidR="001572B2">
        <w:rPr>
          <w:rFonts w:asciiTheme="minorHAnsi" w:eastAsia="Calibri" w:hAnsiTheme="minorHAnsi" w:cstheme="minorHAnsi"/>
          <w:color w:val="auto"/>
          <w:lang w:val="es-ES"/>
        </w:rPr>
        <w:t>, existentes y previst</w:t>
      </w:r>
      <w:r w:rsidR="00B560C4">
        <w:rPr>
          <w:rFonts w:asciiTheme="minorHAnsi" w:eastAsia="Calibri" w:hAnsiTheme="minorHAnsi" w:cstheme="minorHAnsi"/>
          <w:color w:val="auto"/>
          <w:lang w:val="es-ES"/>
        </w:rPr>
        <w:t>a</w:t>
      </w:r>
      <w:r w:rsidR="001572B2">
        <w:rPr>
          <w:rFonts w:asciiTheme="minorHAnsi" w:eastAsia="Calibri" w:hAnsiTheme="minorHAnsi" w:cstheme="minorHAnsi"/>
          <w:color w:val="auto"/>
          <w:lang w:val="es-ES"/>
        </w:rPr>
        <w:t>s,</w:t>
      </w:r>
      <w:r w:rsidRPr="0035041A">
        <w:rPr>
          <w:rFonts w:asciiTheme="minorHAnsi" w:eastAsia="Calibri" w:hAnsiTheme="minorHAnsi" w:cstheme="minorHAnsi"/>
          <w:color w:val="auto"/>
          <w:lang w:val="es-ES"/>
        </w:rPr>
        <w:t xml:space="preserve"> para productos de iluminación son más bajos que los límites de los reglamentos de EE.UU. y de la Unión Europea respectivamente. Ello significa que los proveedores de lámparas pueden comercializar en México productos de menor efic</w:t>
      </w:r>
      <w:r>
        <w:rPr>
          <w:rFonts w:asciiTheme="minorHAnsi" w:eastAsia="Calibri" w:hAnsiTheme="minorHAnsi" w:cstheme="minorHAnsi"/>
          <w:color w:val="auto"/>
          <w:lang w:val="es-ES"/>
        </w:rPr>
        <w:t>acia</w:t>
      </w:r>
      <w:r w:rsidRPr="0035041A">
        <w:rPr>
          <w:rFonts w:asciiTheme="minorHAnsi" w:eastAsia="Calibri" w:hAnsiTheme="minorHAnsi" w:cstheme="minorHAnsi"/>
          <w:color w:val="auto"/>
          <w:lang w:val="es-ES"/>
        </w:rPr>
        <w:t xml:space="preserve"> que en otros mercados. Esta afirmación supone que EE.UU. implementará límites ambiciosos de acuerdo al </w:t>
      </w:r>
      <w:r w:rsidRPr="0035041A">
        <w:rPr>
          <w:rFonts w:asciiTheme="minorHAnsi" w:eastAsia="Calibri" w:hAnsiTheme="minorHAnsi" w:cstheme="minorHAnsi"/>
          <w:i/>
          <w:color w:val="auto"/>
          <w:lang w:val="es-ES"/>
        </w:rPr>
        <w:t>Proposed Rule</w:t>
      </w:r>
      <w:r w:rsidRPr="0035041A">
        <w:rPr>
          <w:rFonts w:asciiTheme="minorHAnsi" w:eastAsia="Calibri" w:hAnsiTheme="minorHAnsi" w:cstheme="minorHAnsi"/>
          <w:color w:val="auto"/>
          <w:lang w:val="es-ES"/>
        </w:rPr>
        <w:t xml:space="preserve"> de 2016</w:t>
      </w:r>
      <w:r w:rsidR="00C875A4">
        <w:rPr>
          <w:rFonts w:asciiTheme="minorHAnsi" w:eastAsia="Calibri" w:hAnsiTheme="minorHAnsi" w:cstheme="minorHAnsi"/>
          <w:color w:val="auto"/>
          <w:lang w:val="es-ES"/>
        </w:rPr>
        <w:t>.</w:t>
      </w:r>
    </w:p>
    <w:p w14:paraId="6E0C9586" w14:textId="3E90DAF4" w:rsidR="00C82DE2" w:rsidRDefault="00C82DE2" w:rsidP="001404E7">
      <w:pPr>
        <w:pStyle w:val="ListParagraph"/>
        <w:numPr>
          <w:ilvl w:val="0"/>
          <w:numId w:val="23"/>
        </w:numPr>
        <w:suppressAutoHyphens w:val="0"/>
        <w:rPr>
          <w:rFonts w:asciiTheme="minorHAnsi" w:eastAsia="Calibri" w:hAnsiTheme="minorHAnsi" w:cstheme="minorHAnsi"/>
          <w:color w:val="auto"/>
          <w:lang w:val="es-ES"/>
        </w:rPr>
      </w:pPr>
      <w:r w:rsidRPr="0035041A">
        <w:rPr>
          <w:rFonts w:asciiTheme="minorHAnsi" w:eastAsia="Calibri" w:hAnsiTheme="minorHAnsi" w:cstheme="minorHAnsi"/>
          <w:color w:val="auto"/>
          <w:lang w:val="es-ES"/>
        </w:rPr>
        <w:t>Tanto en EE.UU. como en la Unión Europea existen tendencias hacia</w:t>
      </w:r>
      <w:r w:rsidRPr="0035041A">
        <w:rPr>
          <w:lang w:val="es-ES"/>
        </w:rPr>
        <w:t xml:space="preserve"> reglamentos de desempeño energético mínimo </w:t>
      </w:r>
      <w:r w:rsidR="003F6129">
        <w:rPr>
          <w:lang w:val="es-ES"/>
        </w:rPr>
        <w:t>"</w:t>
      </w:r>
      <w:r w:rsidRPr="0035041A">
        <w:rPr>
          <w:rFonts w:asciiTheme="minorHAnsi" w:eastAsia="Calibri" w:hAnsiTheme="minorHAnsi" w:cstheme="minorHAnsi"/>
          <w:color w:val="auto"/>
          <w:lang w:val="es-ES"/>
        </w:rPr>
        <w:t>tecnológicamente neutrales</w:t>
      </w:r>
      <w:r w:rsidR="003F6129">
        <w:rPr>
          <w:rFonts w:asciiTheme="minorHAnsi" w:eastAsia="Calibri" w:hAnsiTheme="minorHAnsi" w:cstheme="minorHAnsi"/>
          <w:color w:val="auto"/>
          <w:lang w:val="es-ES"/>
        </w:rPr>
        <w:t>"</w:t>
      </w:r>
      <w:r w:rsidRPr="0035041A">
        <w:rPr>
          <w:rFonts w:asciiTheme="minorHAnsi" w:eastAsia="Calibri" w:hAnsiTheme="minorHAnsi" w:cstheme="minorHAnsi"/>
          <w:color w:val="auto"/>
          <w:lang w:val="es-ES"/>
        </w:rPr>
        <w:t xml:space="preserve">, sea con variaciones dependientes del tipo de lámpara (Unión Europea) o con un posible tratamiento </w:t>
      </w:r>
      <w:r>
        <w:rPr>
          <w:rFonts w:asciiTheme="minorHAnsi" w:eastAsia="Calibri" w:hAnsiTheme="minorHAnsi" w:cstheme="minorHAnsi"/>
          <w:color w:val="auto"/>
          <w:lang w:val="es-ES"/>
        </w:rPr>
        <w:t xml:space="preserve">separado </w:t>
      </w:r>
      <w:r w:rsidRPr="0035041A">
        <w:rPr>
          <w:rFonts w:asciiTheme="minorHAnsi" w:eastAsia="Calibri" w:hAnsiTheme="minorHAnsi" w:cstheme="minorHAnsi"/>
          <w:color w:val="auto"/>
          <w:lang w:val="es-ES"/>
        </w:rPr>
        <w:t xml:space="preserve">de ciertos tipos de lámpara en EE.UU. </w:t>
      </w:r>
    </w:p>
    <w:p w14:paraId="6A4D877D" w14:textId="77777777" w:rsidR="00B12E85" w:rsidRDefault="00B12E85" w:rsidP="00C875A4">
      <w:pPr>
        <w:suppressAutoHyphens w:val="0"/>
        <w:rPr>
          <w:rFonts w:asciiTheme="minorHAnsi" w:eastAsia="Calibri" w:hAnsiTheme="minorHAnsi" w:cstheme="minorHAnsi"/>
          <w:color w:val="auto"/>
          <w:lang w:val="es-ES"/>
        </w:rPr>
      </w:pPr>
    </w:p>
    <w:p w14:paraId="3A500D44" w14:textId="45084BB7" w:rsidR="00C875A4" w:rsidRDefault="00C875A4" w:rsidP="00C875A4">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 xml:space="preserve">Con respecto a los </w:t>
      </w:r>
      <w:r w:rsidRPr="00C875A4">
        <w:rPr>
          <w:rFonts w:asciiTheme="minorHAnsi" w:eastAsia="Calibri" w:hAnsiTheme="minorHAnsi" w:cstheme="minorHAnsi"/>
          <w:b/>
          <w:color w:val="auto"/>
          <w:lang w:val="es-ES"/>
        </w:rPr>
        <w:t>métodos de prueba</w:t>
      </w:r>
      <w:r>
        <w:rPr>
          <w:rFonts w:asciiTheme="minorHAnsi" w:eastAsia="Calibri" w:hAnsiTheme="minorHAnsi" w:cstheme="minorHAnsi"/>
          <w:color w:val="auto"/>
          <w:lang w:val="es-ES"/>
        </w:rPr>
        <w:t xml:space="preserve"> aplicados en EE.UU., la Unión Europea y México se observa: </w:t>
      </w:r>
    </w:p>
    <w:p w14:paraId="2C19B083" w14:textId="1CC4B5CD" w:rsidR="00C875A4" w:rsidRPr="00390A3F" w:rsidRDefault="00C875A4" w:rsidP="001404E7">
      <w:pPr>
        <w:pStyle w:val="ListParagraph"/>
        <w:numPr>
          <w:ilvl w:val="0"/>
          <w:numId w:val="24"/>
        </w:numPr>
        <w:suppressAutoHyphens w:val="0"/>
        <w:rPr>
          <w:rFonts w:asciiTheme="minorHAnsi" w:eastAsia="Calibri" w:hAnsiTheme="minorHAnsi" w:cstheme="minorHAnsi"/>
          <w:color w:val="auto"/>
          <w:lang w:val="es-ES"/>
        </w:rPr>
      </w:pPr>
      <w:r w:rsidRPr="00390A3F">
        <w:rPr>
          <w:rFonts w:asciiTheme="minorHAnsi" w:eastAsia="Calibri" w:hAnsiTheme="minorHAnsi" w:cstheme="minorHAnsi"/>
          <w:color w:val="auto"/>
          <w:lang w:val="es-ES"/>
        </w:rPr>
        <w:t xml:space="preserve">Los métodos de prueba aplicados en EE.UU. son bien específicos, en el sentido que las normas </w:t>
      </w:r>
      <w:r>
        <w:rPr>
          <w:rFonts w:asciiTheme="minorHAnsi" w:eastAsia="Calibri" w:hAnsiTheme="minorHAnsi" w:cstheme="minorHAnsi"/>
          <w:color w:val="auto"/>
          <w:lang w:val="es-ES"/>
        </w:rPr>
        <w:t>y</w:t>
      </w:r>
      <w:r w:rsidRPr="00390A3F">
        <w:rPr>
          <w:rFonts w:asciiTheme="minorHAnsi" w:eastAsia="Calibri" w:hAnsiTheme="minorHAnsi" w:cstheme="minorHAnsi"/>
          <w:color w:val="auto"/>
          <w:lang w:val="es-ES"/>
        </w:rPr>
        <w:t xml:space="preserve"> guías IES/IESNA incorporadas por referencia no son equivalentes con las normas internacionales IEC correspondientes. </w:t>
      </w:r>
    </w:p>
    <w:p w14:paraId="70955E04" w14:textId="06401639" w:rsidR="00C875A4" w:rsidRPr="00390A3F" w:rsidRDefault="00C875A4" w:rsidP="001404E7">
      <w:pPr>
        <w:pStyle w:val="ListParagraph"/>
        <w:numPr>
          <w:ilvl w:val="0"/>
          <w:numId w:val="24"/>
        </w:numPr>
        <w:suppressAutoHyphens w:val="0"/>
        <w:rPr>
          <w:rFonts w:asciiTheme="minorHAnsi" w:eastAsia="Calibri" w:hAnsiTheme="minorHAnsi" w:cstheme="minorHAnsi"/>
          <w:color w:val="auto"/>
          <w:lang w:val="es-ES"/>
        </w:rPr>
      </w:pPr>
      <w:r w:rsidRPr="00390A3F">
        <w:rPr>
          <w:rFonts w:asciiTheme="minorHAnsi" w:eastAsia="Calibri" w:hAnsiTheme="minorHAnsi" w:cstheme="minorHAnsi"/>
          <w:color w:val="auto"/>
          <w:lang w:val="es-ES"/>
        </w:rPr>
        <w:t>En la Unión Europea se aplican las normas armonizadas europeas (EN), elaboradas o actualiza</w:t>
      </w:r>
      <w:r w:rsidR="00E13A1B">
        <w:rPr>
          <w:rFonts w:asciiTheme="minorHAnsi" w:eastAsia="Calibri" w:hAnsiTheme="minorHAnsi" w:cstheme="minorHAnsi"/>
          <w:color w:val="auto"/>
          <w:lang w:val="es-ES"/>
        </w:rPr>
        <w:t>das</w:t>
      </w:r>
      <w:r w:rsidRPr="00390A3F">
        <w:rPr>
          <w:rFonts w:asciiTheme="minorHAnsi" w:eastAsia="Calibri" w:hAnsiTheme="minorHAnsi" w:cstheme="minorHAnsi"/>
          <w:color w:val="auto"/>
          <w:lang w:val="es-ES"/>
        </w:rPr>
        <w:t xml:space="preserve"> por los organismos de normalización europeos por mandato de la Comisión Europea. La elaboración de las normas EN es coordinada con la elaboración / </w:t>
      </w:r>
      <w:r w:rsidRPr="00390A3F">
        <w:rPr>
          <w:rFonts w:asciiTheme="minorHAnsi" w:eastAsia="Calibri" w:hAnsiTheme="minorHAnsi" w:cstheme="minorHAnsi"/>
          <w:color w:val="auto"/>
          <w:lang w:val="es-ES"/>
        </w:rPr>
        <w:lastRenderedPageBreak/>
        <w:t xml:space="preserve">actualización de las normas internacionales correspondientes de parte de la Comisión Electrotécnica Internacional (IEC). </w:t>
      </w:r>
    </w:p>
    <w:p w14:paraId="2D44A3C9" w14:textId="0E5F9094" w:rsidR="00C875A4" w:rsidRPr="00390A3F" w:rsidRDefault="00C875A4" w:rsidP="001404E7">
      <w:pPr>
        <w:pStyle w:val="ListParagraph"/>
        <w:numPr>
          <w:ilvl w:val="0"/>
          <w:numId w:val="24"/>
        </w:numPr>
        <w:suppressAutoHyphens w:val="0"/>
        <w:rPr>
          <w:rFonts w:asciiTheme="minorHAnsi" w:eastAsia="Calibri" w:hAnsiTheme="minorHAnsi" w:cstheme="minorHAnsi"/>
          <w:color w:val="auto"/>
          <w:lang w:val="es-ES"/>
        </w:rPr>
      </w:pPr>
      <w:r w:rsidRPr="00390A3F">
        <w:rPr>
          <w:rFonts w:asciiTheme="minorHAnsi" w:eastAsia="Calibri" w:hAnsiTheme="minorHAnsi" w:cstheme="minorHAnsi"/>
          <w:color w:val="auto"/>
          <w:lang w:val="es-ES"/>
        </w:rPr>
        <w:t>Los métodos de prueba incluidos en las NOM-ENER para productos de iluminación se refieren a normas mexicanas NMX, de las cuales varias tienen un cierto grad</w:t>
      </w:r>
      <w:r w:rsidR="00585C1E">
        <w:rPr>
          <w:rFonts w:asciiTheme="minorHAnsi" w:eastAsia="Calibri" w:hAnsiTheme="minorHAnsi" w:cstheme="minorHAnsi"/>
          <w:color w:val="auto"/>
          <w:lang w:val="es-ES"/>
        </w:rPr>
        <w:t>o</w:t>
      </w:r>
      <w:r w:rsidRPr="00390A3F">
        <w:rPr>
          <w:rFonts w:asciiTheme="minorHAnsi" w:eastAsia="Calibri" w:hAnsiTheme="minorHAnsi" w:cstheme="minorHAnsi"/>
          <w:color w:val="auto"/>
          <w:lang w:val="es-ES"/>
        </w:rPr>
        <w:t xml:space="preserve"> de equivalencia (coincidencia  básica) con las normas internacionales IEC correspondientes. </w:t>
      </w:r>
    </w:p>
    <w:p w14:paraId="29737687" w14:textId="5C283C68" w:rsidR="00FF3880" w:rsidRDefault="00FF3880" w:rsidP="00ED50B1">
      <w:pPr>
        <w:suppressAutoHyphens w:val="0"/>
        <w:textAlignment w:val="auto"/>
        <w:rPr>
          <w:lang w:val="es-ES"/>
        </w:rPr>
      </w:pPr>
    </w:p>
    <w:p w14:paraId="6D925B54" w14:textId="63A14F83" w:rsidR="00C875A4" w:rsidRDefault="00C875A4" w:rsidP="00ED50B1">
      <w:pPr>
        <w:suppressAutoHyphens w:val="0"/>
        <w:textAlignment w:val="auto"/>
        <w:rPr>
          <w:lang w:val="es-ES"/>
        </w:rPr>
      </w:pPr>
      <w:r>
        <w:rPr>
          <w:lang w:val="es-ES"/>
        </w:rPr>
        <w:t xml:space="preserve">Los </w:t>
      </w:r>
      <w:r w:rsidRPr="00930506">
        <w:rPr>
          <w:b/>
          <w:lang w:val="es-ES"/>
        </w:rPr>
        <w:t>procedimientos de evaluación de la conformidad</w:t>
      </w:r>
      <w:r>
        <w:rPr>
          <w:lang w:val="es-ES"/>
        </w:rPr>
        <w:t xml:space="preserve"> </w:t>
      </w:r>
      <w:r w:rsidR="00994540">
        <w:rPr>
          <w:lang w:val="es-ES"/>
        </w:rPr>
        <w:t xml:space="preserve">de acuerdo al reglamento de EE.UU., a la Directiva Europea 2009/125/EC de diseño ecológico y a </w:t>
      </w:r>
      <w:r>
        <w:rPr>
          <w:lang w:val="es-ES"/>
        </w:rPr>
        <w:t xml:space="preserve">las NOM-ENER </w:t>
      </w:r>
      <w:r w:rsidR="00994540">
        <w:rPr>
          <w:lang w:val="es-ES"/>
        </w:rPr>
        <w:t xml:space="preserve">para productos de iluminación se distinguen por su alcance, detalle y referencias a </w:t>
      </w:r>
      <w:r w:rsidR="00994540" w:rsidRPr="00BC092A">
        <w:rPr>
          <w:highlight w:val="yellow"/>
          <w:lang w:val="es-ES"/>
        </w:rPr>
        <w:t>actos legales</w:t>
      </w:r>
      <w:r w:rsidR="00994540">
        <w:rPr>
          <w:lang w:val="es-ES"/>
        </w:rPr>
        <w:t xml:space="preserve">, que fundamentan los procedimientos estipulados en los reglamentos y normas </w:t>
      </w:r>
      <w:r w:rsidR="00FF3880">
        <w:rPr>
          <w:lang w:val="es-ES"/>
        </w:rPr>
        <w:t xml:space="preserve">para productos de iluminación </w:t>
      </w:r>
      <w:r w:rsidR="00994540">
        <w:rPr>
          <w:lang w:val="es-ES"/>
        </w:rPr>
        <w:t>respectivamente</w:t>
      </w:r>
      <w:r w:rsidR="00FF3880">
        <w:rPr>
          <w:lang w:val="es-ES"/>
        </w:rPr>
        <w:t xml:space="preserve">. </w:t>
      </w:r>
      <w:r w:rsidR="00FF3880" w:rsidRPr="00FF3880">
        <w:rPr>
          <w:lang w:val="es-ES"/>
        </w:rPr>
        <w:t>Los procedimientos de certificación de EE.UU. están enfocados a ensayos de conformidad periódicos de los productos. Los reglamentos europeos y las NOM-ENER incluyen la opción de certificación mediante auditorías del proceso de producción y del sistema de gestión de calidad respectivamente. Ambos incluyen en la opción básica pruebas periódicas al producto.</w:t>
      </w:r>
      <w:r w:rsidR="00FF3880">
        <w:rPr>
          <w:lang w:val="es-ES"/>
        </w:rPr>
        <w:t xml:space="preserve"> Como alternativa, se deben tomar</w:t>
      </w:r>
      <w:r w:rsidR="00930506">
        <w:rPr>
          <w:lang w:val="es-ES"/>
        </w:rPr>
        <w:t xml:space="preserve"> en consideración </w:t>
      </w:r>
      <w:r w:rsidR="00930506" w:rsidRPr="00930506">
        <w:rPr>
          <w:lang w:val="es-ES"/>
        </w:rPr>
        <w:t>los esquemas de evaluación</w:t>
      </w:r>
      <w:r w:rsidR="00930506">
        <w:rPr>
          <w:lang w:val="es-ES"/>
        </w:rPr>
        <w:t xml:space="preserve"> de la conformidad</w:t>
      </w:r>
      <w:r w:rsidR="00930506" w:rsidRPr="00930506">
        <w:rPr>
          <w:lang w:val="es-ES"/>
        </w:rPr>
        <w:t xml:space="preserve"> incluidos en la norma ISO/IEC 1706</w:t>
      </w:r>
      <w:r w:rsidR="00E84F8A">
        <w:rPr>
          <w:lang w:val="es-ES"/>
        </w:rPr>
        <w:t>7</w:t>
      </w:r>
      <w:r w:rsidR="00ED4B11">
        <w:rPr>
          <w:lang w:val="es-ES"/>
        </w:rPr>
        <w:t>.</w:t>
      </w:r>
    </w:p>
    <w:p w14:paraId="4B3CA3C9" w14:textId="77777777" w:rsidR="00585C1E" w:rsidRDefault="00585C1E" w:rsidP="00ED50B1">
      <w:pPr>
        <w:suppressAutoHyphens w:val="0"/>
        <w:textAlignment w:val="auto"/>
        <w:rPr>
          <w:lang w:val="es-ES"/>
        </w:rPr>
      </w:pPr>
    </w:p>
    <w:p w14:paraId="73D0F28C" w14:textId="7A12179B" w:rsidR="00FF3880" w:rsidRDefault="00FF3880" w:rsidP="00F851A9">
      <w:pPr>
        <w:suppressAutoHyphens w:val="0"/>
        <w:rPr>
          <w:rFonts w:asciiTheme="minorHAnsi" w:eastAsia="Calibri" w:hAnsiTheme="minorHAnsi" w:cstheme="minorHAnsi"/>
          <w:color w:val="auto"/>
          <w:lang w:val="es-ES"/>
        </w:rPr>
      </w:pPr>
      <w:r w:rsidRPr="00FF3880">
        <w:rPr>
          <w:rFonts w:asciiTheme="minorHAnsi" w:eastAsia="Calibri" w:hAnsiTheme="minorHAnsi" w:cstheme="minorHAnsi"/>
          <w:color w:val="auto"/>
          <w:lang w:val="es-ES"/>
        </w:rPr>
        <w:t xml:space="preserve">Con respecto al </w:t>
      </w:r>
      <w:r w:rsidRPr="00FF3880">
        <w:rPr>
          <w:rFonts w:asciiTheme="minorHAnsi" w:eastAsia="Calibri" w:hAnsiTheme="minorHAnsi" w:cstheme="minorHAnsi"/>
          <w:b/>
          <w:color w:val="auto"/>
          <w:lang w:val="es-ES"/>
        </w:rPr>
        <w:t>etiquetado de energía</w:t>
      </w:r>
      <w:r w:rsidRPr="00FF3880">
        <w:rPr>
          <w:rFonts w:asciiTheme="minorHAnsi" w:eastAsia="Calibri" w:hAnsiTheme="minorHAnsi" w:cstheme="minorHAnsi"/>
          <w:color w:val="auto"/>
          <w:lang w:val="es-ES"/>
        </w:rPr>
        <w:t>, que es obligatorio para los productos consumidores de energía (de acuerdo a la Ley 69 de 2012 y el Decreto 398 de 2013), es aconsejable orientarse al diseño básico de la etiqueta "</w:t>
      </w:r>
      <w:r w:rsidRPr="00FF3880">
        <w:rPr>
          <w:rFonts w:asciiTheme="minorHAnsi" w:eastAsia="Calibri" w:hAnsiTheme="minorHAnsi" w:cstheme="minorHAnsi"/>
          <w:i/>
          <w:color w:val="auto"/>
          <w:lang w:val="es-ES"/>
        </w:rPr>
        <w:t>Lighting facts</w:t>
      </w:r>
      <w:r w:rsidRPr="00FF3880">
        <w:rPr>
          <w:rFonts w:asciiTheme="minorHAnsi" w:eastAsia="Calibri" w:hAnsiTheme="minorHAnsi" w:cstheme="minorHAnsi"/>
          <w:color w:val="auto"/>
          <w:lang w:val="es-ES"/>
        </w:rPr>
        <w:t>" de EE.UU. Sin embargo es necesario revisar detalles con respecto a (i) la inclusión de información en la etiqueta y (ii) la opción de imprimir información adicional para el consumidor en el embalaje.</w:t>
      </w:r>
    </w:p>
    <w:p w14:paraId="60274C75" w14:textId="72CE6A4D" w:rsidR="00B12E85" w:rsidRDefault="00FF3880" w:rsidP="00F851A9">
      <w:pPr>
        <w:suppressAutoHyphens w:val="0"/>
        <w:rPr>
          <w:rFonts w:asciiTheme="minorHAnsi" w:eastAsia="Calibri" w:hAnsiTheme="minorHAnsi" w:cstheme="minorHAnsi"/>
          <w:color w:val="auto"/>
          <w:lang w:val="es-ES"/>
        </w:rPr>
      </w:pPr>
      <w:r w:rsidRPr="00FF3880">
        <w:rPr>
          <w:rFonts w:asciiTheme="minorHAnsi" w:eastAsia="Calibri" w:hAnsiTheme="minorHAnsi" w:cstheme="minorHAnsi"/>
          <w:color w:val="auto"/>
          <w:lang w:val="es-ES"/>
        </w:rPr>
        <w:t xml:space="preserve">  </w:t>
      </w:r>
    </w:p>
    <w:p w14:paraId="2D44FD53" w14:textId="01EC9044" w:rsidR="00F851A9" w:rsidRPr="00016EFF" w:rsidRDefault="00F851A9" w:rsidP="00F851A9">
      <w:pPr>
        <w:suppressAutoHyphens w:val="0"/>
        <w:rPr>
          <w:rFonts w:asciiTheme="minorHAnsi" w:eastAsia="Calibri" w:hAnsiTheme="minorHAnsi" w:cstheme="minorHAnsi"/>
          <w:color w:val="auto"/>
          <w:lang w:val="es-ES"/>
        </w:rPr>
      </w:pPr>
      <w:r w:rsidRPr="00F851A9">
        <w:rPr>
          <w:rFonts w:asciiTheme="minorHAnsi" w:eastAsia="Calibri" w:hAnsiTheme="minorHAnsi" w:cstheme="minorHAnsi"/>
          <w:color w:val="auto"/>
          <w:lang w:val="es-ES"/>
        </w:rPr>
        <w:t xml:space="preserve">Para el desarrollo </w:t>
      </w:r>
      <w:r w:rsidRPr="00B12E85">
        <w:rPr>
          <w:rFonts w:asciiTheme="minorHAnsi" w:eastAsia="Calibri" w:hAnsiTheme="minorHAnsi" w:cstheme="minorHAnsi"/>
          <w:b/>
          <w:color w:val="auto"/>
          <w:lang w:val="es-ES"/>
        </w:rPr>
        <w:t>de la norma / del reglamento DGNTI-COPANIT</w:t>
      </w:r>
      <w:r w:rsidRPr="00F851A9">
        <w:rPr>
          <w:rFonts w:asciiTheme="minorHAnsi" w:eastAsia="Calibri" w:hAnsiTheme="minorHAnsi" w:cstheme="minorHAnsi"/>
          <w:color w:val="auto"/>
          <w:lang w:val="es-ES"/>
        </w:rPr>
        <w:t xml:space="preserve"> para productos de iluminación se deben tomar en consideración varios criterios, entre ellos: (i) la alineación con otras economías, (ii) el alcance de productos de iluminación incluidos, (iii) el grado de ambición de implementar límites de desempeño energético mínimo exigentes, </w:t>
      </w:r>
      <w:r w:rsidR="00914127">
        <w:rPr>
          <w:rFonts w:asciiTheme="minorHAnsi" w:eastAsia="Calibri" w:hAnsiTheme="minorHAnsi" w:cstheme="minorHAnsi"/>
          <w:color w:val="auto"/>
          <w:lang w:val="es-ES"/>
        </w:rPr>
        <w:t xml:space="preserve">de acuerdo a los análisis de costo-beneficio realizados, </w:t>
      </w:r>
      <w:r w:rsidRPr="00F851A9">
        <w:rPr>
          <w:rFonts w:asciiTheme="minorHAnsi" w:eastAsia="Calibri" w:hAnsiTheme="minorHAnsi" w:cstheme="minorHAnsi"/>
          <w:color w:val="auto"/>
          <w:lang w:val="es-ES"/>
        </w:rPr>
        <w:t>para lograr una transición efectiva del mercado de productos de iluminación, y (iv) el grado de neutralidad tecnológica de la norma / del reglamento.</w:t>
      </w:r>
    </w:p>
    <w:p w14:paraId="4CA6B324" w14:textId="48269D5B" w:rsidR="00ED4B11" w:rsidRPr="00F341D8" w:rsidRDefault="00E43458" w:rsidP="00E43458">
      <w:pPr>
        <w:pStyle w:val="BodyText"/>
        <w:rPr>
          <w:lang w:val="es-ES"/>
        </w:rPr>
      </w:pPr>
      <w:r>
        <w:rPr>
          <w:lang w:val="es-ES"/>
        </w:rPr>
        <w:t xml:space="preserve">En la sección </w:t>
      </w:r>
      <w:r w:rsidR="00F851A9">
        <w:rPr>
          <w:lang w:val="es-ES"/>
        </w:rPr>
        <w:t xml:space="preserve">4 </w:t>
      </w:r>
      <w:r>
        <w:rPr>
          <w:lang w:val="es-ES"/>
        </w:rPr>
        <w:t>de este informe s</w:t>
      </w:r>
      <w:r w:rsidR="00ED4B11">
        <w:rPr>
          <w:lang w:val="es-ES"/>
        </w:rPr>
        <w:t>e coment</w:t>
      </w:r>
      <w:r w:rsidR="00FF3880">
        <w:rPr>
          <w:lang w:val="es-ES"/>
        </w:rPr>
        <w:t>a</w:t>
      </w:r>
      <w:r w:rsidR="00ED4B11">
        <w:rPr>
          <w:lang w:val="es-ES"/>
        </w:rPr>
        <w:t xml:space="preserve"> el borrador del Anteproyecto de Norma Técnica DGNTI-COPANIT: Eficiencia Energética de Lámparas para Uso General (de fecha de 20 de agosto de 2017), con respecto a:</w:t>
      </w:r>
      <w:r>
        <w:rPr>
          <w:lang w:val="es-ES"/>
        </w:rPr>
        <w:t xml:space="preserve"> (i) p</w:t>
      </w:r>
      <w:r w:rsidR="00ED4B11" w:rsidRPr="00F341D8">
        <w:rPr>
          <w:lang w:val="es-ES"/>
        </w:rPr>
        <w:t xml:space="preserve">roductos de iluminación incluidos </w:t>
      </w:r>
      <w:r w:rsidR="00ED4B11">
        <w:rPr>
          <w:lang w:val="es-ES"/>
        </w:rPr>
        <w:t>en el borrador</w:t>
      </w:r>
      <w:r>
        <w:rPr>
          <w:lang w:val="es-ES"/>
        </w:rPr>
        <w:t>; (ii) l</w:t>
      </w:r>
      <w:r w:rsidR="00ED4B11" w:rsidRPr="00F341D8">
        <w:rPr>
          <w:lang w:val="es-ES"/>
        </w:rPr>
        <w:t>ímites (índices) de desempeño energético mínimo propuestos para los productos de iluminación</w:t>
      </w:r>
      <w:r w:rsidR="00ED4B11">
        <w:rPr>
          <w:lang w:val="es-ES"/>
        </w:rPr>
        <w:t xml:space="preserve"> incluidos;</w:t>
      </w:r>
      <w:r>
        <w:rPr>
          <w:lang w:val="es-ES"/>
        </w:rPr>
        <w:t xml:space="preserve"> (iii) n</w:t>
      </w:r>
      <w:r w:rsidR="00ED4B11">
        <w:rPr>
          <w:lang w:val="es-ES"/>
        </w:rPr>
        <w:t>ormas de medición (métodos de prueba);</w:t>
      </w:r>
      <w:r>
        <w:rPr>
          <w:lang w:val="es-ES"/>
        </w:rPr>
        <w:t xml:space="preserve"> (iv) e</w:t>
      </w:r>
      <w:r w:rsidR="00ED4B11" w:rsidRPr="00F341D8">
        <w:rPr>
          <w:lang w:val="es-ES"/>
        </w:rPr>
        <w:t>l grado de armonización y alineación, respectivamente, con otras normas y reglamentos nacionales e internacionales</w:t>
      </w:r>
      <w:r>
        <w:rPr>
          <w:lang w:val="es-ES"/>
        </w:rPr>
        <w:t>, y (v) la i</w:t>
      </w:r>
      <w:r w:rsidR="00ED4B11" w:rsidRPr="00F341D8">
        <w:rPr>
          <w:lang w:val="es-ES"/>
        </w:rPr>
        <w:t xml:space="preserve">ntegridad técnica y editorial del borrador de </w:t>
      </w:r>
      <w:r w:rsidR="00ED4B11">
        <w:rPr>
          <w:lang w:val="es-ES"/>
        </w:rPr>
        <w:t>ante</w:t>
      </w:r>
      <w:r w:rsidR="00ED4B11" w:rsidRPr="00F341D8">
        <w:rPr>
          <w:lang w:val="es-ES"/>
        </w:rPr>
        <w:t>proyecto NT/RT</w:t>
      </w:r>
      <w:r>
        <w:rPr>
          <w:lang w:val="es-ES"/>
        </w:rPr>
        <w:t>.</w:t>
      </w:r>
    </w:p>
    <w:p w14:paraId="44A73463" w14:textId="03875511" w:rsidR="00E43458" w:rsidRDefault="00E43458" w:rsidP="00ED4B11">
      <w:pPr>
        <w:rPr>
          <w:lang w:val="es-ES"/>
        </w:rPr>
      </w:pPr>
      <w:r>
        <w:rPr>
          <w:lang w:val="es-ES"/>
        </w:rPr>
        <w:t>En resumen, se puede constatar que:</w:t>
      </w:r>
    </w:p>
    <w:p w14:paraId="79D71D47" w14:textId="2709CF92" w:rsidR="00E43458" w:rsidRPr="00E6587D" w:rsidRDefault="00E43458" w:rsidP="001404E7">
      <w:pPr>
        <w:pStyle w:val="ListParagraph"/>
        <w:numPr>
          <w:ilvl w:val="0"/>
          <w:numId w:val="28"/>
        </w:numPr>
        <w:rPr>
          <w:lang w:val="es-ES"/>
        </w:rPr>
      </w:pPr>
      <w:r w:rsidRPr="00E6587D">
        <w:rPr>
          <w:lang w:val="es-ES"/>
        </w:rPr>
        <w:t>Mientras que el alcance del borrador del Anteproyecto NT/RT declarado es idéntico al alcance de la NOM-028-ENER-2010, incluye afirmaciones contradictorias con respecto a la inclusión de lámparas de descarga de alta intensidad, para alumbrado exterior.</w:t>
      </w:r>
    </w:p>
    <w:p w14:paraId="44931BFC" w14:textId="0DE33892" w:rsidR="00E43458" w:rsidRPr="00E6587D" w:rsidRDefault="00E43458" w:rsidP="001404E7">
      <w:pPr>
        <w:pStyle w:val="ListParagraph"/>
        <w:numPr>
          <w:ilvl w:val="0"/>
          <w:numId w:val="28"/>
        </w:numPr>
        <w:spacing w:before="0" w:after="140"/>
        <w:rPr>
          <w:lang w:val="es-ES"/>
        </w:rPr>
      </w:pPr>
      <w:r w:rsidRPr="00E6587D">
        <w:rPr>
          <w:lang w:val="es-ES"/>
        </w:rPr>
        <w:t xml:space="preserve">Los valores de eficacia mínima para lámparas incandescentes e incandescentes con halógenos defieren para flujos luminosos </w:t>
      </w:r>
      <w:r w:rsidRPr="00E6587D">
        <w:rPr>
          <w:rFonts w:cs="Calibri"/>
          <w:lang w:val="es-ES"/>
        </w:rPr>
        <w:t>≤ 787 lm de los valores mínimos previstos en el PROY-NOM-028-ENER-2017,</w:t>
      </w:r>
      <w:r w:rsidR="004F6184" w:rsidRPr="00E6587D">
        <w:rPr>
          <w:rFonts w:cs="Calibri"/>
          <w:lang w:val="es-ES"/>
        </w:rPr>
        <w:t xml:space="preserve"> lo que resultaría en la permane</w:t>
      </w:r>
      <w:r w:rsidR="00921015">
        <w:rPr>
          <w:rFonts w:cs="Calibri"/>
          <w:lang w:val="es-ES"/>
        </w:rPr>
        <w:t>n</w:t>
      </w:r>
      <w:r w:rsidR="004F6184" w:rsidRPr="00E6587D">
        <w:rPr>
          <w:rFonts w:cs="Calibri"/>
          <w:lang w:val="es-ES"/>
        </w:rPr>
        <w:t>c</w:t>
      </w:r>
      <w:r w:rsidR="00921015">
        <w:rPr>
          <w:rFonts w:cs="Calibri"/>
          <w:lang w:val="es-ES"/>
        </w:rPr>
        <w:t>i</w:t>
      </w:r>
      <w:r w:rsidR="004F6184" w:rsidRPr="00E6587D">
        <w:rPr>
          <w:rFonts w:cs="Calibri"/>
          <w:lang w:val="es-ES"/>
        </w:rPr>
        <w:t>a de ciertos tipos de lámparas incandescentes en el mercado. Para LFC, el borrador prevé la aplicación de los valores mínimo</w:t>
      </w:r>
      <w:r w:rsidR="00FA30C7">
        <w:rPr>
          <w:rFonts w:cs="Calibri"/>
          <w:lang w:val="es-ES"/>
        </w:rPr>
        <w:t>s</w:t>
      </w:r>
      <w:r w:rsidR="004F6184" w:rsidRPr="00E6587D">
        <w:rPr>
          <w:rFonts w:cs="Calibri"/>
          <w:lang w:val="es-ES"/>
        </w:rPr>
        <w:t xml:space="preserve"> de la NOM-017-ENER/SCFI-2012, lo que significaría la permane</w:t>
      </w:r>
      <w:r w:rsidR="00562524">
        <w:rPr>
          <w:rFonts w:cs="Calibri"/>
          <w:lang w:val="es-ES"/>
        </w:rPr>
        <w:t>n</w:t>
      </w:r>
      <w:r w:rsidR="004F6184" w:rsidRPr="00E6587D">
        <w:rPr>
          <w:rFonts w:cs="Calibri"/>
          <w:lang w:val="es-ES"/>
        </w:rPr>
        <w:t>c</w:t>
      </w:r>
      <w:r w:rsidR="00562524">
        <w:rPr>
          <w:rFonts w:cs="Calibri"/>
          <w:lang w:val="es-ES"/>
        </w:rPr>
        <w:t>ia</w:t>
      </w:r>
      <w:r w:rsidR="004F6184" w:rsidRPr="00E6587D">
        <w:rPr>
          <w:rFonts w:cs="Calibri"/>
          <w:lang w:val="es-ES"/>
        </w:rPr>
        <w:t xml:space="preserve"> de estos tipos de lámparas en el mercado.  </w:t>
      </w:r>
      <w:r w:rsidRPr="00E6587D">
        <w:rPr>
          <w:rFonts w:cs="Calibri"/>
          <w:lang w:val="es-ES"/>
        </w:rPr>
        <w:t xml:space="preserve"> </w:t>
      </w:r>
    </w:p>
    <w:p w14:paraId="698E4FBF" w14:textId="69A7AC67" w:rsidR="00ED4B11" w:rsidRPr="00E6587D" w:rsidRDefault="00ED4B11" w:rsidP="001404E7">
      <w:pPr>
        <w:pStyle w:val="ListParagraph"/>
        <w:numPr>
          <w:ilvl w:val="0"/>
          <w:numId w:val="28"/>
        </w:numPr>
        <w:spacing w:before="0" w:after="140"/>
        <w:rPr>
          <w:rFonts w:cs="Calibri"/>
          <w:lang w:val="es-ES"/>
        </w:rPr>
      </w:pPr>
      <w:r w:rsidRPr="00E6587D">
        <w:rPr>
          <w:rFonts w:cs="Calibri"/>
          <w:lang w:val="es-ES"/>
        </w:rPr>
        <w:t>Los valores de eficacia mínima para lámparas fluorescentes lineales</w:t>
      </w:r>
      <w:r w:rsidR="004F6184" w:rsidRPr="00E6587D">
        <w:rPr>
          <w:rFonts w:cs="Calibri"/>
          <w:lang w:val="es-ES"/>
        </w:rPr>
        <w:t xml:space="preserve"> (T5 y T8</w:t>
      </w:r>
      <w:r w:rsidRPr="00E6587D">
        <w:rPr>
          <w:rFonts w:cs="Calibri"/>
          <w:lang w:val="es-ES"/>
        </w:rPr>
        <w:t>)</w:t>
      </w:r>
      <w:r w:rsidR="004F6184" w:rsidRPr="00E6587D">
        <w:rPr>
          <w:rFonts w:cs="Calibri"/>
          <w:lang w:val="es-ES"/>
        </w:rPr>
        <w:t xml:space="preserve"> son idénticos </w:t>
      </w:r>
      <w:r w:rsidRPr="00E6587D">
        <w:rPr>
          <w:rFonts w:cs="Calibri"/>
          <w:lang w:val="es-ES"/>
        </w:rPr>
        <w:t xml:space="preserve">a los valores de la NOM-028-ENER-2010 (y de PROY-NOM-028-ENER-2017). </w:t>
      </w:r>
      <w:r w:rsidRPr="00E6587D">
        <w:rPr>
          <w:rFonts w:cs="Calibri"/>
          <w:lang w:val="es-ES"/>
        </w:rPr>
        <w:lastRenderedPageBreak/>
        <w:t xml:space="preserve">Para lámparas de descarga de alta intensidad y luz mixta se proponen valores de eficacia mínima de 75 lm/W para lámparas con potencia ≤ 100 W y 90 lm/W para lámparas con potencia &gt; 100 W. Estos límites son más ambiciosos que los limites correspondientes en la NOM-028-ENER-2010 (y PROY-NOM-028-ENER-2017), y eliminarían las lámparas de vapor de mercurio </w:t>
      </w:r>
      <w:r w:rsidR="00B12B02">
        <w:rPr>
          <w:rFonts w:cs="Calibri"/>
          <w:lang w:val="es-ES"/>
        </w:rPr>
        <w:t xml:space="preserve">a alta presión </w:t>
      </w:r>
      <w:r w:rsidRPr="00E6587D">
        <w:rPr>
          <w:rFonts w:cs="Calibri"/>
          <w:lang w:val="es-ES"/>
        </w:rPr>
        <w:t>y los modelos menos eficientes de las lámparas de halogenuros metálicos del mercado.</w:t>
      </w:r>
    </w:p>
    <w:p w14:paraId="2430436F" w14:textId="60FDF4D5" w:rsidR="009847B1" w:rsidRPr="009847B1" w:rsidRDefault="004F6184" w:rsidP="001404E7">
      <w:pPr>
        <w:pStyle w:val="ListParagraph"/>
        <w:numPr>
          <w:ilvl w:val="0"/>
          <w:numId w:val="28"/>
        </w:numPr>
        <w:rPr>
          <w:lang w:val="es-ES"/>
        </w:rPr>
      </w:pPr>
      <w:r w:rsidRPr="009847B1">
        <w:rPr>
          <w:lang w:val="es-ES"/>
        </w:rPr>
        <w:t>Con respecto a los métodos de prueba, todavía no está</w:t>
      </w:r>
      <w:r w:rsidR="009847B1" w:rsidRPr="009847B1">
        <w:rPr>
          <w:lang w:val="es-ES"/>
        </w:rPr>
        <w:t xml:space="preserve"> definido</w:t>
      </w:r>
      <w:r w:rsidRPr="009847B1">
        <w:rPr>
          <w:lang w:val="es-ES"/>
        </w:rPr>
        <w:t xml:space="preserve">, de forma unívoca, </w:t>
      </w:r>
      <w:r w:rsidR="009847B1" w:rsidRPr="009847B1">
        <w:rPr>
          <w:lang w:val="es-ES"/>
        </w:rPr>
        <w:t>cu</w:t>
      </w:r>
      <w:r w:rsidR="00FA30C7">
        <w:rPr>
          <w:lang w:val="es-ES"/>
        </w:rPr>
        <w:t>á</w:t>
      </w:r>
      <w:r w:rsidR="009847B1" w:rsidRPr="009847B1">
        <w:rPr>
          <w:lang w:val="es-ES"/>
        </w:rPr>
        <w:t>les serán l</w:t>
      </w:r>
      <w:r w:rsidR="00FA30C7">
        <w:rPr>
          <w:lang w:val="es-ES"/>
        </w:rPr>
        <w:t>a</w:t>
      </w:r>
      <w:r w:rsidR="009847B1" w:rsidRPr="009847B1">
        <w:rPr>
          <w:lang w:val="es-ES"/>
        </w:rPr>
        <w:t xml:space="preserve">s normas a incluir en la NT/RT (de acuerdo a los métodos de prueba incluidas y referenciadas en la NOM-028-ENER-2010 y el PROY-NOM-028-ENER-2017, o los métodos de prueba </w:t>
      </w:r>
      <w:r w:rsidR="003F6129">
        <w:rPr>
          <w:lang w:val="es-ES"/>
        </w:rPr>
        <w:t>definidas</w:t>
      </w:r>
      <w:r w:rsidR="009847B1" w:rsidRPr="009847B1">
        <w:rPr>
          <w:lang w:val="es-ES"/>
        </w:rPr>
        <w:t xml:space="preserve"> en las normas internacionales IEC correspondientes).</w:t>
      </w:r>
    </w:p>
    <w:p w14:paraId="2B02F539" w14:textId="0115499C" w:rsidR="009847B1" w:rsidRPr="009847B1" w:rsidRDefault="009847B1" w:rsidP="001404E7">
      <w:pPr>
        <w:pStyle w:val="ListParagraph"/>
        <w:numPr>
          <w:ilvl w:val="0"/>
          <w:numId w:val="28"/>
        </w:numPr>
        <w:spacing w:before="0" w:after="140"/>
        <w:rPr>
          <w:lang w:val="es-ES"/>
        </w:rPr>
      </w:pPr>
      <w:r w:rsidRPr="009847B1">
        <w:rPr>
          <w:lang w:val="es-ES"/>
        </w:rPr>
        <w:t>El borrador del Anteproyecto de NT/RT carece todavía de varias estipulaciones importantes, incluidos el etiquetado, el muestreo, los criterios de aplicación, los procedimientos de evaluación de la conformidad, vigilancia y sanciones.</w:t>
      </w:r>
    </w:p>
    <w:p w14:paraId="56A4E6C9" w14:textId="77777777" w:rsidR="00E64B1E" w:rsidRDefault="00E64B1E" w:rsidP="00E64B1E">
      <w:pPr>
        <w:pStyle w:val="BodyText"/>
        <w:rPr>
          <w:lang w:val="es-ES"/>
        </w:rPr>
      </w:pPr>
    </w:p>
    <w:p w14:paraId="52DB9504" w14:textId="3CA08C82" w:rsidR="00E64B1E" w:rsidRPr="00016F24" w:rsidRDefault="00E64B1E" w:rsidP="00E64B1E">
      <w:pPr>
        <w:pStyle w:val="BodyText"/>
        <w:rPr>
          <w:lang w:val="es-ES"/>
        </w:rPr>
      </w:pPr>
      <w:r w:rsidRPr="00016F24">
        <w:rPr>
          <w:lang w:val="es-ES"/>
        </w:rPr>
        <w:t xml:space="preserve">En la sección 5 del </w:t>
      </w:r>
      <w:r w:rsidRPr="005E3FEE">
        <w:rPr>
          <w:lang w:val="es-ES"/>
        </w:rPr>
        <w:t>informe se presenta</w:t>
      </w:r>
      <w:r>
        <w:rPr>
          <w:lang w:val="es-ES"/>
        </w:rPr>
        <w:t xml:space="preserve">n </w:t>
      </w:r>
      <w:r w:rsidRPr="00294359">
        <w:rPr>
          <w:b/>
          <w:lang w:val="es-ES"/>
        </w:rPr>
        <w:t>propuestas y recomendaciones</w:t>
      </w:r>
      <w:r w:rsidRPr="005E3FEE">
        <w:rPr>
          <w:lang w:val="es-ES"/>
        </w:rPr>
        <w:t xml:space="preserve"> con re</w:t>
      </w:r>
      <w:r w:rsidR="003F6129">
        <w:rPr>
          <w:lang w:val="es-ES"/>
        </w:rPr>
        <w:t>sp</w:t>
      </w:r>
      <w:r w:rsidRPr="005E3FEE">
        <w:rPr>
          <w:lang w:val="es-ES"/>
        </w:rPr>
        <w:t>ecto a</w:t>
      </w:r>
      <w:r>
        <w:rPr>
          <w:lang w:val="es-ES"/>
        </w:rPr>
        <w:t xml:space="preserve"> (i) el alcance de la NT/RT, (ii) las normas de medición (métodos de </w:t>
      </w:r>
      <w:r w:rsidR="003D6B3F">
        <w:rPr>
          <w:lang w:val="es-ES"/>
        </w:rPr>
        <w:t xml:space="preserve">prueba) apropiadas, (iii) los límites (índices) de desempeño energético mínimos adecuados, </w:t>
      </w:r>
      <w:r w:rsidR="003D6B3F" w:rsidRPr="003D6B3F">
        <w:rPr>
          <w:lang w:val="es-ES"/>
        </w:rPr>
        <w:t>tomando en consideración los valores mínimos aplicados en los reglamentos correspondientes de EE.UU., de la Unión Europea y de México</w:t>
      </w:r>
      <w:r w:rsidR="003D6B3F">
        <w:rPr>
          <w:lang w:val="es-ES"/>
        </w:rPr>
        <w:t>, (iv) l</w:t>
      </w:r>
      <w:r w:rsidR="003D6B3F" w:rsidRPr="003D6B3F">
        <w:rPr>
          <w:lang w:val="es-ES"/>
        </w:rPr>
        <w:t>a conveniencia de lograr un mayor grado de alineación con las normas y reglamentos de US-DOE, de la Unión Europea y/o de las NOM-ENER, así como con los métodos de prueba correspondientes,</w:t>
      </w:r>
      <w:r w:rsidR="003D6B3F">
        <w:rPr>
          <w:lang w:val="es-ES"/>
        </w:rPr>
        <w:t xml:space="preserve"> (v) </w:t>
      </w:r>
      <w:r>
        <w:rPr>
          <w:lang w:val="es-ES"/>
        </w:rPr>
        <w:t xml:space="preserve"> </w:t>
      </w:r>
      <w:r w:rsidR="003D6B3F">
        <w:rPr>
          <w:lang w:val="es-ES"/>
        </w:rPr>
        <w:t>l</w:t>
      </w:r>
      <w:r w:rsidR="003D6B3F" w:rsidRPr="003D6B3F">
        <w:rPr>
          <w:lang w:val="es-ES"/>
        </w:rPr>
        <w:t>os procedimientos de evaluación de la conformidad para ser incluidos o referidos en la NT/RT</w:t>
      </w:r>
      <w:r w:rsidR="003D6B3F">
        <w:rPr>
          <w:lang w:val="es-ES"/>
        </w:rPr>
        <w:t>, (vi) d</w:t>
      </w:r>
      <w:r w:rsidR="003D6B3F" w:rsidRPr="003D6B3F">
        <w:rPr>
          <w:lang w:val="es-ES"/>
        </w:rPr>
        <w:t>iseño, contenido y colocación de una etiqueta para productos de iluminación</w:t>
      </w:r>
      <w:r w:rsidR="003D6B3F">
        <w:rPr>
          <w:lang w:val="es-ES"/>
        </w:rPr>
        <w:t>, (vii) i</w:t>
      </w:r>
      <w:r w:rsidR="003D6B3F" w:rsidRPr="003D6B3F">
        <w:rPr>
          <w:lang w:val="es-ES"/>
        </w:rPr>
        <w:t>nclusión o modificación de estipulaciones faltantes o incompletas y mejoras editoriales de la NT/RT</w:t>
      </w:r>
      <w:r w:rsidR="003D6B3F">
        <w:rPr>
          <w:lang w:val="es-ES"/>
        </w:rPr>
        <w:t>.</w:t>
      </w:r>
    </w:p>
    <w:p w14:paraId="1CFBAE58" w14:textId="46D69E0C" w:rsidR="003D6B3F" w:rsidRDefault="003D6B3F" w:rsidP="00E64B1E">
      <w:pPr>
        <w:pStyle w:val="BodyText"/>
        <w:rPr>
          <w:lang w:val="es-ES"/>
        </w:rPr>
      </w:pPr>
      <w:r>
        <w:rPr>
          <w:lang w:val="es-ES"/>
        </w:rPr>
        <w:t>En resumen, se recom</w:t>
      </w:r>
      <w:r w:rsidR="008B6947">
        <w:rPr>
          <w:lang w:val="es-ES"/>
        </w:rPr>
        <w:t>i</w:t>
      </w:r>
      <w:r>
        <w:rPr>
          <w:lang w:val="es-ES"/>
        </w:rPr>
        <w:t>enda:</w:t>
      </w:r>
    </w:p>
    <w:p w14:paraId="653DF667" w14:textId="09A66746" w:rsidR="00E64B1E" w:rsidRDefault="003D6B3F" w:rsidP="00716197">
      <w:pPr>
        <w:pStyle w:val="BodyText"/>
        <w:numPr>
          <w:ilvl w:val="0"/>
          <w:numId w:val="46"/>
        </w:numPr>
        <w:rPr>
          <w:lang w:val="es-ES"/>
        </w:rPr>
      </w:pPr>
      <w:r>
        <w:rPr>
          <w:lang w:val="es-ES"/>
        </w:rPr>
        <w:t>L</w:t>
      </w:r>
      <w:r w:rsidR="00E64B1E">
        <w:rPr>
          <w:lang w:val="es-ES"/>
        </w:rPr>
        <w:t xml:space="preserve">a elaboración de un solo reglamento técnico que </w:t>
      </w:r>
      <w:r w:rsidR="002F1317">
        <w:rPr>
          <w:lang w:val="es-ES"/>
        </w:rPr>
        <w:t xml:space="preserve">incluya </w:t>
      </w:r>
      <w:r w:rsidR="00E64B1E">
        <w:rPr>
          <w:lang w:val="es-ES"/>
        </w:rPr>
        <w:t>por lo menos los siguientes tipos de lámparas: lámparas incandescentes, lámparas incandescentes con halógenos, lámparas fluorescentes, LFC autobalastradas y lámparas de descarga de alta intensidad</w:t>
      </w:r>
      <w:r>
        <w:rPr>
          <w:lang w:val="es-ES"/>
        </w:rPr>
        <w:t xml:space="preserve">, </w:t>
      </w:r>
      <w:r w:rsidR="003F6129">
        <w:rPr>
          <w:lang w:val="es-ES"/>
        </w:rPr>
        <w:t xml:space="preserve">además de </w:t>
      </w:r>
      <w:r>
        <w:rPr>
          <w:lang w:val="es-ES"/>
        </w:rPr>
        <w:t xml:space="preserve">– de forma opcional </w:t>
      </w:r>
      <w:r w:rsidRPr="003D6B3F">
        <w:rPr>
          <w:lang w:val="es-ES"/>
        </w:rPr>
        <w:t>–</w:t>
      </w:r>
      <w:r>
        <w:rPr>
          <w:lang w:val="es-ES"/>
        </w:rPr>
        <w:t xml:space="preserve"> </w:t>
      </w:r>
      <w:r w:rsidR="00E64B1E">
        <w:rPr>
          <w:lang w:val="es-ES"/>
        </w:rPr>
        <w:t xml:space="preserve">lámparas LED integradas y </w:t>
      </w:r>
      <w:r w:rsidR="00337FE0" w:rsidRPr="00337FE0">
        <w:rPr>
          <w:color w:val="FF0000"/>
          <w:lang w:val="es-ES"/>
        </w:rPr>
        <w:t>luminarias /</w:t>
      </w:r>
      <w:r w:rsidR="00337FE0">
        <w:rPr>
          <w:lang w:val="es-ES"/>
        </w:rPr>
        <w:t xml:space="preserve"> </w:t>
      </w:r>
      <w:r w:rsidR="00E64B1E">
        <w:rPr>
          <w:lang w:val="es-ES"/>
        </w:rPr>
        <w:t>m</w:t>
      </w:r>
      <w:r w:rsidR="003F6129">
        <w:rPr>
          <w:lang w:val="es-ES"/>
        </w:rPr>
        <w:t>ó</w:t>
      </w:r>
      <w:r w:rsidR="00E64B1E">
        <w:rPr>
          <w:lang w:val="es-ES"/>
        </w:rPr>
        <w:t>dulos LED</w:t>
      </w:r>
      <w:r>
        <w:rPr>
          <w:lang w:val="es-ES"/>
        </w:rPr>
        <w:t>.</w:t>
      </w:r>
      <w:r w:rsidR="00914127">
        <w:rPr>
          <w:rStyle w:val="FootnoteReference"/>
        </w:rPr>
        <w:footnoteReference w:id="6"/>
      </w:r>
      <w:r w:rsidR="00E64B1E">
        <w:rPr>
          <w:lang w:val="es-ES"/>
        </w:rPr>
        <w:t xml:space="preserve"> </w:t>
      </w:r>
    </w:p>
    <w:p w14:paraId="2236BC21" w14:textId="4FD49E61" w:rsidR="008B6947" w:rsidRDefault="00F504C6" w:rsidP="00716197">
      <w:pPr>
        <w:pStyle w:val="BodyText"/>
        <w:numPr>
          <w:ilvl w:val="0"/>
          <w:numId w:val="46"/>
        </w:numPr>
        <w:rPr>
          <w:lang w:val="es-ES"/>
        </w:rPr>
      </w:pPr>
      <w:r>
        <w:rPr>
          <w:lang w:val="es-ES"/>
        </w:rPr>
        <w:t>L</w:t>
      </w:r>
      <w:r w:rsidR="008B6947" w:rsidRPr="008B6947">
        <w:rPr>
          <w:lang w:val="es-ES"/>
        </w:rPr>
        <w:t>a homologación de las normas</w:t>
      </w:r>
      <w:r>
        <w:rPr>
          <w:lang w:val="es-ES"/>
        </w:rPr>
        <w:t xml:space="preserve"> de medición</w:t>
      </w:r>
      <w:r w:rsidR="008B6947" w:rsidRPr="008B6947">
        <w:rPr>
          <w:lang w:val="es-ES"/>
        </w:rPr>
        <w:t xml:space="preserve"> internacionales IEC </w:t>
      </w:r>
      <w:r>
        <w:rPr>
          <w:lang w:val="es-ES"/>
        </w:rPr>
        <w:t xml:space="preserve">para lámparas </w:t>
      </w:r>
      <w:r w:rsidR="008B6947" w:rsidRPr="008B6947">
        <w:rPr>
          <w:lang w:val="es-ES"/>
        </w:rPr>
        <w:t>como normas DGNTI-COPANIT</w:t>
      </w:r>
      <w:r>
        <w:rPr>
          <w:lang w:val="es-ES"/>
        </w:rPr>
        <w:t>. La alternativa sería la homologación de los métodos de prueba de las normas mexicanas NOM-ENER y NMX para lámparas</w:t>
      </w:r>
      <w:r w:rsidR="008B6947" w:rsidRPr="008B6947">
        <w:rPr>
          <w:lang w:val="es-ES"/>
        </w:rPr>
        <w:t xml:space="preserve">, </w:t>
      </w:r>
      <w:r>
        <w:rPr>
          <w:lang w:val="es-ES"/>
        </w:rPr>
        <w:t xml:space="preserve">que podría resultar más </w:t>
      </w:r>
      <w:r w:rsidR="002F1317">
        <w:rPr>
          <w:lang w:val="es-ES"/>
        </w:rPr>
        <w:t>fácil</w:t>
      </w:r>
      <w:r>
        <w:rPr>
          <w:lang w:val="es-ES"/>
        </w:rPr>
        <w:t xml:space="preserve"> en la práctica, tomando en consideración la cantidad de normas IEC respectivamente NMX referenciadas en ambos casos (véase los Anexos </w:t>
      </w:r>
      <w:r w:rsidRPr="00F504C6">
        <w:rPr>
          <w:lang w:val="es-ES"/>
        </w:rPr>
        <w:t>8 – 14</w:t>
      </w:r>
      <w:r>
        <w:rPr>
          <w:lang w:val="es-ES"/>
        </w:rPr>
        <w:t>)</w:t>
      </w:r>
      <w:r w:rsidR="008B6947" w:rsidRPr="008B6947">
        <w:rPr>
          <w:lang w:val="es-ES"/>
        </w:rPr>
        <w:t>.</w:t>
      </w:r>
    </w:p>
    <w:p w14:paraId="12FCE8B7" w14:textId="4C2FDDD2" w:rsidR="00E64B1E" w:rsidRDefault="00F504C6" w:rsidP="00716197">
      <w:pPr>
        <w:pStyle w:val="BodyText"/>
        <w:numPr>
          <w:ilvl w:val="0"/>
          <w:numId w:val="46"/>
        </w:numPr>
        <w:rPr>
          <w:lang w:val="es-ES"/>
        </w:rPr>
      </w:pPr>
      <w:r>
        <w:rPr>
          <w:lang w:val="es-ES"/>
        </w:rPr>
        <w:t>E</w:t>
      </w:r>
      <w:r w:rsidR="00E64B1E">
        <w:rPr>
          <w:lang w:val="es-ES"/>
        </w:rPr>
        <w:t xml:space="preserve">stablecer un límite </w:t>
      </w:r>
      <w:r>
        <w:rPr>
          <w:lang w:val="es-ES"/>
        </w:rPr>
        <w:t xml:space="preserve">de desempeño energético mínimo </w:t>
      </w:r>
      <w:r w:rsidR="00E64B1E">
        <w:rPr>
          <w:lang w:val="es-ES"/>
        </w:rPr>
        <w:t xml:space="preserve">de entre 60 y 70 lm/W para todas lámparas de uso general (lámparas incandescentes e incandescentes con halógenos, LFC autobalastradas y lámparas LED), con la excepción de lámparas fluorescentes lineales y lámparas de descarga de alta intensidad para la iluminación de exteriores, para las cuales se recomienda un límite entre 80 y 90 lm/W. Se recomienda ajustar los límites propuestos en el borrador del Anteproyecto de la NT/RT de agosto de 2017 a estos valores (unificando también los índices de los grupos de lámparas indicados en este </w:t>
      </w:r>
      <w:r w:rsidR="002F1317">
        <w:rPr>
          <w:lang w:val="es-ES"/>
        </w:rPr>
        <w:t>párrafo</w:t>
      </w:r>
      <w:r w:rsidR="00E64B1E">
        <w:rPr>
          <w:lang w:val="es-ES"/>
        </w:rPr>
        <w:t>).</w:t>
      </w:r>
      <w:r>
        <w:rPr>
          <w:lang w:val="es-ES"/>
        </w:rPr>
        <w:t xml:space="preserve"> </w:t>
      </w:r>
      <w:r w:rsidR="00E64B1E" w:rsidRPr="00CA6171">
        <w:rPr>
          <w:lang w:val="es-ES"/>
        </w:rPr>
        <w:t>De esta manera se eliminarán del mercado las lámparas incandescentes e incandescentes con halógenos, las LFC</w:t>
      </w:r>
      <w:r w:rsidR="009714A1">
        <w:rPr>
          <w:lang w:val="es-ES"/>
        </w:rPr>
        <w:t xml:space="preserve"> menos eficientes</w:t>
      </w:r>
      <w:r w:rsidR="00E64B1E" w:rsidRPr="00CA6171">
        <w:rPr>
          <w:lang w:val="es-ES"/>
        </w:rPr>
        <w:t xml:space="preserve">, las lámparas de vapor de mercurio </w:t>
      </w:r>
      <w:r w:rsidR="00B12B02">
        <w:rPr>
          <w:lang w:val="es-ES"/>
        </w:rPr>
        <w:t>a</w:t>
      </w:r>
      <w:r w:rsidR="00E64B1E" w:rsidRPr="00CA6171">
        <w:rPr>
          <w:lang w:val="es-ES"/>
        </w:rPr>
        <w:t xml:space="preserve"> alta presión y parcialmente las lámparas de halogenuros metálicos</w:t>
      </w:r>
      <w:r w:rsidR="00562524">
        <w:rPr>
          <w:lang w:val="es-ES"/>
        </w:rPr>
        <w:t>.</w:t>
      </w:r>
      <w:r w:rsidR="000D2D39">
        <w:rPr>
          <w:rStyle w:val="FootnoteReference"/>
        </w:rPr>
        <w:footnoteReference w:id="7"/>
      </w:r>
      <w:r w:rsidR="00E64B1E" w:rsidRPr="00CA6171">
        <w:rPr>
          <w:lang w:val="es-ES"/>
        </w:rPr>
        <w:t xml:space="preserve"> Permanecerían en el mercado las lámparas fluorescentes lineales eficientes, las </w:t>
      </w:r>
      <w:r w:rsidR="00E64B1E" w:rsidRPr="00CA6171">
        <w:rPr>
          <w:lang w:val="es-ES"/>
        </w:rPr>
        <w:lastRenderedPageBreak/>
        <w:t xml:space="preserve">lámparas LED integradas, las lámparas de halogenuros metálicos eficientes, las lámparas de vapor de sodio y las lámparas con elementos </w:t>
      </w:r>
      <w:r w:rsidR="00E64B1E" w:rsidRPr="00463DAB">
        <w:rPr>
          <w:color w:val="auto"/>
          <w:lang w:val="es-ES"/>
        </w:rPr>
        <w:t>LED</w:t>
      </w:r>
      <w:r w:rsidR="00E64B1E" w:rsidRPr="00337FE0">
        <w:rPr>
          <w:strike/>
          <w:color w:val="FF0000"/>
          <w:lang w:val="es-ES"/>
        </w:rPr>
        <w:t xml:space="preserve"> para el alumbrado de exteriores</w:t>
      </w:r>
      <w:r w:rsidR="00E64B1E" w:rsidRPr="00CA6171">
        <w:rPr>
          <w:lang w:val="es-ES"/>
        </w:rPr>
        <w:t>.</w:t>
      </w:r>
    </w:p>
    <w:p w14:paraId="0B786ACF" w14:textId="6D5112F8" w:rsidR="00E64B1E" w:rsidRDefault="00716197" w:rsidP="00716197">
      <w:pPr>
        <w:pStyle w:val="BodyText"/>
        <w:numPr>
          <w:ilvl w:val="0"/>
          <w:numId w:val="46"/>
        </w:numPr>
        <w:rPr>
          <w:lang w:val="es-ES"/>
        </w:rPr>
      </w:pPr>
      <w:r>
        <w:rPr>
          <w:lang w:val="es-ES"/>
        </w:rPr>
        <w:t xml:space="preserve">Definir un sistema de </w:t>
      </w:r>
      <w:r w:rsidR="00E64B1E">
        <w:rPr>
          <w:lang w:val="es-ES"/>
        </w:rPr>
        <w:t>evaluación de la conformidad</w:t>
      </w:r>
      <w:r w:rsidR="00E64B1E" w:rsidRPr="00F32420">
        <w:rPr>
          <w:lang w:val="es-ES"/>
        </w:rPr>
        <w:t xml:space="preserve"> de acuerdo a ISO/IEC 17067, en particular los esquemas 3 y 5 establecidos en esta norma internacional</w:t>
      </w:r>
      <w:r>
        <w:rPr>
          <w:lang w:val="es-ES"/>
        </w:rPr>
        <w:t>,</w:t>
      </w:r>
      <w:r w:rsidRPr="00716197">
        <w:rPr>
          <w:lang w:val="es-ES"/>
        </w:rPr>
        <w:t xml:space="preserve"> en concordancia con el marco legal e institucional de Panamá</w:t>
      </w:r>
      <w:r>
        <w:rPr>
          <w:lang w:val="es-ES"/>
        </w:rPr>
        <w:t>.</w:t>
      </w:r>
    </w:p>
    <w:p w14:paraId="2C3E4E89" w14:textId="635DB247" w:rsidR="00716197" w:rsidRDefault="00716197" w:rsidP="00716197">
      <w:pPr>
        <w:pStyle w:val="BodyText"/>
        <w:numPr>
          <w:ilvl w:val="0"/>
          <w:numId w:val="46"/>
        </w:numPr>
        <w:rPr>
          <w:lang w:val="es-ES"/>
        </w:rPr>
      </w:pPr>
      <w:r>
        <w:rPr>
          <w:lang w:val="es-ES"/>
        </w:rPr>
        <w:t xml:space="preserve">Definir una etiqueta energética que se </w:t>
      </w:r>
      <w:r w:rsidR="002F1317">
        <w:rPr>
          <w:lang w:val="es-ES"/>
        </w:rPr>
        <w:t xml:space="preserve">oriente </w:t>
      </w:r>
      <w:r>
        <w:rPr>
          <w:lang w:val="es-ES"/>
        </w:rPr>
        <w:t xml:space="preserve">al diseño de la </w:t>
      </w:r>
      <w:r w:rsidR="00E64B1E">
        <w:rPr>
          <w:lang w:val="es-ES"/>
        </w:rPr>
        <w:t>etiqueta “</w:t>
      </w:r>
      <w:r w:rsidR="00E64B1E" w:rsidRPr="003F6129">
        <w:rPr>
          <w:i/>
          <w:lang w:val="es-ES"/>
        </w:rPr>
        <w:t>Lighting facts</w:t>
      </w:r>
      <w:r w:rsidR="00E64B1E">
        <w:rPr>
          <w:lang w:val="es-ES"/>
        </w:rPr>
        <w:t>” de EE.UU.</w:t>
      </w:r>
      <w:r>
        <w:rPr>
          <w:lang w:val="es-ES"/>
        </w:rPr>
        <w:t>, definiendo la información in</w:t>
      </w:r>
      <w:r w:rsidR="003F6129">
        <w:rPr>
          <w:lang w:val="es-ES"/>
        </w:rPr>
        <w:t>c</w:t>
      </w:r>
      <w:r>
        <w:rPr>
          <w:lang w:val="es-ES"/>
        </w:rPr>
        <w:t>luida en la etiqueta y la información adicional para el consumidor que se debe mostrar en el embalaje de la lámpara.</w:t>
      </w:r>
    </w:p>
    <w:p w14:paraId="55519AFC" w14:textId="323462E2" w:rsidR="00E64B1E" w:rsidRDefault="00E64B1E" w:rsidP="00716197">
      <w:pPr>
        <w:pStyle w:val="BodyText"/>
        <w:rPr>
          <w:lang w:val="es-ES"/>
        </w:rPr>
      </w:pPr>
      <w:r>
        <w:rPr>
          <w:lang w:val="es-ES"/>
        </w:rPr>
        <w:t>La implementación de estas recomendaciones resultará en la alineación con normas y reglamentos de referencia, de acuerdo a l</w:t>
      </w:r>
      <w:r w:rsidR="00716197">
        <w:rPr>
          <w:lang w:val="es-ES"/>
        </w:rPr>
        <w:t xml:space="preserve">o mostrado en la figura 10. </w:t>
      </w:r>
    </w:p>
    <w:p w14:paraId="36B3A890" w14:textId="737786FF" w:rsidR="00E64B1E" w:rsidRPr="000A4521" w:rsidRDefault="00E64B1E" w:rsidP="00E64B1E">
      <w:pPr>
        <w:pStyle w:val="BodyText"/>
        <w:rPr>
          <w:lang w:val="es-ES"/>
        </w:rPr>
      </w:pPr>
      <w:r>
        <w:rPr>
          <w:lang w:val="es-ES"/>
        </w:rPr>
        <w:t xml:space="preserve">Se recomienda elaborar documentos separados de reglamento(s) técnico(s) y de normas técnicas. Mientras que el </w:t>
      </w:r>
      <w:r w:rsidRPr="000A4521">
        <w:rPr>
          <w:lang w:val="es-ES"/>
        </w:rPr>
        <w:t xml:space="preserve">reglamento técnico debe incluir </w:t>
      </w:r>
      <w:r w:rsidR="002F1317" w:rsidRPr="000A4521">
        <w:rPr>
          <w:lang w:val="es-ES"/>
        </w:rPr>
        <w:t>vari</w:t>
      </w:r>
      <w:r w:rsidR="002F1317">
        <w:rPr>
          <w:lang w:val="es-ES"/>
        </w:rPr>
        <w:t>o</w:t>
      </w:r>
      <w:r w:rsidR="002F1317" w:rsidRPr="000A4521">
        <w:rPr>
          <w:lang w:val="es-ES"/>
        </w:rPr>
        <w:t xml:space="preserve">s </w:t>
      </w:r>
      <w:r w:rsidRPr="000A4521">
        <w:rPr>
          <w:lang w:val="es-ES"/>
        </w:rPr>
        <w:t>tipos de lámparas, los métodos de prueba deben incluirse en normas técnicas específicas para cada tecnología</w:t>
      </w:r>
      <w:r>
        <w:rPr>
          <w:lang w:val="es-ES"/>
        </w:rPr>
        <w:t xml:space="preserve">. </w:t>
      </w:r>
      <w:r w:rsidRPr="000A4521">
        <w:rPr>
          <w:lang w:val="es-ES"/>
        </w:rPr>
        <w:t>El RT debe incluir los límites de desempeño energético mínimo y las estipulaciones de etiquet</w:t>
      </w:r>
      <w:r w:rsidR="00D235B0">
        <w:rPr>
          <w:lang w:val="es-ES"/>
        </w:rPr>
        <w:t>ad</w:t>
      </w:r>
      <w:r w:rsidRPr="000A4521">
        <w:rPr>
          <w:lang w:val="es-ES"/>
        </w:rPr>
        <w:t xml:space="preserve">o y de la evaluación de la conformidad, mientras que </w:t>
      </w:r>
      <w:r w:rsidR="002F1317" w:rsidRPr="000A4521">
        <w:rPr>
          <w:lang w:val="es-ES"/>
        </w:rPr>
        <w:t>l</w:t>
      </w:r>
      <w:r w:rsidR="002F1317">
        <w:rPr>
          <w:lang w:val="es-ES"/>
        </w:rPr>
        <w:t>a</w:t>
      </w:r>
      <w:r w:rsidR="002F1317" w:rsidRPr="000A4521">
        <w:rPr>
          <w:lang w:val="es-ES"/>
        </w:rPr>
        <w:t xml:space="preserve">s </w:t>
      </w:r>
      <w:r w:rsidRPr="000A4521">
        <w:rPr>
          <w:lang w:val="es-ES"/>
        </w:rPr>
        <w:t>NTs deben incluir los métodos de prueba para cada tipo de lámpara</w:t>
      </w:r>
      <w:r>
        <w:rPr>
          <w:lang w:val="es-ES"/>
        </w:rPr>
        <w:t xml:space="preserve">, abarcando tanto la eficacia luminosa como los </w:t>
      </w:r>
      <w:r w:rsidRPr="000A4521">
        <w:rPr>
          <w:lang w:val="es-ES"/>
        </w:rPr>
        <w:t>parámetros de funcionalidad de las lámparas</w:t>
      </w:r>
      <w:r w:rsidR="00716197">
        <w:rPr>
          <w:lang w:val="es-ES"/>
        </w:rPr>
        <w:t xml:space="preserve"> (véase la tabla 10 y el Anexo 15).</w:t>
      </w:r>
    </w:p>
    <w:p w14:paraId="41BDFD60" w14:textId="77777777" w:rsidR="00022E91" w:rsidRDefault="00022E91" w:rsidP="00022E91">
      <w:pPr>
        <w:spacing w:before="0" w:after="140"/>
        <w:rPr>
          <w:szCs w:val="20"/>
          <w:lang w:val="es-ES"/>
        </w:rPr>
      </w:pPr>
    </w:p>
    <w:p w14:paraId="06422EB4" w14:textId="58C38A27" w:rsidR="00AC1D94" w:rsidRDefault="00755908" w:rsidP="00AC1D94">
      <w:pPr>
        <w:pStyle w:val="MAX"/>
        <w:spacing w:before="100" w:beforeAutospacing="1"/>
        <w:jc w:val="left"/>
        <w:rPr>
          <w:rFonts w:eastAsiaTheme="minorEastAsia"/>
          <w:lang w:val="es-ES"/>
        </w:rPr>
      </w:pPr>
      <w:bookmarkStart w:id="8" w:name="_Toc516145995"/>
      <w:r>
        <w:rPr>
          <w:rFonts w:eastAsiaTheme="minorEastAsia"/>
          <w:lang w:val="es-ES"/>
        </w:rPr>
        <w:lastRenderedPageBreak/>
        <w:t>Normas y reglamentos para productos de iluminación</w:t>
      </w:r>
      <w:bookmarkEnd w:id="8"/>
    </w:p>
    <w:p w14:paraId="689D1875" w14:textId="74068D52" w:rsidR="00D0295B" w:rsidRDefault="001B6BD2" w:rsidP="00AB653E">
      <w:pPr>
        <w:pStyle w:val="Heading1"/>
        <w:rPr>
          <w:lang w:val="es-ES"/>
        </w:rPr>
      </w:pPr>
      <w:bookmarkStart w:id="9" w:name="_Toc516145996"/>
      <w:r w:rsidRPr="001B6BD2">
        <w:rPr>
          <w:lang w:val="es-ES"/>
        </w:rPr>
        <w:lastRenderedPageBreak/>
        <w:t>Intro</w:t>
      </w:r>
      <w:r>
        <w:rPr>
          <w:lang w:val="es-ES"/>
        </w:rPr>
        <w:t>du</w:t>
      </w:r>
      <w:r w:rsidRPr="001B6BD2">
        <w:rPr>
          <w:lang w:val="es-ES"/>
        </w:rPr>
        <w:t>cción</w:t>
      </w:r>
      <w:bookmarkEnd w:id="4"/>
      <w:bookmarkEnd w:id="5"/>
      <w:bookmarkEnd w:id="9"/>
    </w:p>
    <w:p w14:paraId="2676725B" w14:textId="2E42B5A6" w:rsidR="00411FF7" w:rsidRPr="00411FF7" w:rsidRDefault="00411FF7" w:rsidP="007E13F3">
      <w:pPr>
        <w:spacing w:before="0" w:after="140"/>
        <w:rPr>
          <w:lang w:val="es-ES"/>
        </w:rPr>
      </w:pPr>
      <w:r w:rsidRPr="00411FF7">
        <w:rPr>
          <w:lang w:val="es-ES"/>
        </w:rPr>
        <w:t xml:space="preserve">Este informe fue preparado en el marco del contrato no. 000259508000099 entre el Banco Mundial y el consultor Wolfgang Friedrich Lutz del </w:t>
      </w:r>
      <w:r w:rsidR="00DD33C7">
        <w:rPr>
          <w:lang w:val="es-ES"/>
        </w:rPr>
        <w:t>22</w:t>
      </w:r>
      <w:r w:rsidRPr="00411FF7">
        <w:rPr>
          <w:lang w:val="es-ES"/>
        </w:rPr>
        <w:t xml:space="preserve"> de </w:t>
      </w:r>
      <w:r w:rsidR="00DD33C7">
        <w:rPr>
          <w:lang w:val="es-ES"/>
        </w:rPr>
        <w:t>junio</w:t>
      </w:r>
      <w:r w:rsidRPr="00411FF7">
        <w:rPr>
          <w:lang w:val="es-ES"/>
        </w:rPr>
        <w:t xml:space="preserve"> </w:t>
      </w:r>
      <w:r w:rsidR="0021795B">
        <w:rPr>
          <w:lang w:val="es-ES"/>
        </w:rPr>
        <w:t xml:space="preserve">de </w:t>
      </w:r>
      <w:r w:rsidRPr="00411FF7">
        <w:rPr>
          <w:lang w:val="es-ES"/>
        </w:rPr>
        <w:t xml:space="preserve">2017 y de los Términos de Referencia (TdR) correspondientes. El informe presenta las actividades </w:t>
      </w:r>
      <w:r w:rsidR="00082B53">
        <w:rPr>
          <w:lang w:val="es-ES"/>
        </w:rPr>
        <w:t>desarrolladas</w:t>
      </w:r>
      <w:r w:rsidR="00DD33C7">
        <w:rPr>
          <w:lang w:val="es-ES"/>
        </w:rPr>
        <w:t xml:space="preserve"> </w:t>
      </w:r>
      <w:r w:rsidR="0030173E">
        <w:rPr>
          <w:lang w:val="es-ES"/>
        </w:rPr>
        <w:t xml:space="preserve">y los resultados </w:t>
      </w:r>
      <w:r w:rsidR="0030173E" w:rsidRPr="007C449D">
        <w:rPr>
          <w:lang w:val="es-ES"/>
        </w:rPr>
        <w:t xml:space="preserve">de la </w:t>
      </w:r>
      <w:r w:rsidRPr="007C449D">
        <w:rPr>
          <w:lang w:val="es-ES"/>
        </w:rPr>
        <w:t xml:space="preserve">consultoría, </w:t>
      </w:r>
      <w:r w:rsidR="009109F0" w:rsidRPr="007C449D">
        <w:rPr>
          <w:lang w:val="es-ES"/>
        </w:rPr>
        <w:t xml:space="preserve">que incluye las tareas 1 – </w:t>
      </w:r>
      <w:r w:rsidR="00082B53">
        <w:rPr>
          <w:lang w:val="es-ES"/>
        </w:rPr>
        <w:t>4</w:t>
      </w:r>
      <w:r w:rsidR="009109F0" w:rsidRPr="007C449D">
        <w:rPr>
          <w:lang w:val="es-ES"/>
        </w:rPr>
        <w:t xml:space="preserve"> </w:t>
      </w:r>
      <w:r w:rsidRPr="007C449D">
        <w:rPr>
          <w:lang w:val="es-ES"/>
        </w:rPr>
        <w:t>de acuerdo a los TdR del consultor.</w:t>
      </w:r>
      <w:r w:rsidRPr="007C449D">
        <w:rPr>
          <w:rStyle w:val="FootnoteReference"/>
          <w:sz w:val="22"/>
          <w:lang w:val="es-ES"/>
        </w:rPr>
        <w:footnoteReference w:id="8"/>
      </w:r>
      <w:r w:rsidRPr="007C449D">
        <w:rPr>
          <w:lang w:val="es-ES"/>
        </w:rPr>
        <w:t xml:space="preserve"> </w:t>
      </w:r>
      <w:r w:rsidR="0030173E" w:rsidRPr="007C449D">
        <w:rPr>
          <w:lang w:val="es-ES"/>
        </w:rPr>
        <w:t>El informe</w:t>
      </w:r>
      <w:r w:rsidR="0030173E">
        <w:rPr>
          <w:lang w:val="es-ES"/>
        </w:rPr>
        <w:t xml:space="preserve"> </w:t>
      </w:r>
      <w:r w:rsidR="009109F0">
        <w:rPr>
          <w:lang w:val="es-ES"/>
        </w:rPr>
        <w:t>in</w:t>
      </w:r>
      <w:r w:rsidR="008543EF">
        <w:rPr>
          <w:lang w:val="es-ES"/>
        </w:rPr>
        <w:t>c</w:t>
      </w:r>
      <w:r w:rsidR="009109F0">
        <w:rPr>
          <w:lang w:val="es-ES"/>
        </w:rPr>
        <w:t>luye los resultados de la</w:t>
      </w:r>
      <w:r w:rsidR="007546B0">
        <w:rPr>
          <w:lang w:val="es-ES"/>
        </w:rPr>
        <w:t>s</w:t>
      </w:r>
      <w:r w:rsidR="009109F0">
        <w:rPr>
          <w:lang w:val="es-ES"/>
        </w:rPr>
        <w:t xml:space="preserve"> reuni</w:t>
      </w:r>
      <w:r w:rsidR="007546B0">
        <w:rPr>
          <w:lang w:val="es-ES"/>
        </w:rPr>
        <w:t>ones</w:t>
      </w:r>
      <w:r w:rsidR="009109F0">
        <w:rPr>
          <w:lang w:val="es-ES"/>
        </w:rPr>
        <w:t xml:space="preserve"> con la Secretaria Nacional de Energía (SNE) y otras partes de interés </w:t>
      </w:r>
      <w:r w:rsidR="007546B0">
        <w:rPr>
          <w:lang w:val="es-ES"/>
        </w:rPr>
        <w:t>d</w:t>
      </w:r>
      <w:r w:rsidR="009109F0">
        <w:rPr>
          <w:lang w:val="es-ES"/>
        </w:rPr>
        <w:t xml:space="preserve">el 1 de diciembre de 2017 </w:t>
      </w:r>
      <w:r w:rsidR="007546B0">
        <w:rPr>
          <w:lang w:val="es-ES"/>
        </w:rPr>
        <w:t xml:space="preserve">y del 5 de marzo de 2018, </w:t>
      </w:r>
      <w:r w:rsidR="009109F0">
        <w:rPr>
          <w:lang w:val="es-ES"/>
        </w:rPr>
        <w:t xml:space="preserve">e </w:t>
      </w:r>
      <w:r w:rsidR="0030173E" w:rsidRPr="00D9518C">
        <w:rPr>
          <w:lang w:val="es-ES"/>
        </w:rPr>
        <w:t xml:space="preserve">incorpora </w:t>
      </w:r>
      <w:r w:rsidR="00D9518C" w:rsidRPr="00D9518C">
        <w:rPr>
          <w:lang w:val="es-ES"/>
        </w:rPr>
        <w:t xml:space="preserve">los comentarios </w:t>
      </w:r>
      <w:r w:rsidR="009109F0">
        <w:rPr>
          <w:lang w:val="es-ES"/>
        </w:rPr>
        <w:t>r</w:t>
      </w:r>
      <w:r w:rsidR="00D9518C" w:rsidRPr="00D9518C">
        <w:rPr>
          <w:lang w:val="es-ES"/>
        </w:rPr>
        <w:t xml:space="preserve">ecibidos de </w:t>
      </w:r>
      <w:r w:rsidR="0030173E" w:rsidRPr="00D9518C">
        <w:rPr>
          <w:lang w:val="es-ES"/>
        </w:rPr>
        <w:t xml:space="preserve">la </w:t>
      </w:r>
      <w:r w:rsidR="0030173E" w:rsidRPr="007C449D">
        <w:rPr>
          <w:lang w:val="es-ES"/>
        </w:rPr>
        <w:t>SNE</w:t>
      </w:r>
      <w:r w:rsidR="00D9518C" w:rsidRPr="007C449D">
        <w:rPr>
          <w:lang w:val="es-ES"/>
        </w:rPr>
        <w:t>.</w:t>
      </w:r>
    </w:p>
    <w:p w14:paraId="4504B167" w14:textId="6060AFAE" w:rsidR="00D0295B" w:rsidRPr="00316DB7" w:rsidRDefault="001B6BD2" w:rsidP="00D0295B">
      <w:pPr>
        <w:pStyle w:val="Heading1"/>
        <w:rPr>
          <w:lang w:val="es-ES"/>
        </w:rPr>
      </w:pPr>
      <w:bookmarkStart w:id="10" w:name="_Toc462159552"/>
      <w:bookmarkStart w:id="11" w:name="_Toc463091799"/>
      <w:bookmarkStart w:id="12" w:name="_Toc465707860"/>
      <w:bookmarkStart w:id="13" w:name="_Toc516145997"/>
      <w:bookmarkStart w:id="14" w:name="_Toc454792315"/>
      <w:bookmarkStart w:id="15" w:name="_Toc462159555"/>
      <w:bookmarkStart w:id="16" w:name="_Toc463091823"/>
      <w:r>
        <w:rPr>
          <w:lang w:val="es-ES"/>
        </w:rPr>
        <w:lastRenderedPageBreak/>
        <w:t xml:space="preserve">Alcance </w:t>
      </w:r>
      <w:r w:rsidR="00573DCA">
        <w:rPr>
          <w:lang w:val="es-ES"/>
        </w:rPr>
        <w:t>y actividades desarrolladas</w:t>
      </w:r>
      <w:bookmarkEnd w:id="10"/>
      <w:bookmarkEnd w:id="11"/>
      <w:bookmarkEnd w:id="12"/>
      <w:bookmarkEnd w:id="13"/>
    </w:p>
    <w:p w14:paraId="60169B33" w14:textId="6EB9F99C" w:rsidR="00D0295B" w:rsidRPr="00316DB7" w:rsidRDefault="001B6BD2" w:rsidP="005D31FB">
      <w:pPr>
        <w:pStyle w:val="Heading2"/>
        <w:ind w:left="1248" w:hanging="964"/>
        <w:rPr>
          <w:lang w:val="es-ES"/>
        </w:rPr>
      </w:pPr>
      <w:bookmarkStart w:id="17" w:name="_Toc463091800"/>
      <w:bookmarkStart w:id="18" w:name="_Toc465707861"/>
      <w:bookmarkStart w:id="19" w:name="_Toc516145998"/>
      <w:bookmarkStart w:id="20" w:name="_Toc454792313"/>
      <w:bookmarkStart w:id="21" w:name="_Toc462159553"/>
      <w:r>
        <w:rPr>
          <w:lang w:val="es-ES"/>
        </w:rPr>
        <w:t xml:space="preserve">Alcance de la </w:t>
      </w:r>
      <w:r w:rsidR="00755908">
        <w:rPr>
          <w:lang w:val="es-ES"/>
        </w:rPr>
        <w:t>consultoría</w:t>
      </w:r>
      <w:bookmarkEnd w:id="17"/>
      <w:bookmarkEnd w:id="18"/>
      <w:bookmarkEnd w:id="19"/>
    </w:p>
    <w:p w14:paraId="4DF6D5CE" w14:textId="4EF745B0" w:rsidR="009109F0" w:rsidRDefault="00411FF7" w:rsidP="007E13F3">
      <w:pPr>
        <w:spacing w:before="0" w:after="140"/>
        <w:rPr>
          <w:lang w:val="es-ES"/>
        </w:rPr>
      </w:pPr>
      <w:r w:rsidRPr="00411FF7">
        <w:rPr>
          <w:lang w:val="es-ES"/>
        </w:rPr>
        <w:t>De acuerdo a los TdR del consultor, la consultoría abarca l</w:t>
      </w:r>
      <w:r w:rsidR="00377841">
        <w:rPr>
          <w:lang w:val="es-ES"/>
        </w:rPr>
        <w:t>a</w:t>
      </w:r>
      <w:r w:rsidRPr="00411FF7">
        <w:rPr>
          <w:lang w:val="es-ES"/>
        </w:rPr>
        <w:t xml:space="preserve">s siguientes </w:t>
      </w:r>
      <w:r w:rsidRPr="007C449D">
        <w:rPr>
          <w:lang w:val="es-ES"/>
        </w:rPr>
        <w:t>t</w:t>
      </w:r>
      <w:r w:rsidR="00A31DA1" w:rsidRPr="007C449D">
        <w:rPr>
          <w:lang w:val="es-ES"/>
        </w:rPr>
        <w:t>areas</w:t>
      </w:r>
      <w:r w:rsidRPr="007C449D">
        <w:rPr>
          <w:lang w:val="es-ES"/>
        </w:rPr>
        <w:t>:</w:t>
      </w:r>
      <w:r w:rsidR="001A5DFC" w:rsidRPr="007C449D">
        <w:rPr>
          <w:rStyle w:val="FootnoteReference"/>
        </w:rPr>
        <w:footnoteReference w:id="9"/>
      </w:r>
      <w:r w:rsidR="007D224C" w:rsidRPr="007C449D">
        <w:rPr>
          <w:lang w:val="es-ES"/>
        </w:rPr>
        <w:t xml:space="preserve"> </w:t>
      </w:r>
    </w:p>
    <w:p w14:paraId="0252405A" w14:textId="78D54771" w:rsidR="009109F0" w:rsidRDefault="00F50D45" w:rsidP="007E13F3">
      <w:pPr>
        <w:spacing w:before="0" w:after="140"/>
        <w:rPr>
          <w:lang w:val="es-ES"/>
        </w:rPr>
      </w:pPr>
      <w:r w:rsidRPr="00F50D45">
        <w:rPr>
          <w:lang w:val="es-ES"/>
        </w:rPr>
        <w:t>El consultor a</w:t>
      </w:r>
      <w:r>
        <w:rPr>
          <w:lang w:val="es-ES"/>
        </w:rPr>
        <w:t>poyará</w:t>
      </w:r>
      <w:r w:rsidRPr="00F50D45">
        <w:rPr>
          <w:lang w:val="es-ES"/>
        </w:rPr>
        <w:t xml:space="preserve"> al Gobierno de Panamá (GdP) en la evaluación y validación de los proyectos de normas técnicas (</w:t>
      </w:r>
      <w:r>
        <w:rPr>
          <w:lang w:val="es-ES"/>
        </w:rPr>
        <w:t>N</w:t>
      </w:r>
      <w:r w:rsidRPr="00F50D45">
        <w:rPr>
          <w:lang w:val="es-ES"/>
        </w:rPr>
        <w:t>T) y reglamentos técnicos (</w:t>
      </w:r>
      <w:r>
        <w:rPr>
          <w:lang w:val="es-ES"/>
        </w:rPr>
        <w:t>R</w:t>
      </w:r>
      <w:r w:rsidRPr="00F50D45">
        <w:rPr>
          <w:lang w:val="es-ES"/>
        </w:rPr>
        <w:t>T) para productos de iluminación, que se encuentran actualmente en desarrollo</w:t>
      </w:r>
      <w:r>
        <w:rPr>
          <w:rStyle w:val="FootnoteReference"/>
        </w:rPr>
        <w:footnoteReference w:id="10"/>
      </w:r>
      <w:r w:rsidRPr="00F50D45">
        <w:rPr>
          <w:lang w:val="es-ES"/>
        </w:rPr>
        <w:t xml:space="preserve">, en particular </w:t>
      </w:r>
      <w:r>
        <w:rPr>
          <w:lang w:val="es-ES"/>
        </w:rPr>
        <w:t>con</w:t>
      </w:r>
      <w:r w:rsidRPr="00F50D45">
        <w:rPr>
          <w:lang w:val="es-ES"/>
        </w:rPr>
        <w:t xml:space="preserve"> respect</w:t>
      </w:r>
      <w:r>
        <w:rPr>
          <w:lang w:val="es-ES"/>
        </w:rPr>
        <w:t>o</w:t>
      </w:r>
      <w:r w:rsidRPr="00F50D45">
        <w:rPr>
          <w:lang w:val="es-ES"/>
        </w:rPr>
        <w:t xml:space="preserve"> a su alcance, estructura y alineación con otr</w:t>
      </w:r>
      <w:r>
        <w:rPr>
          <w:lang w:val="es-ES"/>
        </w:rPr>
        <w:t>a</w:t>
      </w:r>
      <w:r w:rsidRPr="00F50D45">
        <w:rPr>
          <w:lang w:val="es-ES"/>
        </w:rPr>
        <w:t xml:space="preserve">s </w:t>
      </w:r>
      <w:r>
        <w:rPr>
          <w:lang w:val="es-ES"/>
        </w:rPr>
        <w:t>normas</w:t>
      </w:r>
      <w:r w:rsidRPr="00F50D45">
        <w:rPr>
          <w:lang w:val="es-ES"/>
        </w:rPr>
        <w:t xml:space="preserve"> y reg</w:t>
      </w:r>
      <w:r>
        <w:rPr>
          <w:lang w:val="es-ES"/>
        </w:rPr>
        <w:t>lamentos</w:t>
      </w:r>
      <w:r w:rsidRPr="00F50D45">
        <w:rPr>
          <w:lang w:val="es-ES"/>
        </w:rPr>
        <w:t xml:space="preserve"> nacionales e internacionales. Las categorías de productos incluirán, en principio, las tecnologías de lámparas actualmente disponibles para aplicaciones </w:t>
      </w:r>
      <w:r w:rsidR="0021795B">
        <w:rPr>
          <w:lang w:val="es-ES"/>
        </w:rPr>
        <w:t xml:space="preserve">en </w:t>
      </w:r>
      <w:r w:rsidRPr="00F50D45">
        <w:rPr>
          <w:lang w:val="es-ES"/>
        </w:rPr>
        <w:t xml:space="preserve">interiores (residenciales y comerciales) y exteriores (alumbrado público). La consultoría debe ejecutarse en estrecha cooperación con las entidades </w:t>
      </w:r>
      <w:r>
        <w:rPr>
          <w:lang w:val="es-ES"/>
        </w:rPr>
        <w:t>relevantes</w:t>
      </w:r>
      <w:r w:rsidRPr="00F50D45">
        <w:rPr>
          <w:lang w:val="es-ES"/>
        </w:rPr>
        <w:t xml:space="preserve"> del GdP, que están a cargo y / o participan en la elaboración de normas y reglamentos técnicos (SNE, MICI, CGIEE y el Comité Sectorial de Eficiencia Energética). Específicamente:</w:t>
      </w:r>
    </w:p>
    <w:p w14:paraId="2778964B" w14:textId="3F2CAA0F" w:rsidR="007E51C5" w:rsidRPr="007E51C5" w:rsidRDefault="007E51C5" w:rsidP="001404E7">
      <w:pPr>
        <w:pStyle w:val="ListParagraph"/>
        <w:numPr>
          <w:ilvl w:val="0"/>
          <w:numId w:val="18"/>
        </w:numPr>
        <w:rPr>
          <w:lang w:val="es-ES"/>
        </w:rPr>
      </w:pPr>
      <w:r w:rsidRPr="007E51C5">
        <w:rPr>
          <w:lang w:val="es-ES"/>
        </w:rPr>
        <w:t>El consultor proporcionará un resumen de las normas y reglamentos de eficiencia energética para productos de iluminación en México, EE.UU. y la Unión Europea.</w:t>
      </w:r>
    </w:p>
    <w:p w14:paraId="5F0EEA1A" w14:textId="62169FBC" w:rsidR="009109F0" w:rsidRPr="00F50CC4" w:rsidRDefault="007E51C5" w:rsidP="001404E7">
      <w:pPr>
        <w:pStyle w:val="ListParagraph"/>
        <w:numPr>
          <w:ilvl w:val="0"/>
          <w:numId w:val="18"/>
        </w:numPr>
        <w:suppressAutoHyphens w:val="0"/>
        <w:autoSpaceDN/>
        <w:ind w:left="714" w:hanging="357"/>
        <w:textAlignment w:val="auto"/>
        <w:rPr>
          <w:lang w:val="es-ES"/>
        </w:rPr>
      </w:pPr>
      <w:r w:rsidRPr="00F50CC4">
        <w:rPr>
          <w:lang w:val="es-ES"/>
        </w:rPr>
        <w:t xml:space="preserve">El consultor presentará a las entidades involucradas principales del GdP (SNE, MICI, CGIEE, Comité Sectorial de Eficiencia Energética) un </w:t>
      </w:r>
      <w:r w:rsidR="00F50CC4" w:rsidRPr="00F50CC4">
        <w:rPr>
          <w:lang w:val="es-ES"/>
        </w:rPr>
        <w:t xml:space="preserve">bosquejo </w:t>
      </w:r>
      <w:r w:rsidRPr="00F50CC4">
        <w:rPr>
          <w:lang w:val="es-ES"/>
        </w:rPr>
        <w:t xml:space="preserve">del objetivo, de la metodología propuesta y del alcance de la consultoría y proporcionará retroalimentación ad-hoc sobre el borrador de </w:t>
      </w:r>
      <w:r w:rsidR="00022E91">
        <w:rPr>
          <w:lang w:val="es-ES"/>
        </w:rPr>
        <w:t>NT</w:t>
      </w:r>
      <w:r w:rsidR="00F50CC4" w:rsidRPr="00F50CC4">
        <w:rPr>
          <w:lang w:val="es-ES"/>
        </w:rPr>
        <w:t>/</w:t>
      </w:r>
      <w:r w:rsidR="00022E91">
        <w:rPr>
          <w:lang w:val="es-ES"/>
        </w:rPr>
        <w:t>RT</w:t>
      </w:r>
      <w:r w:rsidRPr="00F50CC4">
        <w:rPr>
          <w:lang w:val="es-ES"/>
        </w:rPr>
        <w:t xml:space="preserve"> </w:t>
      </w:r>
      <w:r w:rsidR="00F50CC4" w:rsidRPr="00F50CC4">
        <w:rPr>
          <w:lang w:val="es-ES"/>
        </w:rPr>
        <w:t>en</w:t>
      </w:r>
      <w:r w:rsidRPr="00F50CC4">
        <w:rPr>
          <w:lang w:val="es-ES"/>
        </w:rPr>
        <w:t xml:space="preserve"> </w:t>
      </w:r>
      <w:r w:rsidR="00F50CC4" w:rsidRPr="00F50CC4">
        <w:rPr>
          <w:lang w:val="es-ES"/>
        </w:rPr>
        <w:t>e</w:t>
      </w:r>
      <w:r w:rsidRPr="00F50CC4">
        <w:rPr>
          <w:lang w:val="es-ES"/>
        </w:rPr>
        <w:t>laboración.</w:t>
      </w:r>
      <w:r w:rsidR="00F50CC4" w:rsidRPr="00F50CC4">
        <w:rPr>
          <w:lang w:val="es-ES"/>
        </w:rPr>
        <w:t xml:space="preserve"> </w:t>
      </w:r>
      <w:r w:rsidRPr="00F50CC4">
        <w:rPr>
          <w:lang w:val="es-ES"/>
        </w:rPr>
        <w:t>La presentación incluirá una descripción general de l</w:t>
      </w:r>
      <w:r w:rsidR="00F50CC4" w:rsidRPr="00F50CC4">
        <w:rPr>
          <w:lang w:val="es-ES"/>
        </w:rPr>
        <w:t>a</w:t>
      </w:r>
      <w:r w:rsidRPr="00F50CC4">
        <w:rPr>
          <w:lang w:val="es-ES"/>
        </w:rPr>
        <w:t xml:space="preserve">s </w:t>
      </w:r>
      <w:r w:rsidR="00F50CC4" w:rsidRPr="00F50CC4">
        <w:rPr>
          <w:lang w:val="es-ES"/>
        </w:rPr>
        <w:t>normas</w:t>
      </w:r>
      <w:r w:rsidRPr="00F50CC4">
        <w:rPr>
          <w:lang w:val="es-ES"/>
        </w:rPr>
        <w:t xml:space="preserve"> y reg</w:t>
      </w:r>
      <w:r w:rsidR="0001530C">
        <w:rPr>
          <w:lang w:val="es-ES"/>
        </w:rPr>
        <w:t>lamentos</w:t>
      </w:r>
      <w:r w:rsidRPr="00F50CC4">
        <w:rPr>
          <w:lang w:val="es-ES"/>
        </w:rPr>
        <w:t xml:space="preserve"> de referencia para productos de iluminación de México, </w:t>
      </w:r>
      <w:r w:rsidR="00F50CC4">
        <w:rPr>
          <w:lang w:val="es-ES"/>
        </w:rPr>
        <w:t xml:space="preserve">EE.UU. </w:t>
      </w:r>
      <w:r w:rsidRPr="00F50CC4">
        <w:rPr>
          <w:lang w:val="es-ES"/>
        </w:rPr>
        <w:t>y la Unión Europea.</w:t>
      </w:r>
    </w:p>
    <w:p w14:paraId="2CD5C774" w14:textId="52B728C7" w:rsidR="009109F0" w:rsidRPr="001047EE" w:rsidRDefault="001047EE" w:rsidP="001404E7">
      <w:pPr>
        <w:pStyle w:val="ListParagraph"/>
        <w:numPr>
          <w:ilvl w:val="0"/>
          <w:numId w:val="18"/>
        </w:numPr>
        <w:suppressAutoHyphens w:val="0"/>
        <w:autoSpaceDN/>
        <w:spacing w:after="0"/>
        <w:ind w:left="714" w:hanging="357"/>
        <w:textAlignment w:val="auto"/>
        <w:rPr>
          <w:lang w:val="es-ES"/>
        </w:rPr>
      </w:pPr>
      <w:r w:rsidRPr="001047EE">
        <w:rPr>
          <w:lang w:val="es-ES"/>
        </w:rPr>
        <w:t>El consultor proporcionará un análisis del actual borrador del proyecto de NT/RT para productos de iluminación en elaboración, en particular con respecto a:</w:t>
      </w:r>
    </w:p>
    <w:p w14:paraId="20517B11" w14:textId="227DE3A0" w:rsidR="009109F0" w:rsidRPr="001047EE" w:rsidRDefault="001047EE" w:rsidP="001404E7">
      <w:pPr>
        <w:pStyle w:val="ListParagraph"/>
        <w:numPr>
          <w:ilvl w:val="1"/>
          <w:numId w:val="18"/>
        </w:numPr>
        <w:suppressAutoHyphens w:val="0"/>
        <w:autoSpaceDN/>
        <w:spacing w:before="0" w:after="0"/>
        <w:ind w:left="1434" w:hanging="357"/>
        <w:textAlignment w:val="auto"/>
        <w:rPr>
          <w:lang w:val="es-ES"/>
        </w:rPr>
      </w:pPr>
      <w:r w:rsidRPr="001047EE">
        <w:rPr>
          <w:lang w:val="es-ES"/>
        </w:rPr>
        <w:t xml:space="preserve">Productos de iluminación incluidos en </w:t>
      </w:r>
      <w:r>
        <w:rPr>
          <w:lang w:val="es-ES"/>
        </w:rPr>
        <w:t>el borrador d</w:t>
      </w:r>
      <w:r w:rsidRPr="001047EE">
        <w:rPr>
          <w:lang w:val="es-ES"/>
        </w:rPr>
        <w:t xml:space="preserve">el </w:t>
      </w:r>
      <w:r w:rsidR="00162897">
        <w:rPr>
          <w:lang w:val="es-ES"/>
        </w:rPr>
        <w:t>ante</w:t>
      </w:r>
      <w:r w:rsidRPr="001047EE">
        <w:rPr>
          <w:lang w:val="es-ES"/>
        </w:rPr>
        <w:t xml:space="preserve">proyecto </w:t>
      </w:r>
      <w:r>
        <w:rPr>
          <w:lang w:val="es-ES"/>
        </w:rPr>
        <w:t>NT</w:t>
      </w:r>
      <w:r w:rsidRPr="001047EE">
        <w:rPr>
          <w:lang w:val="es-ES"/>
        </w:rPr>
        <w:t>/</w:t>
      </w:r>
      <w:r>
        <w:rPr>
          <w:lang w:val="es-ES"/>
        </w:rPr>
        <w:t>RT</w:t>
      </w:r>
      <w:r w:rsidR="009109F0" w:rsidRPr="001047EE">
        <w:rPr>
          <w:lang w:val="es-ES"/>
        </w:rPr>
        <w:t>;</w:t>
      </w:r>
    </w:p>
    <w:p w14:paraId="70EB116A" w14:textId="1AC40676" w:rsidR="009109F0" w:rsidRPr="001047EE" w:rsidRDefault="001047EE" w:rsidP="001404E7">
      <w:pPr>
        <w:pStyle w:val="ListParagraph"/>
        <w:numPr>
          <w:ilvl w:val="1"/>
          <w:numId w:val="18"/>
        </w:numPr>
        <w:suppressAutoHyphens w:val="0"/>
        <w:autoSpaceDN/>
        <w:spacing w:before="0" w:after="0"/>
        <w:ind w:left="1434" w:hanging="357"/>
        <w:textAlignment w:val="auto"/>
        <w:rPr>
          <w:lang w:val="es-ES"/>
        </w:rPr>
      </w:pPr>
      <w:r w:rsidRPr="001047EE">
        <w:rPr>
          <w:lang w:val="es-ES"/>
        </w:rPr>
        <w:t>Normas de medición (m</w:t>
      </w:r>
      <w:r>
        <w:rPr>
          <w:lang w:val="es-ES"/>
        </w:rPr>
        <w:t>étodos de prueba</w:t>
      </w:r>
      <w:r w:rsidRPr="001047EE">
        <w:rPr>
          <w:lang w:val="es-ES"/>
        </w:rPr>
        <w:t>)</w:t>
      </w:r>
      <w:r w:rsidR="009109F0" w:rsidRPr="001047EE">
        <w:rPr>
          <w:lang w:val="es-ES"/>
        </w:rPr>
        <w:t>;</w:t>
      </w:r>
    </w:p>
    <w:p w14:paraId="05081256" w14:textId="73FBF5BD" w:rsidR="009109F0" w:rsidRPr="001047EE" w:rsidRDefault="001047EE" w:rsidP="001404E7">
      <w:pPr>
        <w:pStyle w:val="ListParagraph"/>
        <w:numPr>
          <w:ilvl w:val="1"/>
          <w:numId w:val="18"/>
        </w:numPr>
        <w:suppressAutoHyphens w:val="0"/>
        <w:autoSpaceDN/>
        <w:spacing w:before="0" w:after="0"/>
        <w:ind w:left="1434" w:hanging="357"/>
        <w:textAlignment w:val="auto"/>
        <w:rPr>
          <w:lang w:val="es-ES"/>
        </w:rPr>
      </w:pPr>
      <w:r>
        <w:rPr>
          <w:lang w:val="es-ES"/>
        </w:rPr>
        <w:t xml:space="preserve">Límites (índices) de desempeño energético mínimo propuestos para los productos de iluminación incluidos en el borrador del </w:t>
      </w:r>
      <w:r w:rsidR="00162897">
        <w:rPr>
          <w:lang w:val="es-ES"/>
        </w:rPr>
        <w:t>ante</w:t>
      </w:r>
      <w:r>
        <w:rPr>
          <w:lang w:val="es-ES"/>
        </w:rPr>
        <w:t>proyecto de NT/RT;</w:t>
      </w:r>
    </w:p>
    <w:p w14:paraId="6CE578CA" w14:textId="45B75772" w:rsidR="001047EE" w:rsidRPr="001047EE" w:rsidRDefault="00ED2115" w:rsidP="001404E7">
      <w:pPr>
        <w:pStyle w:val="ListParagraph"/>
        <w:numPr>
          <w:ilvl w:val="1"/>
          <w:numId w:val="18"/>
        </w:numPr>
        <w:suppressAutoHyphens w:val="0"/>
        <w:autoSpaceDN/>
        <w:spacing w:before="0" w:after="0"/>
        <w:ind w:left="1434" w:hanging="357"/>
        <w:textAlignment w:val="auto"/>
        <w:rPr>
          <w:lang w:val="es-ES"/>
        </w:rPr>
      </w:pPr>
      <w:r>
        <w:rPr>
          <w:lang w:val="es-ES"/>
        </w:rPr>
        <w:t>E</w:t>
      </w:r>
      <w:r w:rsidR="001047EE" w:rsidRPr="001047EE">
        <w:rPr>
          <w:lang w:val="es-ES"/>
        </w:rPr>
        <w:t>l grado de armonización</w:t>
      </w:r>
      <w:r>
        <w:rPr>
          <w:lang w:val="es-ES"/>
        </w:rPr>
        <w:t xml:space="preserve"> y alineación, </w:t>
      </w:r>
      <w:r w:rsidR="001047EE" w:rsidRPr="001047EE">
        <w:rPr>
          <w:lang w:val="es-ES"/>
        </w:rPr>
        <w:t>respectivamente</w:t>
      </w:r>
      <w:r>
        <w:rPr>
          <w:lang w:val="es-ES"/>
        </w:rPr>
        <w:t xml:space="preserve">, </w:t>
      </w:r>
      <w:r w:rsidR="001047EE" w:rsidRPr="001047EE">
        <w:rPr>
          <w:lang w:val="es-ES"/>
        </w:rPr>
        <w:t xml:space="preserve">con otras normas </w:t>
      </w:r>
      <w:r>
        <w:rPr>
          <w:lang w:val="es-ES"/>
        </w:rPr>
        <w:t xml:space="preserve">y reglamentos </w:t>
      </w:r>
      <w:r w:rsidR="001047EE" w:rsidRPr="001047EE">
        <w:rPr>
          <w:lang w:val="es-ES"/>
        </w:rPr>
        <w:t xml:space="preserve">nacionales e </w:t>
      </w:r>
      <w:r w:rsidR="001047EE" w:rsidRPr="007D224C">
        <w:rPr>
          <w:lang w:val="es-ES"/>
        </w:rPr>
        <w:t>internacionales (ISO/IEC, NOM-ENER, l</w:t>
      </w:r>
      <w:r w:rsidRPr="007D224C">
        <w:rPr>
          <w:lang w:val="es-ES"/>
        </w:rPr>
        <w:t>o</w:t>
      </w:r>
      <w:r w:rsidR="001047EE" w:rsidRPr="007D224C">
        <w:rPr>
          <w:lang w:val="es-ES"/>
        </w:rPr>
        <w:t>s</w:t>
      </w:r>
      <w:r>
        <w:rPr>
          <w:lang w:val="es-ES"/>
        </w:rPr>
        <w:t xml:space="preserve"> estándares y métodos de prueba </w:t>
      </w:r>
      <w:r w:rsidR="001047EE" w:rsidRPr="001047EE">
        <w:rPr>
          <w:lang w:val="es-ES"/>
        </w:rPr>
        <w:t>de</w:t>
      </w:r>
      <w:r>
        <w:rPr>
          <w:lang w:val="es-ES"/>
        </w:rPr>
        <w:t xml:space="preserve"> </w:t>
      </w:r>
      <w:r w:rsidR="001047EE" w:rsidRPr="001047EE">
        <w:rPr>
          <w:lang w:val="es-ES"/>
        </w:rPr>
        <w:t>E</w:t>
      </w:r>
      <w:r>
        <w:rPr>
          <w:lang w:val="es-ES"/>
        </w:rPr>
        <w:t>E.UU.</w:t>
      </w:r>
      <w:r w:rsidR="001047EE" w:rsidRPr="001047EE">
        <w:rPr>
          <w:lang w:val="es-ES"/>
        </w:rPr>
        <w:t>, l</w:t>
      </w:r>
      <w:r>
        <w:rPr>
          <w:lang w:val="es-ES"/>
        </w:rPr>
        <w:t xml:space="preserve">os reglamentos </w:t>
      </w:r>
      <w:r w:rsidR="001047EE" w:rsidRPr="001047EE">
        <w:rPr>
          <w:lang w:val="es-ES"/>
        </w:rPr>
        <w:t>de diseño ecológico de la UE);</w:t>
      </w:r>
    </w:p>
    <w:p w14:paraId="21B4266A" w14:textId="6A7AE788" w:rsidR="009109F0" w:rsidRPr="001047EE" w:rsidRDefault="003A66EA" w:rsidP="001404E7">
      <w:pPr>
        <w:pStyle w:val="ListParagraph"/>
        <w:numPr>
          <w:ilvl w:val="1"/>
          <w:numId w:val="18"/>
        </w:numPr>
        <w:suppressAutoHyphens w:val="0"/>
        <w:autoSpaceDN/>
        <w:spacing w:before="0" w:after="0"/>
        <w:ind w:left="1434" w:hanging="357"/>
        <w:textAlignment w:val="auto"/>
        <w:rPr>
          <w:lang w:val="es-ES"/>
        </w:rPr>
      </w:pPr>
      <w:r>
        <w:rPr>
          <w:lang w:val="es-ES"/>
        </w:rPr>
        <w:t>I</w:t>
      </w:r>
      <w:r w:rsidR="001047EE" w:rsidRPr="001047EE">
        <w:rPr>
          <w:lang w:val="es-ES"/>
        </w:rPr>
        <w:t xml:space="preserve">ntegridad técnica y editorial del borrador de </w:t>
      </w:r>
      <w:r w:rsidR="00162897">
        <w:rPr>
          <w:lang w:val="es-ES"/>
        </w:rPr>
        <w:t>ante</w:t>
      </w:r>
      <w:r>
        <w:rPr>
          <w:lang w:val="es-ES"/>
        </w:rPr>
        <w:t>proyecto N</w:t>
      </w:r>
      <w:r w:rsidR="001047EE" w:rsidRPr="001047EE">
        <w:rPr>
          <w:lang w:val="es-ES"/>
        </w:rPr>
        <w:t>T/</w:t>
      </w:r>
      <w:r>
        <w:rPr>
          <w:lang w:val="es-ES"/>
        </w:rPr>
        <w:t>R</w:t>
      </w:r>
      <w:r w:rsidR="001047EE" w:rsidRPr="001047EE">
        <w:rPr>
          <w:lang w:val="es-ES"/>
        </w:rPr>
        <w:t>T (incluyendo estipulaciones sobre etiquetado o marcado, evaluación de conformidad, etc.).</w:t>
      </w:r>
    </w:p>
    <w:p w14:paraId="4A916E9B" w14:textId="6C2E2E49" w:rsidR="009109F0" w:rsidRPr="003A66EA" w:rsidRDefault="003A66EA" w:rsidP="001404E7">
      <w:pPr>
        <w:pStyle w:val="ListParagraph"/>
        <w:numPr>
          <w:ilvl w:val="0"/>
          <w:numId w:val="18"/>
        </w:numPr>
        <w:suppressAutoHyphens w:val="0"/>
        <w:autoSpaceDN/>
        <w:spacing w:after="0"/>
        <w:ind w:left="714" w:hanging="357"/>
        <w:textAlignment w:val="auto"/>
        <w:rPr>
          <w:lang w:val="es-ES"/>
        </w:rPr>
      </w:pPr>
      <w:r w:rsidRPr="003A66EA">
        <w:rPr>
          <w:lang w:val="es-ES"/>
        </w:rPr>
        <w:t>Con base en el análisis del borrador actual, el consultor presentará propuestas con respecto a</w:t>
      </w:r>
      <w:r w:rsidR="009109F0" w:rsidRPr="003A66EA">
        <w:rPr>
          <w:lang w:val="es-ES"/>
        </w:rPr>
        <w:t>:</w:t>
      </w:r>
    </w:p>
    <w:p w14:paraId="484CFCF6" w14:textId="2DCC1049" w:rsidR="009109F0" w:rsidRPr="003A66EA" w:rsidRDefault="003A66EA" w:rsidP="001404E7">
      <w:pPr>
        <w:pStyle w:val="ListParagraph"/>
        <w:numPr>
          <w:ilvl w:val="1"/>
          <w:numId w:val="19"/>
        </w:numPr>
        <w:suppressAutoHyphens w:val="0"/>
        <w:autoSpaceDN/>
        <w:spacing w:before="0" w:after="0"/>
        <w:textAlignment w:val="auto"/>
        <w:rPr>
          <w:lang w:val="es-ES"/>
        </w:rPr>
      </w:pPr>
      <w:r w:rsidRPr="003A66EA">
        <w:rPr>
          <w:lang w:val="es-ES"/>
        </w:rPr>
        <w:t xml:space="preserve">Productos de iluminación que deberían incluirse en </w:t>
      </w:r>
      <w:r>
        <w:rPr>
          <w:lang w:val="es-ES"/>
        </w:rPr>
        <w:t>la NT/RT</w:t>
      </w:r>
      <w:r w:rsidRPr="003A66EA">
        <w:rPr>
          <w:lang w:val="es-ES"/>
        </w:rPr>
        <w:t>, p.</w:t>
      </w:r>
      <w:r w:rsidRPr="007D224C">
        <w:rPr>
          <w:lang w:val="es-ES"/>
        </w:rPr>
        <w:t xml:space="preserve">ej. lámparas </w:t>
      </w:r>
      <w:r w:rsidR="007D224C" w:rsidRPr="007D224C">
        <w:rPr>
          <w:lang w:val="es-ES"/>
        </w:rPr>
        <w:t>para alumbrado general (</w:t>
      </w:r>
      <w:r w:rsidR="007D224C" w:rsidRPr="00022E91">
        <w:rPr>
          <w:i/>
          <w:lang w:val="es-ES"/>
        </w:rPr>
        <w:t>General Service Lamps</w:t>
      </w:r>
      <w:r w:rsidR="007D224C" w:rsidRPr="007D224C">
        <w:rPr>
          <w:lang w:val="es-ES"/>
        </w:rPr>
        <w:t xml:space="preserve"> – </w:t>
      </w:r>
      <w:r w:rsidRPr="007D224C">
        <w:rPr>
          <w:lang w:val="es-ES"/>
        </w:rPr>
        <w:t xml:space="preserve">GSL), lámparas fluorescentes lineales </w:t>
      </w:r>
      <w:r w:rsidR="00B56844" w:rsidRPr="007D224C">
        <w:rPr>
          <w:lang w:val="es-ES"/>
        </w:rPr>
        <w:t xml:space="preserve">(LFL) </w:t>
      </w:r>
      <w:r w:rsidRPr="007D224C">
        <w:rPr>
          <w:lang w:val="es-ES"/>
        </w:rPr>
        <w:t>y lámparas fluorescentes compactas (</w:t>
      </w:r>
      <w:r w:rsidR="00A27A5E">
        <w:rPr>
          <w:lang w:val="es-ES"/>
        </w:rPr>
        <w:t>LFC</w:t>
      </w:r>
      <w:r w:rsidRPr="007D224C">
        <w:rPr>
          <w:lang w:val="es-ES"/>
        </w:rPr>
        <w:t>), lámparas</w:t>
      </w:r>
      <w:r w:rsidRPr="003A66EA">
        <w:rPr>
          <w:lang w:val="es-ES"/>
        </w:rPr>
        <w:t xml:space="preserve"> halógenas, lámparas LED, lámparas de descarga de alta intensidad para alumbrado exterior</w:t>
      </w:r>
      <w:r w:rsidR="004C4785">
        <w:rPr>
          <w:lang w:val="es-ES"/>
        </w:rPr>
        <w:t>.</w:t>
      </w:r>
    </w:p>
    <w:p w14:paraId="4C913C3D" w14:textId="4A1EFB10" w:rsidR="009109F0" w:rsidRPr="00C24669" w:rsidRDefault="00C24669" w:rsidP="001404E7">
      <w:pPr>
        <w:pStyle w:val="ListParagraph"/>
        <w:numPr>
          <w:ilvl w:val="1"/>
          <w:numId w:val="19"/>
        </w:numPr>
        <w:suppressAutoHyphens w:val="0"/>
        <w:autoSpaceDN/>
        <w:spacing w:before="0" w:after="0"/>
        <w:ind w:left="1434" w:hanging="357"/>
        <w:textAlignment w:val="auto"/>
        <w:rPr>
          <w:lang w:val="es-ES"/>
        </w:rPr>
      </w:pPr>
      <w:r>
        <w:rPr>
          <w:lang w:val="es-ES"/>
        </w:rPr>
        <w:t>Normas</w:t>
      </w:r>
      <w:r w:rsidRPr="00C24669">
        <w:rPr>
          <w:lang w:val="es-ES"/>
        </w:rPr>
        <w:t xml:space="preserve"> de medición </w:t>
      </w:r>
      <w:r>
        <w:rPr>
          <w:lang w:val="es-ES"/>
        </w:rPr>
        <w:t xml:space="preserve">(métodos de prueba) </w:t>
      </w:r>
      <w:r w:rsidRPr="00C24669">
        <w:rPr>
          <w:lang w:val="es-ES"/>
        </w:rPr>
        <w:t>apropiad</w:t>
      </w:r>
      <w:r>
        <w:rPr>
          <w:lang w:val="es-ES"/>
        </w:rPr>
        <w:t>a</w:t>
      </w:r>
      <w:r w:rsidRPr="00C24669">
        <w:rPr>
          <w:lang w:val="es-ES"/>
        </w:rPr>
        <w:t xml:space="preserve">s </w:t>
      </w:r>
      <w:r>
        <w:rPr>
          <w:lang w:val="es-ES"/>
        </w:rPr>
        <w:t xml:space="preserve">para </w:t>
      </w:r>
      <w:r w:rsidRPr="00C24669">
        <w:rPr>
          <w:lang w:val="es-ES"/>
        </w:rPr>
        <w:t xml:space="preserve">cada categoría de producto a incluir o referirse en </w:t>
      </w:r>
      <w:r>
        <w:rPr>
          <w:lang w:val="es-ES"/>
        </w:rPr>
        <w:t>la NT/RT</w:t>
      </w:r>
      <w:r w:rsidRPr="00C24669">
        <w:rPr>
          <w:lang w:val="es-ES"/>
        </w:rPr>
        <w:t>, p.</w:t>
      </w:r>
      <w:r>
        <w:rPr>
          <w:lang w:val="es-ES"/>
        </w:rPr>
        <w:t>ej.</w:t>
      </w:r>
      <w:r w:rsidRPr="00C24669">
        <w:rPr>
          <w:lang w:val="es-ES"/>
        </w:rPr>
        <w:t xml:space="preserve"> </w:t>
      </w:r>
      <w:r>
        <w:rPr>
          <w:lang w:val="es-ES"/>
        </w:rPr>
        <w:t>n</w:t>
      </w:r>
      <w:r w:rsidRPr="00C24669">
        <w:rPr>
          <w:lang w:val="es-ES"/>
        </w:rPr>
        <w:t xml:space="preserve">ormas ISO/IEC, </w:t>
      </w:r>
      <w:r>
        <w:rPr>
          <w:lang w:val="es-ES"/>
        </w:rPr>
        <w:t xml:space="preserve">métodos de prueba </w:t>
      </w:r>
      <w:r w:rsidRPr="00C24669">
        <w:rPr>
          <w:lang w:val="es-ES"/>
        </w:rPr>
        <w:t xml:space="preserve">de EE.UU., </w:t>
      </w:r>
      <w:r>
        <w:rPr>
          <w:lang w:val="es-ES"/>
        </w:rPr>
        <w:t>métodos de prueba de acuerdo a N</w:t>
      </w:r>
      <w:r w:rsidRPr="00C24669">
        <w:rPr>
          <w:lang w:val="es-ES"/>
        </w:rPr>
        <w:t xml:space="preserve">OM-ENER. Esto incluye comentarios con respecto a las principales características comunes y las </w:t>
      </w:r>
      <w:r w:rsidRPr="00C24669">
        <w:rPr>
          <w:lang w:val="es-ES"/>
        </w:rPr>
        <w:lastRenderedPageBreak/>
        <w:t>diferencias de l</w:t>
      </w:r>
      <w:r w:rsidR="0027090D">
        <w:rPr>
          <w:lang w:val="es-ES"/>
        </w:rPr>
        <w:t xml:space="preserve">as normas </w:t>
      </w:r>
      <w:r w:rsidRPr="00C24669">
        <w:rPr>
          <w:lang w:val="es-ES"/>
        </w:rPr>
        <w:t xml:space="preserve">más relevantes </w:t>
      </w:r>
      <w:r w:rsidR="0027090D">
        <w:rPr>
          <w:lang w:val="es-ES"/>
        </w:rPr>
        <w:t xml:space="preserve">de acuerdo a </w:t>
      </w:r>
      <w:r w:rsidRPr="00C24669">
        <w:rPr>
          <w:lang w:val="es-ES"/>
        </w:rPr>
        <w:t>los tres sistemas normativos</w:t>
      </w:r>
      <w:r w:rsidR="004C4785">
        <w:rPr>
          <w:lang w:val="es-ES"/>
        </w:rPr>
        <w:t>.</w:t>
      </w:r>
    </w:p>
    <w:p w14:paraId="03575903" w14:textId="115D2786" w:rsidR="00463008" w:rsidRPr="00463008" w:rsidRDefault="00463008" w:rsidP="001404E7">
      <w:pPr>
        <w:pStyle w:val="ListParagraph"/>
        <w:numPr>
          <w:ilvl w:val="1"/>
          <w:numId w:val="19"/>
        </w:numPr>
        <w:spacing w:before="0" w:after="0"/>
        <w:ind w:left="1434" w:hanging="357"/>
        <w:rPr>
          <w:lang w:val="es-ES"/>
        </w:rPr>
      </w:pPr>
      <w:r w:rsidRPr="00E17F68">
        <w:rPr>
          <w:lang w:val="es-ES"/>
        </w:rPr>
        <w:t xml:space="preserve">La determinación de los limites (índices) óptimos de desempeño energético no está dentro del alcance de esta consultoría. </w:t>
      </w:r>
      <w:r w:rsidRPr="00463008">
        <w:rPr>
          <w:lang w:val="es-ES"/>
        </w:rPr>
        <w:t xml:space="preserve">En el marco de esta consultoría, los </w:t>
      </w:r>
      <w:r>
        <w:rPr>
          <w:lang w:val="es-ES"/>
        </w:rPr>
        <w:t xml:space="preserve">límites </w:t>
      </w:r>
      <w:r w:rsidRPr="00463008">
        <w:rPr>
          <w:lang w:val="es-ES"/>
        </w:rPr>
        <w:t xml:space="preserve">se compararán con </w:t>
      </w:r>
      <w:r>
        <w:rPr>
          <w:lang w:val="es-ES"/>
        </w:rPr>
        <w:t xml:space="preserve">aquellos de </w:t>
      </w:r>
      <w:r w:rsidRPr="00463008">
        <w:rPr>
          <w:lang w:val="es-ES"/>
        </w:rPr>
        <w:t>otr</w:t>
      </w:r>
      <w:r>
        <w:rPr>
          <w:lang w:val="es-ES"/>
        </w:rPr>
        <w:t>o</w:t>
      </w:r>
      <w:r w:rsidRPr="00463008">
        <w:rPr>
          <w:lang w:val="es-ES"/>
        </w:rPr>
        <w:t xml:space="preserve">s </w:t>
      </w:r>
      <w:r>
        <w:rPr>
          <w:lang w:val="es-ES"/>
        </w:rPr>
        <w:t>reglamentos</w:t>
      </w:r>
      <w:r w:rsidRPr="00463008">
        <w:rPr>
          <w:lang w:val="es-ES"/>
        </w:rPr>
        <w:t xml:space="preserve"> nacionales e internacionales correspondientes</w:t>
      </w:r>
      <w:r>
        <w:rPr>
          <w:lang w:val="es-ES"/>
        </w:rPr>
        <w:t>, de forma</w:t>
      </w:r>
      <w:r w:rsidRPr="00463008">
        <w:rPr>
          <w:lang w:val="es-ES"/>
        </w:rPr>
        <w:t xml:space="preserve"> indicativ</w:t>
      </w:r>
      <w:r>
        <w:rPr>
          <w:lang w:val="es-ES"/>
        </w:rPr>
        <w:t>a</w:t>
      </w:r>
      <w:r w:rsidRPr="00463008">
        <w:rPr>
          <w:lang w:val="es-ES"/>
        </w:rPr>
        <w:t xml:space="preserve">. El consultor comentará </w:t>
      </w:r>
      <w:r>
        <w:rPr>
          <w:lang w:val="es-ES"/>
        </w:rPr>
        <w:t xml:space="preserve">sobre </w:t>
      </w:r>
      <w:r w:rsidRPr="00463008">
        <w:rPr>
          <w:lang w:val="es-ES"/>
        </w:rPr>
        <w:t xml:space="preserve">las ventajas y desventajas de </w:t>
      </w:r>
      <w:r>
        <w:rPr>
          <w:lang w:val="es-ES"/>
        </w:rPr>
        <w:t xml:space="preserve">límites </w:t>
      </w:r>
      <w:r w:rsidRPr="00463008">
        <w:rPr>
          <w:lang w:val="es-ES"/>
        </w:rPr>
        <w:t xml:space="preserve">específicos </w:t>
      </w:r>
      <w:r w:rsidR="00E17F68">
        <w:rPr>
          <w:lang w:val="es-ES"/>
        </w:rPr>
        <w:t>por</w:t>
      </w:r>
      <w:r w:rsidRPr="00463008">
        <w:rPr>
          <w:lang w:val="es-ES"/>
        </w:rPr>
        <w:t xml:space="preserve"> producto o </w:t>
      </w:r>
      <w:r w:rsidR="00E17F68">
        <w:rPr>
          <w:lang w:val="es-ES"/>
        </w:rPr>
        <w:t>límites</w:t>
      </w:r>
      <w:r w:rsidRPr="00463008">
        <w:rPr>
          <w:lang w:val="es-ES"/>
        </w:rPr>
        <w:t xml:space="preserve"> unificados para todos los productos de iluminación incluidos en </w:t>
      </w:r>
      <w:r w:rsidR="00E17F68">
        <w:rPr>
          <w:lang w:val="es-ES"/>
        </w:rPr>
        <w:t>la NT/RT</w:t>
      </w:r>
      <w:r w:rsidRPr="00463008">
        <w:rPr>
          <w:lang w:val="es-ES"/>
        </w:rPr>
        <w:t>.</w:t>
      </w:r>
    </w:p>
    <w:p w14:paraId="5076FAA8" w14:textId="6AFC984A" w:rsidR="009109F0" w:rsidRPr="00E47D99" w:rsidRDefault="00087FE6" w:rsidP="001404E7">
      <w:pPr>
        <w:pStyle w:val="ListParagraph"/>
        <w:numPr>
          <w:ilvl w:val="1"/>
          <w:numId w:val="19"/>
        </w:numPr>
        <w:suppressAutoHyphens w:val="0"/>
        <w:autoSpaceDN/>
        <w:spacing w:before="0" w:after="0"/>
        <w:textAlignment w:val="auto"/>
        <w:rPr>
          <w:lang w:val="es-ES"/>
        </w:rPr>
      </w:pPr>
      <w:r w:rsidRPr="00087FE6">
        <w:rPr>
          <w:lang w:val="es-ES"/>
        </w:rPr>
        <w:t>Con base en el análisis del grado de armonización</w:t>
      </w:r>
      <w:r>
        <w:rPr>
          <w:lang w:val="es-ES"/>
        </w:rPr>
        <w:t xml:space="preserve"> y alineación</w:t>
      </w:r>
      <w:r w:rsidRPr="00087FE6">
        <w:rPr>
          <w:lang w:val="es-ES"/>
        </w:rPr>
        <w:t xml:space="preserve">, respectivamente, el consultor deberá presentar propuestas con respecto a lograr un mayor grado de alineación con otras normas </w:t>
      </w:r>
      <w:r>
        <w:rPr>
          <w:lang w:val="es-ES"/>
        </w:rPr>
        <w:t xml:space="preserve">y reglamentos </w:t>
      </w:r>
      <w:r w:rsidRPr="00087FE6">
        <w:rPr>
          <w:lang w:val="es-ES"/>
        </w:rPr>
        <w:t xml:space="preserve">nacionales o internacionales. La propuesta incluirá la </w:t>
      </w:r>
      <w:r w:rsidR="00676B79">
        <w:rPr>
          <w:lang w:val="es-ES"/>
        </w:rPr>
        <w:t>justificación</w:t>
      </w:r>
      <w:r w:rsidRPr="00087FE6">
        <w:rPr>
          <w:lang w:val="es-ES"/>
        </w:rPr>
        <w:t xml:space="preserve"> para un</w:t>
      </w:r>
      <w:r w:rsidR="00676B79">
        <w:rPr>
          <w:lang w:val="es-ES"/>
        </w:rPr>
        <w:t>a</w:t>
      </w:r>
      <w:r w:rsidRPr="00087FE6">
        <w:rPr>
          <w:lang w:val="es-ES"/>
        </w:rPr>
        <w:t xml:space="preserve"> mayor alinea</w:t>
      </w:r>
      <w:r w:rsidR="00676B79">
        <w:rPr>
          <w:lang w:val="es-ES"/>
        </w:rPr>
        <w:t xml:space="preserve">ción </w:t>
      </w:r>
      <w:r w:rsidRPr="00087FE6">
        <w:rPr>
          <w:lang w:val="es-ES"/>
        </w:rPr>
        <w:t>con cualquiera de l</w:t>
      </w:r>
      <w:r w:rsidR="00676B79">
        <w:rPr>
          <w:lang w:val="es-ES"/>
        </w:rPr>
        <w:t xml:space="preserve">as normas y reglamentos </w:t>
      </w:r>
      <w:r w:rsidRPr="00087FE6">
        <w:rPr>
          <w:lang w:val="es-ES"/>
        </w:rPr>
        <w:t>de referencia analizados (NOM-</w:t>
      </w:r>
      <w:r w:rsidRPr="007D224C">
        <w:rPr>
          <w:lang w:val="es-ES"/>
        </w:rPr>
        <w:t>ENER, US-DOE,</w:t>
      </w:r>
      <w:r w:rsidRPr="00087FE6">
        <w:rPr>
          <w:lang w:val="es-ES"/>
        </w:rPr>
        <w:t xml:space="preserve"> </w:t>
      </w:r>
      <w:r w:rsidR="00676B79">
        <w:rPr>
          <w:lang w:val="es-ES"/>
        </w:rPr>
        <w:t>UE</w:t>
      </w:r>
      <w:r w:rsidRPr="00087FE6">
        <w:rPr>
          <w:lang w:val="es-ES"/>
        </w:rPr>
        <w:t>), incluidas las opciones</w:t>
      </w:r>
      <w:r w:rsidR="004C4785">
        <w:rPr>
          <w:lang w:val="es-ES"/>
        </w:rPr>
        <w:t>.</w:t>
      </w:r>
    </w:p>
    <w:p w14:paraId="7F7AD0C6" w14:textId="756FA282" w:rsidR="009109F0" w:rsidRPr="00676B79" w:rsidRDefault="00676B79" w:rsidP="001404E7">
      <w:pPr>
        <w:pStyle w:val="ListParagraph"/>
        <w:numPr>
          <w:ilvl w:val="1"/>
          <w:numId w:val="19"/>
        </w:numPr>
        <w:suppressAutoHyphens w:val="0"/>
        <w:autoSpaceDN/>
        <w:spacing w:before="0" w:after="0"/>
        <w:textAlignment w:val="auto"/>
        <w:rPr>
          <w:lang w:val="es-ES"/>
        </w:rPr>
      </w:pPr>
      <w:r w:rsidRPr="00676B79">
        <w:rPr>
          <w:lang w:val="es-ES"/>
        </w:rPr>
        <w:t xml:space="preserve">Recomendación con respecto a los procedimientos de evaluación de la conformidad para ser incluidos o </w:t>
      </w:r>
      <w:r w:rsidR="00623999">
        <w:rPr>
          <w:lang w:val="es-ES"/>
        </w:rPr>
        <w:t>referidos</w:t>
      </w:r>
      <w:r w:rsidRPr="00676B79">
        <w:rPr>
          <w:lang w:val="es-ES"/>
        </w:rPr>
        <w:t xml:space="preserve"> en </w:t>
      </w:r>
      <w:r w:rsidR="00623999">
        <w:rPr>
          <w:lang w:val="es-ES"/>
        </w:rPr>
        <w:t>la NT/RT</w:t>
      </w:r>
      <w:r w:rsidR="004C4785">
        <w:rPr>
          <w:lang w:val="es-ES"/>
        </w:rPr>
        <w:t>.</w:t>
      </w:r>
    </w:p>
    <w:p w14:paraId="25A842A7" w14:textId="3521E212" w:rsidR="009109F0" w:rsidRPr="004C4785" w:rsidRDefault="004C4785" w:rsidP="001404E7">
      <w:pPr>
        <w:pStyle w:val="ListParagraph"/>
        <w:numPr>
          <w:ilvl w:val="1"/>
          <w:numId w:val="19"/>
        </w:numPr>
        <w:suppressAutoHyphens w:val="0"/>
        <w:autoSpaceDN/>
        <w:spacing w:before="0" w:after="0"/>
        <w:textAlignment w:val="auto"/>
        <w:rPr>
          <w:lang w:val="es-ES"/>
        </w:rPr>
      </w:pPr>
      <w:r w:rsidRPr="004C4785">
        <w:rPr>
          <w:lang w:val="es-ES"/>
        </w:rPr>
        <w:t xml:space="preserve">Recomendaciones con respecto al diseño, contenido y colocación de una etiqueta para productos de iluminación. La consultoría no incluirá el diseño </w:t>
      </w:r>
      <w:r>
        <w:rPr>
          <w:lang w:val="es-ES"/>
        </w:rPr>
        <w:t>efectivo</w:t>
      </w:r>
      <w:r w:rsidRPr="004C4785">
        <w:rPr>
          <w:lang w:val="es-ES"/>
        </w:rPr>
        <w:t xml:space="preserve"> de la etiqueta</w:t>
      </w:r>
      <w:r w:rsidR="009109F0" w:rsidRPr="004C4785">
        <w:rPr>
          <w:lang w:val="es-ES"/>
        </w:rPr>
        <w:t>.</w:t>
      </w:r>
    </w:p>
    <w:p w14:paraId="4311CAEC" w14:textId="7DBB9117" w:rsidR="009109F0" w:rsidRPr="007D224C" w:rsidRDefault="004C4785" w:rsidP="001404E7">
      <w:pPr>
        <w:pStyle w:val="ListParagraph"/>
        <w:numPr>
          <w:ilvl w:val="1"/>
          <w:numId w:val="19"/>
        </w:numPr>
        <w:suppressAutoHyphens w:val="0"/>
        <w:autoSpaceDN/>
        <w:spacing w:before="0" w:after="0"/>
        <w:textAlignment w:val="auto"/>
        <w:rPr>
          <w:lang w:val="es-ES"/>
        </w:rPr>
      </w:pPr>
      <w:r w:rsidRPr="004C4785">
        <w:rPr>
          <w:lang w:val="es-ES"/>
        </w:rPr>
        <w:t xml:space="preserve">Inclusión o modificación de estipulaciones faltantes o incompletas, mejoras editoriales. </w:t>
      </w:r>
      <w:r w:rsidRPr="007D224C">
        <w:rPr>
          <w:lang w:val="es-ES"/>
        </w:rPr>
        <w:t>La consultoría no incluirá propuestas detalladas para mejoras textuales.</w:t>
      </w:r>
    </w:p>
    <w:p w14:paraId="483BEC13" w14:textId="34D2A30C" w:rsidR="00D0295B" w:rsidRDefault="001B6BD2" w:rsidP="005D31FB">
      <w:pPr>
        <w:pStyle w:val="Heading2"/>
        <w:ind w:left="1248" w:hanging="964"/>
        <w:rPr>
          <w:lang w:val="es-ES"/>
        </w:rPr>
      </w:pPr>
      <w:bookmarkStart w:id="22" w:name="_Toc463091805"/>
      <w:bookmarkStart w:id="23" w:name="_Toc465707867"/>
      <w:bookmarkStart w:id="24" w:name="_Toc516145999"/>
      <w:r>
        <w:rPr>
          <w:lang w:val="es-ES"/>
        </w:rPr>
        <w:t>Actividades desarrolladas</w:t>
      </w:r>
      <w:bookmarkEnd w:id="20"/>
      <w:bookmarkEnd w:id="21"/>
      <w:bookmarkEnd w:id="22"/>
      <w:bookmarkEnd w:id="23"/>
      <w:bookmarkEnd w:id="24"/>
    </w:p>
    <w:p w14:paraId="28F6E8F3" w14:textId="503F626B" w:rsidR="00773419" w:rsidRPr="00411FF7" w:rsidRDefault="007D224C" w:rsidP="007E13F3">
      <w:pPr>
        <w:pStyle w:val="BodyText"/>
        <w:rPr>
          <w:lang w:val="es-ES"/>
        </w:rPr>
      </w:pPr>
      <w:r>
        <w:rPr>
          <w:lang w:val="es-ES"/>
        </w:rPr>
        <w:t>Se desarrollaron las siguientes actividades</w:t>
      </w:r>
      <w:r w:rsidR="00801B09">
        <w:rPr>
          <w:lang w:val="es-ES"/>
        </w:rPr>
        <w:t xml:space="preserve"> principales:</w:t>
      </w:r>
    </w:p>
    <w:p w14:paraId="1BEBB86B" w14:textId="323AF54A" w:rsidR="00411FF7" w:rsidRPr="00773419" w:rsidRDefault="00801B09" w:rsidP="00801B09">
      <w:pPr>
        <w:pStyle w:val="BodyText"/>
        <w:numPr>
          <w:ilvl w:val="0"/>
          <w:numId w:val="16"/>
        </w:numPr>
        <w:rPr>
          <w:color w:val="auto"/>
          <w:lang w:val="es-ES"/>
        </w:rPr>
      </w:pPr>
      <w:r>
        <w:rPr>
          <w:color w:val="auto"/>
          <w:lang w:val="es-ES"/>
        </w:rPr>
        <w:t>Investigaciones iniciales y preparación de la presentación "</w:t>
      </w:r>
      <w:r w:rsidRPr="00801B09">
        <w:rPr>
          <w:color w:val="auto"/>
          <w:lang w:val="es-ES"/>
        </w:rPr>
        <w:t>Normas de desempeño energético mínimo para productos de iluminación</w:t>
      </w:r>
      <w:r>
        <w:rPr>
          <w:color w:val="auto"/>
          <w:lang w:val="es-ES"/>
        </w:rPr>
        <w:t>", incluida en el Anexo 2</w:t>
      </w:r>
      <w:r w:rsidR="00F82891">
        <w:rPr>
          <w:color w:val="auto"/>
          <w:lang w:val="es-ES"/>
        </w:rPr>
        <w:t>;</w:t>
      </w:r>
      <w:r w:rsidR="00773419">
        <w:rPr>
          <w:color w:val="auto"/>
          <w:lang w:val="es-ES"/>
        </w:rPr>
        <w:t xml:space="preserve"> </w:t>
      </w:r>
    </w:p>
    <w:p w14:paraId="163BA0F6" w14:textId="5FB695DA" w:rsidR="0041276F" w:rsidRDefault="00D9518C" w:rsidP="00B86296">
      <w:pPr>
        <w:pStyle w:val="BodyText"/>
        <w:numPr>
          <w:ilvl w:val="0"/>
          <w:numId w:val="16"/>
        </w:numPr>
        <w:rPr>
          <w:color w:val="auto"/>
          <w:lang w:val="es-ES"/>
        </w:rPr>
      </w:pPr>
      <w:r>
        <w:rPr>
          <w:color w:val="auto"/>
          <w:lang w:val="es-ES"/>
        </w:rPr>
        <w:t xml:space="preserve">Reunión </w:t>
      </w:r>
      <w:r w:rsidR="00801B09">
        <w:rPr>
          <w:color w:val="auto"/>
          <w:lang w:val="es-ES"/>
        </w:rPr>
        <w:t xml:space="preserve">inicial con </w:t>
      </w:r>
      <w:r w:rsidR="0041276F">
        <w:rPr>
          <w:color w:val="auto"/>
          <w:lang w:val="es-ES"/>
        </w:rPr>
        <w:t>la Secretaría Nacional de Energía y otras partes de interés, con la participación del Banco Mundial, el 1 de diciembre de 2017</w:t>
      </w:r>
      <w:r w:rsidR="00F82891">
        <w:rPr>
          <w:rStyle w:val="FootnoteReference"/>
          <w:color w:val="auto"/>
        </w:rPr>
        <w:footnoteReference w:id="11"/>
      </w:r>
      <w:r w:rsidR="00F82891">
        <w:rPr>
          <w:color w:val="auto"/>
          <w:lang w:val="es-ES"/>
        </w:rPr>
        <w:t>;</w:t>
      </w:r>
    </w:p>
    <w:p w14:paraId="1BE0EAC5" w14:textId="7ABF2868" w:rsidR="00411FF7" w:rsidRDefault="0041276F" w:rsidP="0041276F">
      <w:pPr>
        <w:pStyle w:val="BodyText"/>
        <w:numPr>
          <w:ilvl w:val="0"/>
          <w:numId w:val="16"/>
        </w:numPr>
        <w:rPr>
          <w:color w:val="auto"/>
          <w:lang w:val="es-ES"/>
        </w:rPr>
      </w:pPr>
      <w:r>
        <w:rPr>
          <w:color w:val="auto"/>
          <w:lang w:val="es-ES"/>
        </w:rPr>
        <w:t>Preparación de</w:t>
      </w:r>
      <w:r w:rsidR="00F63A90">
        <w:rPr>
          <w:color w:val="auto"/>
          <w:lang w:val="es-ES"/>
        </w:rPr>
        <w:t>l</w:t>
      </w:r>
      <w:r>
        <w:rPr>
          <w:color w:val="auto"/>
          <w:lang w:val="es-ES"/>
        </w:rPr>
        <w:t xml:space="preserve"> </w:t>
      </w:r>
      <w:r w:rsidR="00411FF7" w:rsidRPr="00773419">
        <w:rPr>
          <w:color w:val="auto"/>
          <w:lang w:val="es-ES"/>
        </w:rPr>
        <w:t>informe</w:t>
      </w:r>
      <w:r>
        <w:rPr>
          <w:color w:val="auto"/>
          <w:lang w:val="es-ES"/>
        </w:rPr>
        <w:t xml:space="preserve"> intermedio, que corresponde a las tareas 1 </w:t>
      </w:r>
      <w:r w:rsidRPr="0041276F">
        <w:rPr>
          <w:color w:val="auto"/>
          <w:lang w:val="es-ES"/>
        </w:rPr>
        <w:t>– 3 de acuerdo a los TdR</w:t>
      </w:r>
      <w:r>
        <w:rPr>
          <w:color w:val="auto"/>
          <w:lang w:val="es-ES"/>
        </w:rPr>
        <w:t xml:space="preserve"> del consultor</w:t>
      </w:r>
      <w:r w:rsidR="00F63A90">
        <w:rPr>
          <w:color w:val="auto"/>
          <w:lang w:val="es-ES"/>
        </w:rPr>
        <w:t>;</w:t>
      </w:r>
    </w:p>
    <w:p w14:paraId="7116B6F9" w14:textId="74210E96" w:rsidR="00F63A90" w:rsidRDefault="00F63A90" w:rsidP="0041276F">
      <w:pPr>
        <w:pStyle w:val="BodyText"/>
        <w:numPr>
          <w:ilvl w:val="0"/>
          <w:numId w:val="16"/>
        </w:numPr>
        <w:rPr>
          <w:color w:val="auto"/>
          <w:lang w:val="es-ES"/>
        </w:rPr>
      </w:pPr>
      <w:r>
        <w:rPr>
          <w:color w:val="auto"/>
          <w:lang w:val="es-ES"/>
        </w:rPr>
        <w:t>Presentación del informe intermedio y de las recomendaciones preliminares del estudio</w:t>
      </w:r>
      <w:r>
        <w:rPr>
          <w:rStyle w:val="FootnoteReference"/>
          <w:color w:val="auto"/>
        </w:rPr>
        <w:footnoteReference w:id="12"/>
      </w:r>
      <w:r>
        <w:rPr>
          <w:color w:val="auto"/>
          <w:lang w:val="es-ES"/>
        </w:rPr>
        <w:t xml:space="preserve"> en la reunión con la Secretaría Nacional de Energía y otras partes de interés, con la participación del Banco Mundial, el 5 de marzo de 2018</w:t>
      </w:r>
      <w:r>
        <w:rPr>
          <w:rStyle w:val="FootnoteReference"/>
          <w:color w:val="auto"/>
        </w:rPr>
        <w:footnoteReference w:id="13"/>
      </w:r>
      <w:r>
        <w:rPr>
          <w:color w:val="auto"/>
          <w:lang w:val="es-ES"/>
        </w:rPr>
        <w:t>;</w:t>
      </w:r>
    </w:p>
    <w:p w14:paraId="7882AEBE" w14:textId="56FF3F75" w:rsidR="00F63A90" w:rsidRDefault="00F63A90" w:rsidP="00F63A90">
      <w:pPr>
        <w:pStyle w:val="BodyText"/>
        <w:numPr>
          <w:ilvl w:val="0"/>
          <w:numId w:val="16"/>
        </w:numPr>
        <w:rPr>
          <w:color w:val="auto"/>
          <w:lang w:val="es-ES"/>
        </w:rPr>
      </w:pPr>
      <w:r>
        <w:rPr>
          <w:color w:val="auto"/>
          <w:lang w:val="es-ES"/>
        </w:rPr>
        <w:t xml:space="preserve">Preparación del informe final, que corresponde a las tareas 1 </w:t>
      </w:r>
      <w:r w:rsidRPr="00F63A90">
        <w:rPr>
          <w:color w:val="auto"/>
          <w:lang w:val="es-ES"/>
        </w:rPr>
        <w:t xml:space="preserve">– </w:t>
      </w:r>
      <w:r>
        <w:rPr>
          <w:color w:val="auto"/>
          <w:lang w:val="es-ES"/>
        </w:rPr>
        <w:t>4</w:t>
      </w:r>
      <w:r w:rsidRPr="00F63A90">
        <w:rPr>
          <w:color w:val="auto"/>
          <w:lang w:val="es-ES"/>
        </w:rPr>
        <w:t xml:space="preserve"> de acuerdo a los TdR del consultor</w:t>
      </w:r>
      <w:r>
        <w:rPr>
          <w:color w:val="auto"/>
          <w:lang w:val="es-ES"/>
        </w:rPr>
        <w:t>.</w:t>
      </w:r>
    </w:p>
    <w:p w14:paraId="5F9CED48" w14:textId="060DA67C" w:rsidR="00D0295B" w:rsidRDefault="00755908" w:rsidP="00755908">
      <w:pPr>
        <w:pStyle w:val="Heading1"/>
        <w:rPr>
          <w:lang w:val="es-ES"/>
        </w:rPr>
      </w:pPr>
      <w:bookmarkStart w:id="25" w:name="_Toc465707869"/>
      <w:bookmarkStart w:id="26" w:name="_Toc516146000"/>
      <w:r>
        <w:rPr>
          <w:lang w:val="es-ES"/>
        </w:rPr>
        <w:lastRenderedPageBreak/>
        <w:t>N</w:t>
      </w:r>
      <w:r w:rsidRPr="00755908">
        <w:rPr>
          <w:lang w:val="es-ES"/>
        </w:rPr>
        <w:t>ormas y reg</w:t>
      </w:r>
      <w:r w:rsidR="0007584B">
        <w:rPr>
          <w:lang w:val="es-ES"/>
        </w:rPr>
        <w:t>lamentos</w:t>
      </w:r>
      <w:r w:rsidRPr="00755908">
        <w:rPr>
          <w:lang w:val="es-ES"/>
        </w:rPr>
        <w:t xml:space="preserve"> de eficiencia energética para productos de iluminación </w:t>
      </w:r>
      <w:r w:rsidR="008E2DA2">
        <w:rPr>
          <w:lang w:val="es-ES"/>
        </w:rPr>
        <w:t>de</w:t>
      </w:r>
      <w:r w:rsidRPr="00755908">
        <w:rPr>
          <w:lang w:val="es-ES"/>
        </w:rPr>
        <w:t xml:space="preserve"> E</w:t>
      </w:r>
      <w:r>
        <w:rPr>
          <w:lang w:val="es-ES"/>
        </w:rPr>
        <w:t>E.UU.</w:t>
      </w:r>
      <w:r w:rsidR="007A13C8">
        <w:rPr>
          <w:lang w:val="es-ES"/>
        </w:rPr>
        <w:t>,</w:t>
      </w:r>
      <w:r>
        <w:rPr>
          <w:lang w:val="es-ES"/>
        </w:rPr>
        <w:t xml:space="preserve"> </w:t>
      </w:r>
      <w:r w:rsidR="00734BA5">
        <w:rPr>
          <w:lang w:val="es-ES"/>
        </w:rPr>
        <w:t xml:space="preserve">de </w:t>
      </w:r>
      <w:r w:rsidRPr="00755908">
        <w:rPr>
          <w:lang w:val="es-ES"/>
        </w:rPr>
        <w:t>la Unión Europe</w:t>
      </w:r>
      <w:r>
        <w:rPr>
          <w:lang w:val="es-ES"/>
        </w:rPr>
        <w:t>a</w:t>
      </w:r>
      <w:bookmarkEnd w:id="14"/>
      <w:bookmarkEnd w:id="15"/>
      <w:bookmarkEnd w:id="16"/>
      <w:bookmarkEnd w:id="25"/>
      <w:r w:rsidR="00734BA5">
        <w:rPr>
          <w:lang w:val="es-ES"/>
        </w:rPr>
        <w:t xml:space="preserve"> y de México</w:t>
      </w:r>
      <w:bookmarkEnd w:id="26"/>
    </w:p>
    <w:p w14:paraId="534BC3D8" w14:textId="4797C330" w:rsidR="008C3486" w:rsidRDefault="008C3486" w:rsidP="008C3486">
      <w:pPr>
        <w:pStyle w:val="Heading2"/>
        <w:ind w:left="1248" w:hanging="964"/>
        <w:rPr>
          <w:lang w:val="es-ES"/>
        </w:rPr>
      </w:pPr>
      <w:bookmarkStart w:id="27" w:name="_Toc516146001"/>
      <w:r>
        <w:rPr>
          <w:lang w:val="es-ES"/>
        </w:rPr>
        <w:t>Relevancia</w:t>
      </w:r>
      <w:bookmarkEnd w:id="27"/>
    </w:p>
    <w:p w14:paraId="554822F7" w14:textId="127E1B24" w:rsidR="0007584B" w:rsidRDefault="00F079BF" w:rsidP="00A34CF3">
      <w:pPr>
        <w:pStyle w:val="BodyText"/>
        <w:rPr>
          <w:lang w:val="es-ES"/>
        </w:rPr>
      </w:pPr>
      <w:r>
        <w:rPr>
          <w:lang w:val="es-ES"/>
        </w:rPr>
        <w:t>De ac</w:t>
      </w:r>
      <w:r w:rsidR="004A6AAA">
        <w:rPr>
          <w:lang w:val="es-ES"/>
        </w:rPr>
        <w:t xml:space="preserve">uerdo al </w:t>
      </w:r>
      <w:r w:rsidR="004A00A7">
        <w:rPr>
          <w:lang w:val="es-ES"/>
        </w:rPr>
        <w:t>Capítulo</w:t>
      </w:r>
      <w:r w:rsidR="004A6AAA">
        <w:rPr>
          <w:lang w:val="es-ES"/>
        </w:rPr>
        <w:t xml:space="preserve"> IX del Título II la Ley no. 23 de julio de 1997</w:t>
      </w:r>
      <w:r w:rsidR="004A6AAA">
        <w:rPr>
          <w:rStyle w:val="FootnoteReference"/>
        </w:rPr>
        <w:footnoteReference w:id="14"/>
      </w:r>
      <w:r w:rsidR="004A6AAA">
        <w:rPr>
          <w:lang w:val="es-ES"/>
        </w:rPr>
        <w:t xml:space="preserve">,  </w:t>
      </w:r>
      <w:r w:rsidR="00B536A0">
        <w:rPr>
          <w:lang w:val="es-ES"/>
        </w:rPr>
        <w:t xml:space="preserve">se consultarán </w:t>
      </w:r>
      <w:r w:rsidR="0028760B" w:rsidRPr="0028760B">
        <w:rPr>
          <w:lang w:val="es-ES"/>
        </w:rPr>
        <w:t>–</w:t>
      </w:r>
      <w:r w:rsidR="00B536A0">
        <w:rPr>
          <w:lang w:val="es-ES"/>
        </w:rPr>
        <w:t xml:space="preserve"> en el proceso </w:t>
      </w:r>
      <w:r w:rsidR="004A00A7">
        <w:rPr>
          <w:lang w:val="es-ES"/>
        </w:rPr>
        <w:t xml:space="preserve">de elaboración </w:t>
      </w:r>
      <w:r w:rsidR="00B536A0">
        <w:rPr>
          <w:lang w:val="es-ES"/>
        </w:rPr>
        <w:t xml:space="preserve">de normas técnicas de parte de la Dirección General de Normas y Tecnología Industrial (DGNTI) del MICI </w:t>
      </w:r>
      <w:r w:rsidR="0028760B" w:rsidRPr="0028760B">
        <w:rPr>
          <w:lang w:val="es-ES"/>
        </w:rPr>
        <w:t>–</w:t>
      </w:r>
      <w:r w:rsidR="00B536A0">
        <w:rPr>
          <w:lang w:val="es-ES"/>
        </w:rPr>
        <w:t xml:space="preserve"> en primer</w:t>
      </w:r>
      <w:r w:rsidR="00FA30C7">
        <w:rPr>
          <w:lang w:val="es-ES"/>
        </w:rPr>
        <w:t>a</w:t>
      </w:r>
      <w:r w:rsidR="00B536A0">
        <w:rPr>
          <w:lang w:val="es-ES"/>
        </w:rPr>
        <w:t xml:space="preserve"> instancia las normas nacionales e internacionales</w:t>
      </w:r>
      <w:r w:rsidR="00B536A0">
        <w:rPr>
          <w:rStyle w:val="FootnoteReference"/>
        </w:rPr>
        <w:footnoteReference w:id="15"/>
      </w:r>
      <w:r w:rsidR="00B536A0">
        <w:rPr>
          <w:lang w:val="es-ES"/>
        </w:rPr>
        <w:t xml:space="preserve">. </w:t>
      </w:r>
      <w:r w:rsidR="00430D61">
        <w:rPr>
          <w:lang w:val="es-ES"/>
        </w:rPr>
        <w:t>Además, l</w:t>
      </w:r>
      <w:r w:rsidR="00B536A0">
        <w:rPr>
          <w:lang w:val="es-ES"/>
        </w:rPr>
        <w:t>a DGNTI</w:t>
      </w:r>
      <w:r w:rsidR="00430D61">
        <w:rPr>
          <w:lang w:val="es-ES"/>
        </w:rPr>
        <w:t xml:space="preserve"> "aceptará como equivalentes los reglamentos técnicos de instituciones extranjeras,</w:t>
      </w:r>
      <w:r w:rsidR="00B536A0">
        <w:rPr>
          <w:lang w:val="es-ES"/>
        </w:rPr>
        <w:t xml:space="preserve"> </w:t>
      </w:r>
      <w:r w:rsidR="00430D61">
        <w:rPr>
          <w:lang w:val="es-ES"/>
        </w:rPr>
        <w:t xml:space="preserve"> cuando difieran de los nacionales, siempre que tengan la convicción de que cumplen adecuadamente los objetivos de sus propios reglamentos".</w:t>
      </w:r>
      <w:r w:rsidR="00430D61">
        <w:rPr>
          <w:rStyle w:val="FootnoteReference"/>
        </w:rPr>
        <w:footnoteReference w:id="16"/>
      </w:r>
    </w:p>
    <w:p w14:paraId="5EA041CA" w14:textId="6C40076B" w:rsidR="00430D61" w:rsidRDefault="0007584B" w:rsidP="00A34CF3">
      <w:pPr>
        <w:pStyle w:val="BodyText"/>
        <w:rPr>
          <w:lang w:val="es-ES"/>
        </w:rPr>
      </w:pPr>
      <w:r>
        <w:rPr>
          <w:lang w:val="es-ES"/>
        </w:rPr>
        <w:t>Las normas y reglamentos</w:t>
      </w:r>
      <w:r w:rsidR="00754362">
        <w:rPr>
          <w:lang w:val="es-ES"/>
        </w:rPr>
        <w:t xml:space="preserve"> técnicos de</w:t>
      </w:r>
      <w:r>
        <w:rPr>
          <w:lang w:val="es-ES"/>
        </w:rPr>
        <w:t xml:space="preserve"> DGNTI-COPANIT de eficiencia energética implementados hasta el momento</w:t>
      </w:r>
      <w:r w:rsidR="00430D61">
        <w:rPr>
          <w:rStyle w:val="FootnoteReference"/>
        </w:rPr>
        <w:footnoteReference w:id="17"/>
      </w:r>
      <w:r>
        <w:rPr>
          <w:lang w:val="es-ES"/>
        </w:rPr>
        <w:t xml:space="preserve"> siguen, en su estructura y contenido, en gran medida las Normas Oficiales Mexicanas de Eficiencia Energética (NOM-ENER) correspondientes. </w:t>
      </w:r>
    </w:p>
    <w:p w14:paraId="254AB645" w14:textId="40D4F666" w:rsidR="0007584B" w:rsidRDefault="00754362" w:rsidP="00A34CF3">
      <w:pPr>
        <w:pStyle w:val="BodyText"/>
        <w:rPr>
          <w:lang w:val="es-ES"/>
        </w:rPr>
      </w:pPr>
      <w:r>
        <w:rPr>
          <w:lang w:val="es-ES"/>
        </w:rPr>
        <w:t>Las d</w:t>
      </w:r>
      <w:r w:rsidR="0007584B">
        <w:rPr>
          <w:lang w:val="es-ES"/>
        </w:rPr>
        <w:t xml:space="preserve">iferencias </w:t>
      </w:r>
      <w:r>
        <w:rPr>
          <w:lang w:val="es-ES"/>
        </w:rPr>
        <w:t xml:space="preserve">principales </w:t>
      </w:r>
      <w:r w:rsidR="0007584B">
        <w:rPr>
          <w:lang w:val="es-ES"/>
        </w:rPr>
        <w:t xml:space="preserve">entre </w:t>
      </w:r>
      <w:r>
        <w:rPr>
          <w:lang w:val="es-ES"/>
        </w:rPr>
        <w:t>las NOM-ENER y NT/RT DGNTI-COPANIT se refieren a</w:t>
      </w:r>
      <w:r w:rsidR="00DC5514">
        <w:rPr>
          <w:lang w:val="es-ES"/>
        </w:rPr>
        <w:t>:</w:t>
      </w:r>
      <w:r w:rsidR="00724179">
        <w:rPr>
          <w:rStyle w:val="FootnoteReference"/>
        </w:rPr>
        <w:footnoteReference w:id="18"/>
      </w:r>
    </w:p>
    <w:p w14:paraId="7818A056" w14:textId="4FCE0C8C" w:rsidR="00160109" w:rsidRDefault="000C1A80" w:rsidP="001404E7">
      <w:pPr>
        <w:pStyle w:val="BodyText"/>
        <w:numPr>
          <w:ilvl w:val="0"/>
          <w:numId w:val="20"/>
        </w:numPr>
        <w:rPr>
          <w:lang w:val="es-ES"/>
        </w:rPr>
      </w:pPr>
      <w:r>
        <w:rPr>
          <w:lang w:val="es-ES"/>
        </w:rPr>
        <w:t>E</w:t>
      </w:r>
      <w:r w:rsidR="00DC5514">
        <w:rPr>
          <w:lang w:val="es-ES"/>
        </w:rPr>
        <w:t xml:space="preserve">l alcance de cada documento: mientras que las NT y RT DGNTI-COPANIT son documentos separados, las NOM-ENER reúnen en un solo documento los </w:t>
      </w:r>
      <w:r w:rsidR="00160109">
        <w:rPr>
          <w:lang w:val="es-ES"/>
        </w:rPr>
        <w:t>métodos de prueba, índices de desempeño energético mínimo, la etiqueta energética y todas demás estipulaciones</w:t>
      </w:r>
      <w:r w:rsidR="00DC5514">
        <w:rPr>
          <w:lang w:val="es-ES"/>
        </w:rPr>
        <w:t>.</w:t>
      </w:r>
      <w:r w:rsidR="00724179">
        <w:rPr>
          <w:rStyle w:val="FootnoteReference"/>
        </w:rPr>
        <w:footnoteReference w:id="19"/>
      </w:r>
    </w:p>
    <w:p w14:paraId="2E2558CF" w14:textId="4874F014" w:rsidR="00724179" w:rsidRDefault="00160109" w:rsidP="001404E7">
      <w:pPr>
        <w:pStyle w:val="BodyText"/>
        <w:numPr>
          <w:ilvl w:val="0"/>
          <w:numId w:val="20"/>
        </w:numPr>
        <w:rPr>
          <w:lang w:val="es-ES"/>
        </w:rPr>
      </w:pPr>
      <w:r>
        <w:rPr>
          <w:lang w:val="es-ES"/>
        </w:rPr>
        <w:t>Las NOM-ENER incluyen</w:t>
      </w:r>
      <w:r w:rsidR="000C6008">
        <w:rPr>
          <w:lang w:val="es-ES"/>
        </w:rPr>
        <w:t>, en general,</w:t>
      </w:r>
      <w:r>
        <w:rPr>
          <w:lang w:val="es-ES"/>
        </w:rPr>
        <w:t xml:space="preserve"> procedimientos de evaluación de conformidad detallados, mientras que los RT DGNTI-COPANIT </w:t>
      </w:r>
      <w:r w:rsidR="00345CA0">
        <w:rPr>
          <w:lang w:val="es-ES"/>
        </w:rPr>
        <w:t xml:space="preserve">todavía </w:t>
      </w:r>
      <w:r w:rsidR="00724179">
        <w:rPr>
          <w:lang w:val="es-ES"/>
        </w:rPr>
        <w:t>carecen de una referencia a sistemas de evaluación de conformidad.</w:t>
      </w:r>
    </w:p>
    <w:p w14:paraId="2D032DA2" w14:textId="742856A8" w:rsidR="00DC5514" w:rsidRDefault="009B1596" w:rsidP="00A34CF3">
      <w:pPr>
        <w:pStyle w:val="BodyText"/>
        <w:rPr>
          <w:lang w:val="es-ES"/>
        </w:rPr>
      </w:pPr>
      <w:r>
        <w:rPr>
          <w:lang w:val="es-ES"/>
        </w:rPr>
        <w:t xml:space="preserve">No obstante de estas diferencias relativamente menores, las NOM-ENER son el referente principal para las NT y RT panameños y merecen obviamente </w:t>
      </w:r>
      <w:r w:rsidR="0028760B">
        <w:rPr>
          <w:lang w:val="es-ES"/>
        </w:rPr>
        <w:t xml:space="preserve">especial </w:t>
      </w:r>
      <w:r>
        <w:rPr>
          <w:lang w:val="es-ES"/>
        </w:rPr>
        <w:t>atención.</w:t>
      </w:r>
      <w:r w:rsidR="00160109">
        <w:rPr>
          <w:lang w:val="es-ES"/>
        </w:rPr>
        <w:t xml:space="preserve"> </w:t>
      </w:r>
    </w:p>
    <w:p w14:paraId="01D9A065" w14:textId="7200BC97" w:rsidR="0007584B" w:rsidRDefault="0028760B" w:rsidP="00A34CF3">
      <w:pPr>
        <w:pStyle w:val="BodyText"/>
        <w:rPr>
          <w:lang w:val="es-ES"/>
        </w:rPr>
      </w:pPr>
      <w:r>
        <w:rPr>
          <w:lang w:val="es-ES"/>
        </w:rPr>
        <w:t>De otra parte</w:t>
      </w:r>
      <w:r w:rsidR="005D5D3A">
        <w:rPr>
          <w:lang w:val="es-ES"/>
        </w:rPr>
        <w:t>, los métodos de prueba incluidas en las NOM-ENER, y las normas mexicanas (NMX) para ciertas pruebas referenciadas en las NOM-ENER son (parcialmente) equivalentes a normas internacionales (ISO/IEC) y/o métodos de prueba (</w:t>
      </w:r>
      <w:r w:rsidR="005D5D3A" w:rsidRPr="000C1A80">
        <w:rPr>
          <w:i/>
          <w:lang w:val="es-ES"/>
        </w:rPr>
        <w:t>test procedures</w:t>
      </w:r>
      <w:r w:rsidR="005D5D3A">
        <w:rPr>
          <w:lang w:val="es-ES"/>
        </w:rPr>
        <w:t xml:space="preserve">) del Departamento de Energía (DOE) de EE.UU. Además existe un cierto grado de alineación de los índices de eficiencia </w:t>
      </w:r>
      <w:r w:rsidR="005D5D3A">
        <w:rPr>
          <w:lang w:val="es-ES"/>
        </w:rPr>
        <w:lastRenderedPageBreak/>
        <w:t>energética ("especificaciones") de las NOM-ENER con las normas de desempeño energético mínimo (</w:t>
      </w:r>
      <w:r w:rsidR="005D5D3A" w:rsidRPr="000C1A80">
        <w:rPr>
          <w:i/>
          <w:lang w:val="es-ES"/>
        </w:rPr>
        <w:t>energy efficiency standards</w:t>
      </w:r>
      <w:r w:rsidR="005D5D3A">
        <w:rPr>
          <w:lang w:val="es-ES"/>
        </w:rPr>
        <w:t>) del DOE.</w:t>
      </w:r>
      <w:r w:rsidR="005D5D3A">
        <w:rPr>
          <w:rStyle w:val="FootnoteReference"/>
        </w:rPr>
        <w:footnoteReference w:id="20"/>
      </w:r>
      <w:r w:rsidR="005D5D3A">
        <w:rPr>
          <w:lang w:val="es-ES"/>
        </w:rPr>
        <w:t xml:space="preserve"> </w:t>
      </w:r>
    </w:p>
    <w:p w14:paraId="5ECB21E4" w14:textId="31B733B5" w:rsidR="00CF7C46" w:rsidRPr="00AB188F" w:rsidRDefault="000C1A80" w:rsidP="003779CB">
      <w:pPr>
        <w:pStyle w:val="BodyText"/>
        <w:rPr>
          <w:color w:val="auto"/>
          <w:lang w:val="es-ES"/>
        </w:rPr>
      </w:pPr>
      <w:r>
        <w:rPr>
          <w:lang w:val="es-ES"/>
        </w:rPr>
        <w:t xml:space="preserve">El mercado </w:t>
      </w:r>
      <w:r w:rsidR="008A41F8">
        <w:rPr>
          <w:lang w:val="es-ES"/>
        </w:rPr>
        <w:t xml:space="preserve">mundial </w:t>
      </w:r>
      <w:r w:rsidR="000C7F25">
        <w:rPr>
          <w:lang w:val="es-ES"/>
        </w:rPr>
        <w:t xml:space="preserve">actual </w:t>
      </w:r>
      <w:r>
        <w:rPr>
          <w:lang w:val="es-ES"/>
        </w:rPr>
        <w:t>de productos de iluminación se caracteriza por cambios tecnológicos importantes. Luego de casi cien años de predominancia</w:t>
      </w:r>
      <w:r w:rsidR="00132B3A">
        <w:rPr>
          <w:lang w:val="es-ES"/>
        </w:rPr>
        <w:t xml:space="preserve"> como lámparas </w:t>
      </w:r>
      <w:r w:rsidR="003453B4">
        <w:rPr>
          <w:lang w:val="es-ES"/>
        </w:rPr>
        <w:t>para</w:t>
      </w:r>
      <w:r w:rsidR="00132B3A">
        <w:rPr>
          <w:lang w:val="es-ES"/>
        </w:rPr>
        <w:t xml:space="preserve"> </w:t>
      </w:r>
      <w:r w:rsidR="003453B4">
        <w:rPr>
          <w:lang w:val="es-ES"/>
        </w:rPr>
        <w:t>uso</w:t>
      </w:r>
      <w:r w:rsidR="00132B3A">
        <w:rPr>
          <w:lang w:val="es-ES"/>
        </w:rPr>
        <w:t xml:space="preserve"> general, en particular en el sector residencial, las </w:t>
      </w:r>
      <w:r>
        <w:rPr>
          <w:lang w:val="es-ES"/>
        </w:rPr>
        <w:t xml:space="preserve">lámparas incandescentes de filamento de tungsteno </w:t>
      </w:r>
      <w:r w:rsidR="00132B3A">
        <w:rPr>
          <w:lang w:val="es-ES"/>
        </w:rPr>
        <w:t xml:space="preserve">fueron sustituidas de forma progresiva por lámparas fluorescentes compactas (LFC), lámparas incandescentes </w:t>
      </w:r>
      <w:r w:rsidR="003453B4">
        <w:rPr>
          <w:lang w:val="es-ES"/>
        </w:rPr>
        <w:t>con</w:t>
      </w:r>
      <w:r w:rsidR="00132B3A">
        <w:rPr>
          <w:lang w:val="es-ES"/>
        </w:rPr>
        <w:t xml:space="preserve"> halógeno y </w:t>
      </w:r>
      <w:r w:rsidR="00132B3A" w:rsidRPr="00132B3A">
        <w:rPr>
          <w:lang w:val="es-ES"/>
        </w:rPr>
        <w:t>–</w:t>
      </w:r>
      <w:r w:rsidR="00132B3A">
        <w:rPr>
          <w:lang w:val="es-ES"/>
        </w:rPr>
        <w:t xml:space="preserve"> últimamente </w:t>
      </w:r>
      <w:r w:rsidR="003453B4" w:rsidRPr="003453B4">
        <w:rPr>
          <w:lang w:val="es-ES"/>
        </w:rPr>
        <w:t>–</w:t>
      </w:r>
      <w:r w:rsidR="003453B4">
        <w:rPr>
          <w:lang w:val="es-ES"/>
        </w:rPr>
        <w:t xml:space="preserve"> </w:t>
      </w:r>
      <w:r w:rsidR="00132B3A">
        <w:rPr>
          <w:lang w:val="es-ES"/>
        </w:rPr>
        <w:t xml:space="preserve">por lámparas </w:t>
      </w:r>
      <w:r w:rsidR="003453B4">
        <w:rPr>
          <w:lang w:val="es-ES"/>
        </w:rPr>
        <w:t>de diodos emisores de luz (</w:t>
      </w:r>
      <w:r w:rsidR="00132B3A">
        <w:rPr>
          <w:lang w:val="es-ES"/>
        </w:rPr>
        <w:t>LED</w:t>
      </w:r>
      <w:r w:rsidR="003453B4">
        <w:rPr>
          <w:lang w:val="es-ES"/>
        </w:rPr>
        <w:t xml:space="preserve">, por sus siglas en inglés) y lámparas </w:t>
      </w:r>
      <w:r w:rsidR="004928A9">
        <w:rPr>
          <w:lang w:val="es-ES"/>
        </w:rPr>
        <w:t>de diodos orgánicos emisores de luz</w:t>
      </w:r>
      <w:r w:rsidR="003453B4">
        <w:rPr>
          <w:lang w:val="es-ES"/>
        </w:rPr>
        <w:t xml:space="preserve"> (OLED). </w:t>
      </w:r>
      <w:r w:rsidR="004928A9">
        <w:rPr>
          <w:lang w:val="es-ES"/>
        </w:rPr>
        <w:t>Además, se realizó una transición de lámparas fluorescentes lineales hacia tipos más eficientes (T5) y la sustitución de balastos electromagnéticos hacía electrónicos. En el ámbito de la iluminación de los exteriores, por ejemplo el alumbrado público, se observa también una transición de tecnologías menos eficientes (lámparas de vapor de mercurio</w:t>
      </w:r>
      <w:r w:rsidR="00B12B02">
        <w:rPr>
          <w:lang w:val="es-ES"/>
        </w:rPr>
        <w:t xml:space="preserve"> a alta presión</w:t>
      </w:r>
      <w:r w:rsidR="004928A9">
        <w:rPr>
          <w:lang w:val="es-ES"/>
        </w:rPr>
        <w:t xml:space="preserve">) hacía lámparas más eficientes, como lámparas de </w:t>
      </w:r>
      <w:r w:rsidR="004928A9" w:rsidRPr="004928A9">
        <w:rPr>
          <w:lang w:val="es-ES"/>
        </w:rPr>
        <w:t>halogenuros metálicos</w:t>
      </w:r>
      <w:r w:rsidR="00F85C0F">
        <w:rPr>
          <w:lang w:val="es-ES"/>
        </w:rPr>
        <w:t xml:space="preserve">, </w:t>
      </w:r>
      <w:r w:rsidR="00F85C0F" w:rsidRPr="00F85C0F">
        <w:rPr>
          <w:lang w:val="es-ES"/>
        </w:rPr>
        <w:t xml:space="preserve">lámparas de sodio </w:t>
      </w:r>
      <w:r w:rsidR="002D0124">
        <w:rPr>
          <w:lang w:val="es-ES"/>
        </w:rPr>
        <w:t>a</w:t>
      </w:r>
      <w:r w:rsidR="00F85C0F" w:rsidRPr="00F85C0F">
        <w:rPr>
          <w:lang w:val="es-ES"/>
        </w:rPr>
        <w:t xml:space="preserve"> alta presión</w:t>
      </w:r>
      <w:r>
        <w:rPr>
          <w:lang w:val="es-ES"/>
        </w:rPr>
        <w:t xml:space="preserve"> </w:t>
      </w:r>
      <w:r w:rsidR="00F21F92">
        <w:rPr>
          <w:lang w:val="es-ES"/>
        </w:rPr>
        <w:t>y últimamente lámparas LED.</w:t>
      </w:r>
      <w:r w:rsidR="00CF7C46">
        <w:rPr>
          <w:lang w:val="es-ES"/>
        </w:rPr>
        <w:t xml:space="preserve"> Las figura</w:t>
      </w:r>
      <w:r w:rsidR="002F5DF4">
        <w:rPr>
          <w:lang w:val="es-ES"/>
        </w:rPr>
        <w:t>s</w:t>
      </w:r>
      <w:r w:rsidR="00CF7C46">
        <w:rPr>
          <w:lang w:val="es-ES"/>
        </w:rPr>
        <w:t xml:space="preserve"> 1 y 2 muestran, de forma ejemplar, proyecciones del stock de lámparas domésticas no direccionales y </w:t>
      </w:r>
      <w:r w:rsidR="00BE4526">
        <w:rPr>
          <w:lang w:val="es-ES"/>
        </w:rPr>
        <w:t xml:space="preserve">de las ventas </w:t>
      </w:r>
      <w:r w:rsidR="00CF7C46">
        <w:rPr>
          <w:lang w:val="es-ES"/>
        </w:rPr>
        <w:t xml:space="preserve">de lámparas </w:t>
      </w:r>
      <w:r w:rsidR="00BE4526">
        <w:rPr>
          <w:lang w:val="es-ES"/>
        </w:rPr>
        <w:t>para</w:t>
      </w:r>
      <w:r w:rsidR="00CF7C46">
        <w:rPr>
          <w:lang w:val="es-ES"/>
        </w:rPr>
        <w:t xml:space="preserve"> el sector terciario, respectivamente, en la Unión Europea hasta el año 2030.</w:t>
      </w:r>
      <w:r w:rsidR="00CF7C46">
        <w:rPr>
          <w:rStyle w:val="FootnoteReference"/>
        </w:rPr>
        <w:footnoteReference w:id="21"/>
      </w:r>
      <w:r w:rsidR="00CF7C46">
        <w:rPr>
          <w:lang w:val="es-ES"/>
        </w:rPr>
        <w:t xml:space="preserve"> </w:t>
      </w:r>
    </w:p>
    <w:p w14:paraId="31E00FD4" w14:textId="0282561A" w:rsidR="00CF7C46" w:rsidRDefault="00CF7C46" w:rsidP="00CF7C46">
      <w:pPr>
        <w:pStyle w:val="Caption"/>
        <w:spacing w:after="0"/>
        <w:rPr>
          <w:lang w:val="es-ES"/>
        </w:rPr>
      </w:pPr>
      <w:r w:rsidRPr="00A96F74">
        <w:rPr>
          <w:lang w:val="es-ES"/>
        </w:rPr>
        <w:t xml:space="preserve">Figura </w:t>
      </w:r>
      <w:r w:rsidRPr="00A96F74">
        <w:rPr>
          <w:lang w:val="es-ES"/>
        </w:rPr>
        <w:fldChar w:fldCharType="begin"/>
      </w:r>
      <w:r w:rsidRPr="00A96F74">
        <w:rPr>
          <w:lang w:val="es-ES"/>
        </w:rPr>
        <w:instrText xml:space="preserve"> SEQ Figura \* ARABIC </w:instrText>
      </w:r>
      <w:r w:rsidRPr="00A96F74">
        <w:rPr>
          <w:lang w:val="es-ES"/>
        </w:rPr>
        <w:fldChar w:fldCharType="separate"/>
      </w:r>
      <w:r w:rsidR="005E6430">
        <w:rPr>
          <w:noProof/>
          <w:lang w:val="es-ES"/>
        </w:rPr>
        <w:t>1</w:t>
      </w:r>
      <w:r w:rsidRPr="00A96F74">
        <w:rPr>
          <w:noProof/>
          <w:lang w:val="es-ES"/>
        </w:rPr>
        <w:fldChar w:fldCharType="end"/>
      </w:r>
      <w:r w:rsidRPr="00A96F74">
        <w:rPr>
          <w:lang w:val="es-ES"/>
        </w:rPr>
        <w:t xml:space="preserve"> – </w:t>
      </w:r>
      <w:r>
        <w:rPr>
          <w:lang w:val="es-ES"/>
        </w:rPr>
        <w:t>Proyecciones del stock de lámparas no direccionales en la Unión Europea</w:t>
      </w:r>
    </w:p>
    <w:p w14:paraId="7BCC1659" w14:textId="2FAFBA94" w:rsidR="00CF7C46" w:rsidRPr="00A96F74" w:rsidRDefault="00CF7C46" w:rsidP="00CF7C46">
      <w:pPr>
        <w:spacing w:before="0" w:after="140"/>
        <w:jc w:val="center"/>
        <w:rPr>
          <w:color w:val="002B7F"/>
          <w:lang w:val="es-ES"/>
        </w:rPr>
      </w:pPr>
      <w:r w:rsidRPr="00A96F74">
        <w:rPr>
          <w:i/>
          <w:color w:val="002B7F"/>
          <w:sz w:val="18"/>
          <w:lang w:val="es-ES"/>
        </w:rPr>
        <w:t xml:space="preserve">Fuente: </w:t>
      </w:r>
      <w:r>
        <w:rPr>
          <w:rFonts w:cstheme="minorHAnsi"/>
          <w:color w:val="002B7F"/>
          <w:sz w:val="18"/>
          <w:lang w:val="es-PA"/>
        </w:rPr>
        <w:t>CLASP (2013)</w:t>
      </w:r>
    </w:p>
    <w:p w14:paraId="7D870D14" w14:textId="5C47859D" w:rsidR="00DA1F70" w:rsidRDefault="00CF7C46" w:rsidP="00CE5DD5">
      <w:pPr>
        <w:pStyle w:val="BodyText"/>
        <w:spacing w:before="120" w:after="120"/>
        <w:jc w:val="center"/>
        <w:rPr>
          <w:lang w:val="es-ES"/>
        </w:rPr>
      </w:pPr>
      <w:r w:rsidRPr="00CF7C46">
        <w:rPr>
          <w:noProof/>
          <w:lang w:val="en-US"/>
        </w:rPr>
        <w:drawing>
          <wp:inline distT="0" distB="0" distL="0" distR="0" wp14:anchorId="4B157B17" wp14:editId="0ECC60AA">
            <wp:extent cx="4771390" cy="238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9794" cy="2397713"/>
                    </a:xfrm>
                    <a:prstGeom prst="rect">
                      <a:avLst/>
                    </a:prstGeom>
                    <a:noFill/>
                    <a:ln>
                      <a:noFill/>
                    </a:ln>
                  </pic:spPr>
                </pic:pic>
              </a:graphicData>
            </a:graphic>
          </wp:inline>
        </w:drawing>
      </w:r>
      <w:r w:rsidR="00CE5DD5" w:rsidRPr="00CE5DD5">
        <w:rPr>
          <w:lang w:val="es-ES"/>
        </w:rPr>
        <w:t xml:space="preserve">Leyenda: </w:t>
      </w:r>
      <w:r w:rsidR="00CE5DD5" w:rsidRPr="00CE5DD5">
        <w:rPr>
          <w:i/>
          <w:lang w:val="es-ES"/>
        </w:rPr>
        <w:t>Billions of NDLS Sockets</w:t>
      </w:r>
      <w:r w:rsidR="00CE5DD5">
        <w:rPr>
          <w:lang w:val="es-ES"/>
        </w:rPr>
        <w:t xml:space="preserve"> significa</w:t>
      </w:r>
      <w:r w:rsidR="00CE5DD5" w:rsidRPr="00CE5DD5">
        <w:rPr>
          <w:lang w:val="es-ES"/>
        </w:rPr>
        <w:t xml:space="preserve"> </w:t>
      </w:r>
      <w:r w:rsidR="00CE5DD5">
        <w:rPr>
          <w:lang w:val="es-ES"/>
        </w:rPr>
        <w:t>mil millones de puntos de tomacorriente para fuentes de luz no direccionales</w:t>
      </w:r>
      <w:r w:rsidR="00DA1F70">
        <w:rPr>
          <w:lang w:val="es-ES"/>
        </w:rPr>
        <w:br w:type="page"/>
      </w:r>
    </w:p>
    <w:p w14:paraId="410DAE34" w14:textId="50EC6889" w:rsidR="00CF7C46" w:rsidRDefault="00CF7C46" w:rsidP="00CF7C46">
      <w:pPr>
        <w:pStyle w:val="Caption"/>
        <w:spacing w:after="0"/>
        <w:rPr>
          <w:lang w:val="es-ES"/>
        </w:rPr>
      </w:pPr>
      <w:r w:rsidRPr="00A96F74">
        <w:rPr>
          <w:lang w:val="es-ES"/>
        </w:rPr>
        <w:lastRenderedPageBreak/>
        <w:t xml:space="preserve">Figura </w:t>
      </w:r>
      <w:r w:rsidRPr="00A96F74">
        <w:rPr>
          <w:lang w:val="es-ES"/>
        </w:rPr>
        <w:fldChar w:fldCharType="begin"/>
      </w:r>
      <w:r w:rsidRPr="00A96F74">
        <w:rPr>
          <w:lang w:val="es-ES"/>
        </w:rPr>
        <w:instrText xml:space="preserve"> SEQ Figura \* ARABIC </w:instrText>
      </w:r>
      <w:r w:rsidRPr="00A96F74">
        <w:rPr>
          <w:lang w:val="es-ES"/>
        </w:rPr>
        <w:fldChar w:fldCharType="separate"/>
      </w:r>
      <w:r w:rsidR="005E6430">
        <w:rPr>
          <w:noProof/>
          <w:lang w:val="es-ES"/>
        </w:rPr>
        <w:t>2</w:t>
      </w:r>
      <w:r w:rsidRPr="00A96F74">
        <w:rPr>
          <w:noProof/>
          <w:lang w:val="es-ES"/>
        </w:rPr>
        <w:fldChar w:fldCharType="end"/>
      </w:r>
      <w:r w:rsidRPr="00A96F74">
        <w:rPr>
          <w:lang w:val="es-ES"/>
        </w:rPr>
        <w:t xml:space="preserve"> – </w:t>
      </w:r>
      <w:r>
        <w:rPr>
          <w:lang w:val="es-ES"/>
        </w:rPr>
        <w:t>Proyecciones de</w:t>
      </w:r>
      <w:r w:rsidR="00BE4526">
        <w:rPr>
          <w:lang w:val="es-ES"/>
        </w:rPr>
        <w:t xml:space="preserve"> </w:t>
      </w:r>
      <w:r>
        <w:rPr>
          <w:lang w:val="es-ES"/>
        </w:rPr>
        <w:t>l</w:t>
      </w:r>
      <w:r w:rsidR="00BE4526">
        <w:rPr>
          <w:lang w:val="es-ES"/>
        </w:rPr>
        <w:t>a</w:t>
      </w:r>
      <w:r w:rsidR="00702A31">
        <w:rPr>
          <w:lang w:val="es-ES"/>
        </w:rPr>
        <w:t>s</w:t>
      </w:r>
      <w:r>
        <w:rPr>
          <w:lang w:val="es-ES"/>
        </w:rPr>
        <w:t xml:space="preserve"> </w:t>
      </w:r>
      <w:r w:rsidR="00BE4526">
        <w:rPr>
          <w:lang w:val="es-ES"/>
        </w:rPr>
        <w:t>ventas</w:t>
      </w:r>
      <w:r>
        <w:rPr>
          <w:lang w:val="es-ES"/>
        </w:rPr>
        <w:t xml:space="preserve"> de lámparas </w:t>
      </w:r>
      <w:r w:rsidR="00BE4526">
        <w:rPr>
          <w:lang w:val="es-ES"/>
        </w:rPr>
        <w:t>para el sector terciario</w:t>
      </w:r>
      <w:r>
        <w:rPr>
          <w:lang w:val="es-ES"/>
        </w:rPr>
        <w:t xml:space="preserve"> en la Unión Europea</w:t>
      </w:r>
    </w:p>
    <w:p w14:paraId="44E0D722" w14:textId="77777777" w:rsidR="00CF7C46" w:rsidRPr="00A96F74" w:rsidRDefault="00CF7C46" w:rsidP="00CF7C46">
      <w:pPr>
        <w:spacing w:before="0" w:after="140"/>
        <w:jc w:val="center"/>
        <w:rPr>
          <w:color w:val="002B7F"/>
          <w:lang w:val="es-ES"/>
        </w:rPr>
      </w:pPr>
      <w:r w:rsidRPr="00A96F74">
        <w:rPr>
          <w:i/>
          <w:color w:val="002B7F"/>
          <w:sz w:val="18"/>
          <w:lang w:val="es-ES"/>
        </w:rPr>
        <w:t xml:space="preserve">Fuente: </w:t>
      </w:r>
      <w:r>
        <w:rPr>
          <w:rFonts w:cstheme="minorHAnsi"/>
          <w:color w:val="002B7F"/>
          <w:sz w:val="18"/>
          <w:lang w:val="es-PA"/>
        </w:rPr>
        <w:t>CLASP (2013)</w:t>
      </w:r>
    </w:p>
    <w:p w14:paraId="3BC57FF7" w14:textId="61DC938C" w:rsidR="00CF7C46" w:rsidRDefault="00BE4526" w:rsidP="00BE4526">
      <w:pPr>
        <w:pStyle w:val="BodyText"/>
        <w:jc w:val="center"/>
        <w:rPr>
          <w:lang w:val="es-ES"/>
        </w:rPr>
      </w:pPr>
      <w:r w:rsidRPr="00BE4526">
        <w:rPr>
          <w:noProof/>
          <w:lang w:val="en-US"/>
        </w:rPr>
        <w:drawing>
          <wp:inline distT="0" distB="0" distL="0" distR="0" wp14:anchorId="56FB7FDB" wp14:editId="4A683CAB">
            <wp:extent cx="4484864" cy="260775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8286" cy="2615560"/>
                    </a:xfrm>
                    <a:prstGeom prst="rect">
                      <a:avLst/>
                    </a:prstGeom>
                    <a:noFill/>
                    <a:ln>
                      <a:noFill/>
                    </a:ln>
                  </pic:spPr>
                </pic:pic>
              </a:graphicData>
            </a:graphic>
          </wp:inline>
        </w:drawing>
      </w:r>
    </w:p>
    <w:p w14:paraId="642E9FEA" w14:textId="224C5DCD" w:rsidR="00CF7C46" w:rsidRDefault="00CF7C46" w:rsidP="00A34CF3">
      <w:pPr>
        <w:pStyle w:val="BodyText"/>
        <w:rPr>
          <w:lang w:val="es-ES"/>
        </w:rPr>
      </w:pPr>
    </w:p>
    <w:p w14:paraId="004A4D13" w14:textId="0025B066" w:rsidR="00B5574E" w:rsidRDefault="00F21F92" w:rsidP="00A34CF3">
      <w:pPr>
        <w:pStyle w:val="BodyText"/>
        <w:rPr>
          <w:lang w:val="es-ES"/>
        </w:rPr>
      </w:pPr>
      <w:r>
        <w:rPr>
          <w:lang w:val="es-ES"/>
        </w:rPr>
        <w:t xml:space="preserve">Estos cambios tecnológicos se reflejan en el desarrollo de nuevas normas de medición (métodos de prueba) y de nuevos reglamentos de desempeño energético mínimo durante la última década hasta ahora, en particular en EE.UU. y en la Unión Europea. </w:t>
      </w:r>
      <w:r w:rsidR="008A41F8">
        <w:rPr>
          <w:lang w:val="es-ES"/>
        </w:rPr>
        <w:t>El hecho que</w:t>
      </w:r>
      <w:r>
        <w:rPr>
          <w:lang w:val="es-ES"/>
        </w:rPr>
        <w:t xml:space="preserve"> la</w:t>
      </w:r>
      <w:r w:rsidR="008A41F8">
        <w:rPr>
          <w:lang w:val="es-ES"/>
        </w:rPr>
        <w:t xml:space="preserve"> eficacia luminosa de las lámparas tiene limitaciones que son inherentes a las</w:t>
      </w:r>
      <w:r>
        <w:rPr>
          <w:lang w:val="es-ES"/>
        </w:rPr>
        <w:t xml:space="preserve"> distintas </w:t>
      </w:r>
      <w:r w:rsidR="008A41F8">
        <w:rPr>
          <w:lang w:val="es-ES"/>
        </w:rPr>
        <w:t>tecnologías, significa que los reglamentos de desempeño energétic</w:t>
      </w:r>
      <w:r w:rsidR="00B5574E">
        <w:rPr>
          <w:lang w:val="es-ES"/>
        </w:rPr>
        <w:t>o</w:t>
      </w:r>
      <w:r w:rsidR="008A41F8">
        <w:rPr>
          <w:lang w:val="es-ES"/>
        </w:rPr>
        <w:t xml:space="preserve"> mínimo </w:t>
      </w:r>
      <w:r w:rsidR="00B5574E">
        <w:rPr>
          <w:lang w:val="es-ES"/>
        </w:rPr>
        <w:t>son un impulsor importante de esta transición de mercado.</w:t>
      </w:r>
      <w:r w:rsidR="008A41F8">
        <w:rPr>
          <w:lang w:val="es-ES"/>
        </w:rPr>
        <w:t xml:space="preserve"> </w:t>
      </w:r>
    </w:p>
    <w:p w14:paraId="243AB2B0" w14:textId="3EDDB03A" w:rsidR="008C3486" w:rsidRDefault="008C3486" w:rsidP="00A34CF3">
      <w:pPr>
        <w:pStyle w:val="BodyText"/>
        <w:rPr>
          <w:lang w:val="es-ES"/>
        </w:rPr>
      </w:pPr>
      <w:r>
        <w:rPr>
          <w:lang w:val="es-ES"/>
        </w:rPr>
        <w:t xml:space="preserve">La entrada de nuevas tecnologías de iluminación resultó también en la necesidad de actualizar normas de medición existentes y elaborar nuevas normas. Una tal labor se realizó tanto en EE.UU. como en la Unión Europea. </w:t>
      </w:r>
      <w:r w:rsidR="00981D88">
        <w:rPr>
          <w:lang w:val="es-ES"/>
        </w:rPr>
        <w:t>De forma paralela a la elaboración de nuevos reglamentos de desempeño energético mínimo (reglamentos de diseño ecológico</w:t>
      </w:r>
      <w:r w:rsidR="00AD4B9B">
        <w:rPr>
          <w:rStyle w:val="FootnoteReference"/>
        </w:rPr>
        <w:footnoteReference w:id="22"/>
      </w:r>
      <w:r w:rsidR="00981D88">
        <w:rPr>
          <w:lang w:val="es-ES"/>
        </w:rPr>
        <w:t>), l</w:t>
      </w:r>
      <w:r>
        <w:rPr>
          <w:lang w:val="es-ES"/>
        </w:rPr>
        <w:t>a Comisión Europea</w:t>
      </w:r>
      <w:r w:rsidR="00981D88">
        <w:rPr>
          <w:lang w:val="es-ES"/>
        </w:rPr>
        <w:t xml:space="preserve"> encomendó a los organismos de normalización europeos </w:t>
      </w:r>
      <w:r w:rsidR="00724F6F">
        <w:rPr>
          <w:lang w:val="es-ES"/>
        </w:rPr>
        <w:t xml:space="preserve">CEN, </w:t>
      </w:r>
      <w:r w:rsidR="00981D88">
        <w:rPr>
          <w:lang w:val="es-ES"/>
        </w:rPr>
        <w:t>CENELEC</w:t>
      </w:r>
      <w:r w:rsidR="00724F6F">
        <w:rPr>
          <w:lang w:val="es-ES"/>
        </w:rPr>
        <w:t xml:space="preserve"> y</w:t>
      </w:r>
      <w:r w:rsidR="00981D88">
        <w:rPr>
          <w:lang w:val="es-ES"/>
        </w:rPr>
        <w:t xml:space="preserve"> ETSU</w:t>
      </w:r>
      <w:r w:rsidR="00724F6F">
        <w:rPr>
          <w:lang w:val="es-ES"/>
        </w:rPr>
        <w:t xml:space="preserve"> de elaborar normas europeas armonizados para los productos regulados. Debido al Acuerdo de Cooperación Técnica entre CEN e ISO (el llamado "Acuerdo de Viena") de 1991</w:t>
      </w:r>
      <w:r w:rsidR="00AD4B9B">
        <w:rPr>
          <w:rStyle w:val="FootnoteReference"/>
        </w:rPr>
        <w:footnoteReference w:id="23"/>
      </w:r>
      <w:r w:rsidR="00724F6F">
        <w:rPr>
          <w:lang w:val="es-ES"/>
        </w:rPr>
        <w:t>, existe una estrecha coordinación</w:t>
      </w:r>
      <w:r w:rsidR="00AD4B9B">
        <w:rPr>
          <w:lang w:val="es-ES"/>
        </w:rPr>
        <w:t xml:space="preserve"> en la elaboración de normas europeas (EN) e internacionales (ISO/IEC) correspondientes</w:t>
      </w:r>
      <w:r w:rsidR="00724F6F">
        <w:rPr>
          <w:lang w:val="es-ES"/>
        </w:rPr>
        <w:t>.</w:t>
      </w:r>
      <w:r w:rsidR="00AD4B9B">
        <w:rPr>
          <w:lang w:val="es-ES"/>
        </w:rPr>
        <w:t xml:space="preserve"> Ello significa que existe un alto grado de equivalencia entre normas EN e ISO/IEC, también en el ámbito de los productos de iluminación.</w:t>
      </w:r>
      <w:r w:rsidR="00981D88">
        <w:rPr>
          <w:lang w:val="es-ES"/>
        </w:rPr>
        <w:t xml:space="preserve"> </w:t>
      </w:r>
    </w:p>
    <w:p w14:paraId="76D45DF1" w14:textId="1F8F98D2" w:rsidR="00DB11C2" w:rsidRDefault="00B5574E" w:rsidP="00A34CF3">
      <w:pPr>
        <w:pStyle w:val="BodyText"/>
        <w:rPr>
          <w:lang w:val="es-ES"/>
        </w:rPr>
      </w:pPr>
      <w:r>
        <w:rPr>
          <w:lang w:val="es-ES"/>
        </w:rPr>
        <w:t xml:space="preserve">Tomando en consideración el liderazgo internacional </w:t>
      </w:r>
      <w:r w:rsidR="00DB11C2">
        <w:rPr>
          <w:lang w:val="es-ES"/>
        </w:rPr>
        <w:t>de EE.UU. y de la Unión Europea en el ámbito de los reglamentos de desempeño energético mínimo y su influencia en el ámbito internacional y en América Latina, se considera relevante presentar las características principales de estos sistemas y su relevancia tanto para las NOM-ENER como los futuros reglamentos de eficacia energ</w:t>
      </w:r>
      <w:r w:rsidR="000658DA">
        <w:rPr>
          <w:lang w:val="es-ES"/>
        </w:rPr>
        <w:t>ética panameños.</w:t>
      </w:r>
    </w:p>
    <w:p w14:paraId="7CB3E6CE" w14:textId="288F9B7D" w:rsidR="008E2DA2" w:rsidRDefault="008E2DA2" w:rsidP="00A34CF3">
      <w:pPr>
        <w:pStyle w:val="BodyText"/>
        <w:rPr>
          <w:lang w:val="es-ES"/>
        </w:rPr>
      </w:pPr>
      <w:r>
        <w:rPr>
          <w:lang w:val="es-ES"/>
        </w:rPr>
        <w:t>Además se presentan las normas de medición (métodos de prueba)</w:t>
      </w:r>
      <w:r w:rsidR="00F33E64">
        <w:rPr>
          <w:lang w:val="es-ES"/>
        </w:rPr>
        <w:t>,</w:t>
      </w:r>
      <w:r w:rsidR="00D82142">
        <w:rPr>
          <w:lang w:val="es-ES"/>
        </w:rPr>
        <w:t xml:space="preserve"> los procedimientos de evaluación de la conformidad </w:t>
      </w:r>
      <w:r w:rsidR="00F33E64">
        <w:rPr>
          <w:lang w:val="es-ES"/>
        </w:rPr>
        <w:t xml:space="preserve">y el etiquetado </w:t>
      </w:r>
      <w:r w:rsidR="00DB7233">
        <w:rPr>
          <w:lang w:val="es-ES"/>
        </w:rPr>
        <w:t xml:space="preserve">de las lámparas </w:t>
      </w:r>
      <w:r w:rsidR="00D82142">
        <w:rPr>
          <w:lang w:val="es-ES"/>
        </w:rPr>
        <w:t>aplicados en</w:t>
      </w:r>
      <w:r>
        <w:rPr>
          <w:lang w:val="es-ES"/>
        </w:rPr>
        <w:t xml:space="preserve"> EE.UU.</w:t>
      </w:r>
      <w:r w:rsidR="00DB7233">
        <w:rPr>
          <w:lang w:val="es-ES"/>
        </w:rPr>
        <w:t>, la Unión Europea</w:t>
      </w:r>
      <w:r w:rsidR="00D82142">
        <w:rPr>
          <w:lang w:val="es-ES"/>
        </w:rPr>
        <w:t xml:space="preserve"> y</w:t>
      </w:r>
      <w:r>
        <w:rPr>
          <w:lang w:val="es-ES"/>
        </w:rPr>
        <w:t xml:space="preserve"> </w:t>
      </w:r>
      <w:r w:rsidR="00DB7233">
        <w:rPr>
          <w:lang w:val="es-ES"/>
        </w:rPr>
        <w:t xml:space="preserve">en </w:t>
      </w:r>
      <w:r>
        <w:rPr>
          <w:lang w:val="es-ES"/>
        </w:rPr>
        <w:t>México</w:t>
      </w:r>
      <w:r w:rsidR="00D82142">
        <w:rPr>
          <w:lang w:val="es-ES"/>
        </w:rPr>
        <w:t>,</w:t>
      </w:r>
      <w:r>
        <w:rPr>
          <w:lang w:val="es-ES"/>
        </w:rPr>
        <w:t xml:space="preserve"> </w:t>
      </w:r>
      <w:r w:rsidR="00DB7233">
        <w:rPr>
          <w:lang w:val="es-ES"/>
        </w:rPr>
        <w:t xml:space="preserve">así como las normas de medición internacionales correspondientes a </w:t>
      </w:r>
      <w:r>
        <w:rPr>
          <w:lang w:val="es-ES"/>
        </w:rPr>
        <w:t xml:space="preserve">las normas europeas para productos de iluminación. </w:t>
      </w:r>
    </w:p>
    <w:p w14:paraId="38627479" w14:textId="77777777" w:rsidR="00DB11C2" w:rsidRDefault="00DB11C2" w:rsidP="00A34CF3">
      <w:pPr>
        <w:pStyle w:val="BodyText"/>
        <w:rPr>
          <w:lang w:val="es-ES"/>
        </w:rPr>
      </w:pPr>
    </w:p>
    <w:p w14:paraId="6CCFF6FF" w14:textId="77777777" w:rsidR="009B1596" w:rsidRDefault="009B1596" w:rsidP="00A34CF3">
      <w:pPr>
        <w:pStyle w:val="BodyText"/>
        <w:rPr>
          <w:lang w:val="es-ES"/>
        </w:rPr>
      </w:pPr>
    </w:p>
    <w:p w14:paraId="0F56D123" w14:textId="147CB334" w:rsidR="00D0295B" w:rsidRDefault="003E1DC0" w:rsidP="005D31FB">
      <w:pPr>
        <w:pStyle w:val="Heading2"/>
        <w:ind w:left="1248" w:hanging="964"/>
        <w:rPr>
          <w:lang w:val="es-ES"/>
        </w:rPr>
      </w:pPr>
      <w:bookmarkStart w:id="28" w:name="_Toc454792325"/>
      <w:bookmarkStart w:id="29" w:name="_Toc462159556"/>
      <w:bookmarkStart w:id="30" w:name="_Toc463091824"/>
      <w:bookmarkStart w:id="31" w:name="_Toc465707870"/>
      <w:bookmarkStart w:id="32" w:name="_Toc516146002"/>
      <w:r>
        <w:rPr>
          <w:lang w:val="es-ES"/>
        </w:rPr>
        <w:t>EE.UU.</w:t>
      </w:r>
      <w:bookmarkEnd w:id="28"/>
      <w:bookmarkEnd w:id="29"/>
      <w:bookmarkEnd w:id="30"/>
      <w:bookmarkEnd w:id="31"/>
      <w:bookmarkEnd w:id="32"/>
    </w:p>
    <w:p w14:paraId="26606EB9" w14:textId="32440D51" w:rsidR="00347AA4" w:rsidRDefault="003E1DC0" w:rsidP="007E13F3">
      <w:pPr>
        <w:suppressAutoHyphens w:val="0"/>
        <w:autoSpaceDN/>
        <w:spacing w:before="0" w:after="140"/>
        <w:textAlignment w:val="auto"/>
        <w:rPr>
          <w:rFonts w:eastAsia="Calibri"/>
          <w:color w:val="auto"/>
          <w:lang w:val="es-ES"/>
        </w:rPr>
      </w:pPr>
      <w:r>
        <w:rPr>
          <w:rFonts w:eastAsia="Calibri"/>
          <w:color w:val="auto"/>
          <w:lang w:val="es-ES"/>
        </w:rPr>
        <w:t>Los reglamentos de desempeño energético mínimo de EE.UU. son reglamentos federales (</w:t>
      </w:r>
      <w:r w:rsidRPr="00996BC9">
        <w:rPr>
          <w:rFonts w:eastAsia="Calibri"/>
          <w:i/>
          <w:color w:val="auto"/>
          <w:lang w:val="es-ES"/>
        </w:rPr>
        <w:t>Federal regulations</w:t>
      </w:r>
      <w:r>
        <w:rPr>
          <w:rFonts w:eastAsia="Calibri"/>
          <w:color w:val="auto"/>
          <w:lang w:val="es-ES"/>
        </w:rPr>
        <w:t xml:space="preserve">) que son publicados por el DOE </w:t>
      </w:r>
      <w:r w:rsidR="00347AA4">
        <w:rPr>
          <w:rFonts w:eastAsia="Calibri"/>
          <w:color w:val="auto"/>
          <w:lang w:val="es-ES"/>
        </w:rPr>
        <w:t>en el Código de Reglamentos Federales (</w:t>
      </w:r>
      <w:r w:rsidR="00347AA4" w:rsidRPr="00996BC9">
        <w:rPr>
          <w:rFonts w:eastAsia="Calibri"/>
          <w:i/>
          <w:color w:val="auto"/>
          <w:lang w:val="es-ES"/>
        </w:rPr>
        <w:t>Code of Federal Regulations</w:t>
      </w:r>
      <w:r w:rsidR="00347AA4">
        <w:rPr>
          <w:rFonts w:eastAsia="Calibri"/>
          <w:color w:val="auto"/>
          <w:lang w:val="es-ES"/>
        </w:rPr>
        <w:t>) bajo el rubro "</w:t>
      </w:r>
      <w:r w:rsidR="00347AA4" w:rsidRPr="00996BC9">
        <w:rPr>
          <w:rFonts w:eastAsia="Calibri"/>
          <w:i/>
          <w:color w:val="auto"/>
          <w:lang w:val="es-ES"/>
        </w:rPr>
        <w:t>Energy and water conservation standards and their compliance dates</w:t>
      </w:r>
      <w:r w:rsidR="00347AA4">
        <w:rPr>
          <w:rFonts w:eastAsia="Calibri"/>
          <w:color w:val="auto"/>
          <w:lang w:val="es-ES"/>
        </w:rPr>
        <w:t>").</w:t>
      </w:r>
      <w:r w:rsidR="00347AA4">
        <w:rPr>
          <w:rStyle w:val="FootnoteReference"/>
          <w:rFonts w:eastAsia="Calibri"/>
          <w:color w:val="auto"/>
        </w:rPr>
        <w:footnoteReference w:id="24"/>
      </w:r>
      <w:r w:rsidR="00347AA4">
        <w:rPr>
          <w:rFonts w:eastAsia="Calibri"/>
          <w:color w:val="auto"/>
          <w:lang w:val="es-ES"/>
        </w:rPr>
        <w:t xml:space="preserve"> </w:t>
      </w:r>
    </w:p>
    <w:p w14:paraId="552BE45A" w14:textId="59BE72E4" w:rsidR="00B90EDC" w:rsidRPr="003C6EDB" w:rsidRDefault="00B90EDC" w:rsidP="007E13F3">
      <w:pPr>
        <w:suppressAutoHyphens w:val="0"/>
        <w:autoSpaceDN/>
        <w:spacing w:before="0" w:after="140"/>
        <w:textAlignment w:val="auto"/>
        <w:rPr>
          <w:rFonts w:eastAsia="Calibri"/>
          <w:color w:val="auto"/>
          <w:lang w:val="es-ES"/>
        </w:rPr>
      </w:pPr>
      <w:r>
        <w:rPr>
          <w:rFonts w:eastAsia="Calibri"/>
          <w:color w:val="auto"/>
          <w:lang w:val="es-ES"/>
        </w:rPr>
        <w:t>Además de los reglamentos (</w:t>
      </w:r>
      <w:r w:rsidRPr="00B90EDC">
        <w:rPr>
          <w:rFonts w:eastAsia="Calibri"/>
          <w:i/>
          <w:color w:val="auto"/>
          <w:lang w:val="es-ES"/>
        </w:rPr>
        <w:t>standards</w:t>
      </w:r>
      <w:r>
        <w:rPr>
          <w:rFonts w:eastAsia="Calibri"/>
          <w:color w:val="auto"/>
          <w:lang w:val="es-ES"/>
        </w:rPr>
        <w:t>), DOE publica métodos de prueba (</w:t>
      </w:r>
      <w:r w:rsidRPr="00B90EDC">
        <w:rPr>
          <w:rFonts w:eastAsia="Calibri"/>
          <w:i/>
          <w:color w:val="auto"/>
          <w:lang w:val="es-ES"/>
        </w:rPr>
        <w:t>test procedures</w:t>
      </w:r>
      <w:r>
        <w:rPr>
          <w:rFonts w:eastAsia="Calibri"/>
          <w:color w:val="auto"/>
          <w:lang w:val="es-ES"/>
        </w:rPr>
        <w:t>)  para los productos regulados</w:t>
      </w:r>
      <w:r w:rsidRPr="00FF32A4">
        <w:rPr>
          <w:rFonts w:eastAsia="Calibri"/>
          <w:color w:val="auto"/>
          <w:lang w:val="es-ES"/>
        </w:rPr>
        <w:t>, bajo el rubro</w:t>
      </w:r>
      <w:r w:rsidR="00FF32A4" w:rsidRPr="00FF32A4">
        <w:rPr>
          <w:rFonts w:eastAsia="Calibri"/>
          <w:color w:val="auto"/>
          <w:lang w:val="es-ES"/>
        </w:rPr>
        <w:t xml:space="preserve"> "</w:t>
      </w:r>
      <w:r w:rsidR="00FF32A4" w:rsidRPr="00FF32A4">
        <w:rPr>
          <w:rFonts w:eastAsia="Calibri"/>
          <w:i/>
          <w:color w:val="auto"/>
          <w:lang w:val="es-ES"/>
        </w:rPr>
        <w:t>Test procedures for the measurement of energy and water consumption</w:t>
      </w:r>
      <w:r w:rsidR="00FF32A4" w:rsidRPr="00FF32A4">
        <w:rPr>
          <w:rFonts w:eastAsia="Calibri"/>
          <w:color w:val="auto"/>
          <w:lang w:val="es-ES"/>
        </w:rPr>
        <w:t>"</w:t>
      </w:r>
      <w:r w:rsidR="00FF32A4">
        <w:rPr>
          <w:rFonts w:eastAsia="Calibri"/>
          <w:color w:val="auto"/>
          <w:lang w:val="es-ES"/>
        </w:rPr>
        <w:t>, incluidos a</w:t>
      </w:r>
      <w:r w:rsidR="008D632D">
        <w:rPr>
          <w:rFonts w:eastAsia="Calibri"/>
          <w:color w:val="auto"/>
          <w:lang w:val="es-ES"/>
        </w:rPr>
        <w:t>pé</w:t>
      </w:r>
      <w:r w:rsidR="00C220E0">
        <w:rPr>
          <w:rFonts w:eastAsia="Calibri"/>
          <w:color w:val="auto"/>
          <w:lang w:val="es-ES"/>
        </w:rPr>
        <w:t>ndices</w:t>
      </w:r>
      <w:r w:rsidR="00FF32A4">
        <w:rPr>
          <w:rFonts w:eastAsia="Calibri"/>
          <w:color w:val="auto"/>
          <w:lang w:val="es-ES"/>
        </w:rPr>
        <w:t xml:space="preserve"> para productos específicos</w:t>
      </w:r>
      <w:r w:rsidRPr="00FF32A4">
        <w:rPr>
          <w:rFonts w:eastAsia="Calibri"/>
          <w:color w:val="auto"/>
          <w:lang w:val="es-ES"/>
        </w:rPr>
        <w:t>.</w:t>
      </w:r>
      <w:r w:rsidR="00601B99">
        <w:rPr>
          <w:rStyle w:val="FootnoteReference"/>
          <w:rFonts w:eastAsia="Calibri"/>
          <w:color w:val="auto"/>
        </w:rPr>
        <w:footnoteReference w:id="25"/>
      </w:r>
      <w:r w:rsidR="00FF32A4">
        <w:rPr>
          <w:rFonts w:eastAsia="Calibri"/>
          <w:color w:val="auto"/>
          <w:lang w:val="es-ES"/>
        </w:rPr>
        <w:t xml:space="preserve"> Los </w:t>
      </w:r>
      <w:r w:rsidR="00FF32A4" w:rsidRPr="00FF32A4">
        <w:rPr>
          <w:rFonts w:eastAsia="Calibri"/>
          <w:i/>
          <w:color w:val="auto"/>
          <w:lang w:val="es-ES"/>
        </w:rPr>
        <w:t>test procedures</w:t>
      </w:r>
      <w:r w:rsidR="00FF32A4">
        <w:rPr>
          <w:rFonts w:eastAsia="Calibri"/>
          <w:color w:val="auto"/>
          <w:lang w:val="es-ES"/>
        </w:rPr>
        <w:t xml:space="preserve"> incluyen instrucciones para la realización de las pruebas, incluidas referencias a métodos de prueba publicadas por </w:t>
      </w:r>
      <w:r w:rsidR="00ED2D88">
        <w:rPr>
          <w:rFonts w:eastAsia="Calibri"/>
          <w:color w:val="auto"/>
          <w:lang w:val="es-ES"/>
        </w:rPr>
        <w:t>institutos y asociaciones de</w:t>
      </w:r>
      <w:r w:rsidR="00FF32A4">
        <w:rPr>
          <w:rFonts w:eastAsia="Calibri"/>
          <w:color w:val="auto"/>
          <w:lang w:val="es-ES"/>
        </w:rPr>
        <w:t xml:space="preserve"> normalización </w:t>
      </w:r>
      <w:r w:rsidR="00ED2D88">
        <w:rPr>
          <w:rFonts w:eastAsia="Calibri"/>
          <w:color w:val="auto"/>
          <w:lang w:val="es-ES"/>
        </w:rPr>
        <w:t>privados de EE.UU.</w:t>
      </w:r>
      <w:r w:rsidR="00FF32A4">
        <w:rPr>
          <w:rFonts w:eastAsia="Calibri"/>
          <w:color w:val="auto"/>
          <w:lang w:val="es-ES"/>
        </w:rPr>
        <w:t xml:space="preserve">, como por ejemplo ANSI, AHAM, </w:t>
      </w:r>
      <w:r w:rsidR="00ED2D88">
        <w:rPr>
          <w:rFonts w:eastAsia="Calibri"/>
          <w:color w:val="auto"/>
          <w:lang w:val="es-ES"/>
        </w:rPr>
        <w:t xml:space="preserve">ASHRAE, </w:t>
      </w:r>
      <w:r w:rsidR="00FF32A4">
        <w:rPr>
          <w:rFonts w:eastAsia="Calibri"/>
          <w:color w:val="auto"/>
          <w:lang w:val="es-ES"/>
        </w:rPr>
        <w:t xml:space="preserve">IES, etc., además de normas internacionales, como por ejemplo </w:t>
      </w:r>
      <w:r w:rsidR="00FF32A4" w:rsidRPr="003C6EDB">
        <w:rPr>
          <w:rFonts w:eastAsia="Calibri"/>
          <w:color w:val="auto"/>
          <w:lang w:val="es-ES"/>
        </w:rPr>
        <w:t xml:space="preserve">IEC. Estas normas son "incorporadas por referencia" en los métodos de prueba de DOE. </w:t>
      </w:r>
      <w:r w:rsidR="00F14FC4" w:rsidRPr="00F14FC4">
        <w:rPr>
          <w:rFonts w:eastAsia="Calibri"/>
          <w:color w:val="auto"/>
          <w:lang w:val="es-ES"/>
        </w:rPr>
        <w:t>Los procedimientos para la certificación están incluidos en el Código de Reglamentos Federales bajo el rubro "</w:t>
      </w:r>
      <w:r w:rsidR="00F14FC4" w:rsidRPr="00F14FC4">
        <w:rPr>
          <w:rFonts w:eastAsia="Calibri"/>
          <w:i/>
          <w:color w:val="auto"/>
          <w:lang w:val="es-ES"/>
        </w:rPr>
        <w:t>Enforcement for Consumer Products and Commercial and Industrial Equipment</w:t>
      </w:r>
      <w:r w:rsidR="00F14FC4" w:rsidRPr="00F14FC4">
        <w:rPr>
          <w:rFonts w:eastAsia="Calibri"/>
          <w:color w:val="auto"/>
          <w:lang w:val="es-ES"/>
        </w:rPr>
        <w:t>"</w:t>
      </w:r>
      <w:r w:rsidR="00F14FC4">
        <w:rPr>
          <w:rFonts w:eastAsia="Calibri"/>
          <w:color w:val="auto"/>
          <w:lang w:val="es-ES"/>
        </w:rPr>
        <w:t>.</w:t>
      </w:r>
      <w:r w:rsidR="00F14FC4">
        <w:rPr>
          <w:rStyle w:val="FootnoteReference"/>
          <w:rFonts w:eastAsia="Calibri"/>
          <w:color w:val="auto"/>
        </w:rPr>
        <w:footnoteReference w:id="26"/>
      </w:r>
    </w:p>
    <w:p w14:paraId="1E0A7CF7" w14:textId="023DC328" w:rsidR="00291534" w:rsidRDefault="003C6EDB" w:rsidP="007E13F3">
      <w:pPr>
        <w:suppressAutoHyphens w:val="0"/>
        <w:autoSpaceDN/>
        <w:spacing w:before="0" w:after="140"/>
        <w:textAlignment w:val="auto"/>
        <w:rPr>
          <w:rFonts w:eastAsia="Calibri"/>
          <w:color w:val="auto"/>
          <w:lang w:val="es-ES"/>
        </w:rPr>
      </w:pPr>
      <w:r w:rsidRPr="003C6EDB">
        <w:rPr>
          <w:rFonts w:eastAsia="Calibri"/>
          <w:color w:val="auto"/>
          <w:lang w:val="es-ES"/>
        </w:rPr>
        <w:t>El etiquetado energético es regulado de parte de la Comisión Federal de Comercia (</w:t>
      </w:r>
      <w:r w:rsidRPr="003C6EDB">
        <w:rPr>
          <w:rFonts w:eastAsia="Calibri"/>
          <w:i/>
          <w:color w:val="auto"/>
          <w:lang w:val="es-ES"/>
        </w:rPr>
        <w:t>Federal Trade Commission</w:t>
      </w:r>
      <w:r w:rsidRPr="003C6EDB">
        <w:rPr>
          <w:rFonts w:eastAsia="Calibri"/>
          <w:color w:val="auto"/>
          <w:lang w:val="es-ES"/>
        </w:rPr>
        <w:t xml:space="preserve"> - FTC</w:t>
      </w:r>
      <w:r>
        <w:rPr>
          <w:rFonts w:eastAsia="Calibri"/>
          <w:color w:val="auto"/>
          <w:lang w:val="es-ES"/>
        </w:rPr>
        <w:t xml:space="preserve">) </w:t>
      </w:r>
      <w:r w:rsidRPr="003C6EDB">
        <w:rPr>
          <w:rFonts w:eastAsia="Calibri"/>
          <w:color w:val="auto"/>
          <w:lang w:val="es-ES"/>
        </w:rPr>
        <w:t xml:space="preserve"> </w:t>
      </w:r>
      <w:r>
        <w:rPr>
          <w:rFonts w:eastAsia="Calibri"/>
          <w:color w:val="auto"/>
          <w:lang w:val="es-ES"/>
        </w:rPr>
        <w:t xml:space="preserve">bajo el </w:t>
      </w:r>
      <w:r w:rsidRPr="003C6EDB">
        <w:rPr>
          <w:rFonts w:eastAsia="Calibri"/>
          <w:i/>
          <w:color w:val="auto"/>
          <w:lang w:val="es-ES"/>
        </w:rPr>
        <w:t xml:space="preserve">Energy Independence and Security Act </w:t>
      </w:r>
      <w:r>
        <w:rPr>
          <w:rFonts w:eastAsia="Calibri"/>
          <w:color w:val="auto"/>
          <w:lang w:val="es-ES"/>
        </w:rPr>
        <w:t>de 2007.</w:t>
      </w:r>
      <w:r>
        <w:rPr>
          <w:rStyle w:val="FootnoteReference"/>
          <w:rFonts w:eastAsia="Calibri"/>
          <w:color w:val="auto"/>
        </w:rPr>
        <w:footnoteReference w:id="27"/>
      </w:r>
      <w:r w:rsidR="0021036E">
        <w:rPr>
          <w:rFonts w:eastAsia="Calibri"/>
          <w:color w:val="auto"/>
          <w:lang w:val="es-ES"/>
        </w:rPr>
        <w:t xml:space="preserve"> </w:t>
      </w:r>
      <w:r w:rsidR="00F62A5D">
        <w:rPr>
          <w:rFonts w:eastAsia="Calibri"/>
          <w:color w:val="auto"/>
          <w:lang w:val="es-ES"/>
        </w:rPr>
        <w:t xml:space="preserve">El </w:t>
      </w:r>
      <w:r w:rsidR="00F62A5D" w:rsidRPr="00F62A5D">
        <w:rPr>
          <w:rFonts w:eastAsia="Calibri"/>
          <w:i/>
          <w:color w:val="auto"/>
          <w:lang w:val="es-ES"/>
        </w:rPr>
        <w:t>Appliance Labeling Rule</w:t>
      </w:r>
      <w:r w:rsidR="00F62A5D">
        <w:rPr>
          <w:rFonts w:eastAsia="Calibri"/>
          <w:color w:val="auto"/>
          <w:lang w:val="es-ES"/>
        </w:rPr>
        <w:t xml:space="preserve"> </w:t>
      </w:r>
      <w:r w:rsidR="007C68E6">
        <w:rPr>
          <w:rFonts w:eastAsia="Calibri"/>
          <w:color w:val="auto"/>
          <w:lang w:val="es-ES"/>
        </w:rPr>
        <w:t xml:space="preserve">incluye </w:t>
      </w:r>
      <w:r w:rsidR="00F62A5D">
        <w:rPr>
          <w:rFonts w:eastAsia="Calibri"/>
          <w:color w:val="auto"/>
          <w:lang w:val="es-ES"/>
        </w:rPr>
        <w:t>etiquetas para lámparas ("</w:t>
      </w:r>
      <w:r w:rsidR="00F62A5D" w:rsidRPr="00F62A5D">
        <w:rPr>
          <w:rFonts w:eastAsia="Calibri"/>
          <w:i/>
          <w:color w:val="auto"/>
          <w:lang w:val="es-ES"/>
        </w:rPr>
        <w:t>Lighting Facts</w:t>
      </w:r>
      <w:r w:rsidR="00F62A5D">
        <w:rPr>
          <w:rFonts w:eastAsia="Calibri"/>
          <w:color w:val="auto"/>
          <w:lang w:val="es-ES"/>
        </w:rPr>
        <w:t>")</w:t>
      </w:r>
      <w:r w:rsidR="00F62A5D">
        <w:rPr>
          <w:rStyle w:val="FootnoteReference"/>
          <w:rFonts w:eastAsia="Calibri"/>
          <w:color w:val="auto"/>
        </w:rPr>
        <w:footnoteReference w:id="28"/>
      </w:r>
      <w:r w:rsidR="00F62A5D">
        <w:rPr>
          <w:rFonts w:eastAsia="Calibri"/>
          <w:color w:val="auto"/>
          <w:lang w:val="es-ES"/>
        </w:rPr>
        <w:t xml:space="preserve">. </w:t>
      </w:r>
      <w:r w:rsidR="0021036E">
        <w:rPr>
          <w:rFonts w:eastAsia="Calibri"/>
          <w:color w:val="auto"/>
          <w:lang w:val="es-ES"/>
        </w:rPr>
        <w:t>Además existe la etiqueta de excelencia Energy Star</w:t>
      </w:r>
      <w:r w:rsidR="0021036E">
        <w:rPr>
          <w:rFonts w:eastAsia="Calibri" w:cs="Calibri"/>
          <w:color w:val="auto"/>
          <w:lang w:val="es-ES"/>
        </w:rPr>
        <w:t>®</w:t>
      </w:r>
      <w:r w:rsidR="0021036E">
        <w:rPr>
          <w:rFonts w:eastAsia="Calibri"/>
          <w:color w:val="auto"/>
          <w:lang w:val="es-ES"/>
        </w:rPr>
        <w:t>, que es un programa de Environmental Pr</w:t>
      </w:r>
      <w:r w:rsidR="00F62A5D">
        <w:rPr>
          <w:rFonts w:eastAsia="Calibri"/>
          <w:color w:val="auto"/>
          <w:lang w:val="es-ES"/>
        </w:rPr>
        <w:t>otection Agency (EPA) y del DOE.</w:t>
      </w:r>
      <w:r w:rsidR="0021036E">
        <w:rPr>
          <w:rStyle w:val="FootnoteReference"/>
          <w:rFonts w:eastAsia="Calibri"/>
          <w:color w:val="auto"/>
        </w:rPr>
        <w:footnoteReference w:id="29"/>
      </w:r>
    </w:p>
    <w:p w14:paraId="5D217FC8" w14:textId="1A9C3381" w:rsidR="00754162" w:rsidRPr="00316DB7" w:rsidRDefault="00754162" w:rsidP="00754162">
      <w:pPr>
        <w:pStyle w:val="Heading3"/>
        <w:rPr>
          <w:lang w:val="es-ES"/>
        </w:rPr>
      </w:pPr>
      <w:bookmarkStart w:id="33" w:name="_Toc516146003"/>
      <w:r>
        <w:rPr>
          <w:lang w:val="es-ES"/>
        </w:rPr>
        <w:t>Reglamentos de desempeño energético mínimo</w:t>
      </w:r>
      <w:bookmarkEnd w:id="33"/>
    </w:p>
    <w:p w14:paraId="2FF0EAD6" w14:textId="01CBB129" w:rsidR="00996BC9" w:rsidRDefault="00996BC9" w:rsidP="007E13F3">
      <w:pPr>
        <w:suppressAutoHyphens w:val="0"/>
        <w:autoSpaceDN/>
        <w:spacing w:before="0" w:after="140"/>
        <w:textAlignment w:val="auto"/>
        <w:rPr>
          <w:rFonts w:eastAsia="Calibri"/>
          <w:color w:val="auto"/>
          <w:lang w:val="es-ES"/>
        </w:rPr>
      </w:pPr>
      <w:r>
        <w:rPr>
          <w:rFonts w:eastAsia="Calibri"/>
          <w:color w:val="auto"/>
          <w:lang w:val="es-ES"/>
        </w:rPr>
        <w:t>En la actualidad existen los siguientes reglamentos para productos de iluminación</w:t>
      </w:r>
      <w:r w:rsidR="002F5DF4">
        <w:rPr>
          <w:rFonts w:eastAsia="Calibri"/>
          <w:color w:val="auto"/>
          <w:lang w:val="es-ES"/>
        </w:rPr>
        <w:t xml:space="preserve"> incluidos en la tabla 1.</w:t>
      </w:r>
    </w:p>
    <w:p w14:paraId="64955750" w14:textId="21A5CB37" w:rsidR="00DA1F70" w:rsidRDefault="00DA1F70">
      <w:pPr>
        <w:suppressAutoHyphens w:val="0"/>
        <w:rPr>
          <w:color w:val="A6A6A6" w:themeColor="background1" w:themeShade="A6"/>
          <w:lang w:val="es-ES"/>
        </w:rPr>
      </w:pPr>
      <w:r>
        <w:rPr>
          <w:color w:val="A6A6A6" w:themeColor="background1" w:themeShade="A6"/>
          <w:lang w:val="es-ES"/>
        </w:rPr>
        <w:br w:type="page"/>
      </w:r>
    </w:p>
    <w:p w14:paraId="50439438" w14:textId="2744A046" w:rsidR="00996BC9" w:rsidRPr="00566934" w:rsidRDefault="00996BC9" w:rsidP="00996BC9">
      <w:pPr>
        <w:keepNext/>
        <w:keepLines/>
        <w:spacing w:before="0" w:after="0"/>
        <w:jc w:val="center"/>
        <w:rPr>
          <w:iCs/>
          <w:color w:val="002B7F"/>
          <w:szCs w:val="18"/>
          <w:lang w:val="es-ES"/>
        </w:rPr>
      </w:pPr>
      <w:r w:rsidRPr="00566934">
        <w:rPr>
          <w:iCs/>
          <w:color w:val="002B7F"/>
          <w:szCs w:val="18"/>
          <w:lang w:val="es-ES"/>
        </w:rPr>
        <w:lastRenderedPageBreak/>
        <w:t xml:space="preserve">Tabla </w:t>
      </w:r>
      <w:r w:rsidRPr="00566934">
        <w:rPr>
          <w:iCs/>
          <w:color w:val="002B7F"/>
          <w:szCs w:val="18"/>
          <w:lang w:val="es-ES"/>
        </w:rPr>
        <w:fldChar w:fldCharType="begin"/>
      </w:r>
      <w:r w:rsidRPr="00566934">
        <w:rPr>
          <w:iCs/>
          <w:color w:val="002B7F"/>
          <w:szCs w:val="18"/>
          <w:lang w:val="es-ES"/>
        </w:rPr>
        <w:instrText xml:space="preserve"> SEQ Tabla \* ARABIC </w:instrText>
      </w:r>
      <w:r w:rsidRPr="00566934">
        <w:rPr>
          <w:iCs/>
          <w:color w:val="002B7F"/>
          <w:szCs w:val="18"/>
          <w:lang w:val="es-ES"/>
        </w:rPr>
        <w:fldChar w:fldCharType="separate"/>
      </w:r>
      <w:r w:rsidR="005E6430">
        <w:rPr>
          <w:iCs/>
          <w:noProof/>
          <w:color w:val="002B7F"/>
          <w:szCs w:val="18"/>
          <w:lang w:val="es-ES"/>
        </w:rPr>
        <w:t>1</w:t>
      </w:r>
      <w:r w:rsidRPr="00566934">
        <w:rPr>
          <w:iCs/>
          <w:noProof/>
          <w:color w:val="002B7F"/>
          <w:szCs w:val="18"/>
          <w:lang w:val="es-ES"/>
        </w:rPr>
        <w:fldChar w:fldCharType="end"/>
      </w:r>
      <w:r w:rsidRPr="00566934">
        <w:rPr>
          <w:iCs/>
          <w:color w:val="002B7F"/>
          <w:szCs w:val="18"/>
          <w:lang w:val="es-ES"/>
        </w:rPr>
        <w:t xml:space="preserve"> – </w:t>
      </w:r>
      <w:r w:rsidR="001D1448">
        <w:rPr>
          <w:iCs/>
          <w:color w:val="002B7F"/>
          <w:szCs w:val="18"/>
          <w:lang w:val="es-ES"/>
        </w:rPr>
        <w:t>Reglamentos</w:t>
      </w:r>
      <w:r w:rsidR="000B1B71" w:rsidRPr="000B1B71">
        <w:rPr>
          <w:iCs/>
          <w:color w:val="002B7F"/>
          <w:szCs w:val="18"/>
          <w:lang w:val="es-ES"/>
        </w:rPr>
        <w:t xml:space="preserve"> de desempeño energético mínimo para productos de iluminación – EE.UU.</w:t>
      </w:r>
    </w:p>
    <w:p w14:paraId="4B9A015C" w14:textId="28C2C6EC" w:rsidR="00996BC9" w:rsidRPr="00AD6CDA" w:rsidRDefault="00996BC9" w:rsidP="00996BC9">
      <w:pPr>
        <w:suppressAutoHyphens w:val="0"/>
        <w:autoSpaceDN/>
        <w:spacing w:before="0" w:after="140"/>
        <w:jc w:val="center"/>
        <w:textAlignment w:val="auto"/>
        <w:rPr>
          <w:rFonts w:asciiTheme="minorHAnsi" w:eastAsia="Calibri" w:hAnsiTheme="minorHAnsi" w:cstheme="minorHAnsi"/>
          <w:color w:val="002B7F"/>
          <w:lang w:val="es-ES"/>
        </w:rPr>
      </w:pPr>
      <w:r w:rsidRPr="00AD6CDA">
        <w:rPr>
          <w:i/>
          <w:color w:val="002B7F"/>
          <w:sz w:val="18"/>
          <w:lang w:val="es-ES"/>
        </w:rPr>
        <w:t xml:space="preserve">Fuente: </w:t>
      </w:r>
      <w:r w:rsidRPr="00AD6CDA">
        <w:rPr>
          <w:rFonts w:cstheme="minorHAnsi"/>
          <w:color w:val="002B7F"/>
          <w:sz w:val="18"/>
          <w:lang w:val="es-PA"/>
        </w:rPr>
        <w:t>Elaboración propia</w:t>
      </w:r>
      <w:r w:rsidR="000B1B71">
        <w:rPr>
          <w:rFonts w:cstheme="minorHAnsi"/>
          <w:color w:val="002B7F"/>
          <w:sz w:val="18"/>
          <w:lang w:val="es-PA"/>
        </w:rPr>
        <w:t xml:space="preserve"> en base de e-CFR</w:t>
      </w:r>
      <w:r w:rsidR="004C0010">
        <w:rPr>
          <w:rFonts w:cstheme="minorHAnsi"/>
          <w:color w:val="002B7F"/>
          <w:sz w:val="18"/>
          <w:lang w:val="es-PA"/>
        </w:rPr>
        <w:t xml:space="preserve"> </w:t>
      </w:r>
      <w:r w:rsidR="004C0010">
        <w:rPr>
          <w:rFonts w:cs="Calibri"/>
          <w:color w:val="002B7F"/>
          <w:sz w:val="18"/>
          <w:lang w:val="es-PA"/>
        </w:rPr>
        <w:t>§</w:t>
      </w:r>
      <w:r w:rsidR="004C0010">
        <w:rPr>
          <w:rFonts w:cstheme="minorHAnsi"/>
          <w:color w:val="002B7F"/>
          <w:sz w:val="18"/>
          <w:lang w:val="es-PA"/>
        </w:rPr>
        <w:t>430.32</w:t>
      </w:r>
    </w:p>
    <w:tbl>
      <w:tblPr>
        <w:tblW w:w="5000" w:type="pct"/>
        <w:tblCellMar>
          <w:left w:w="10" w:type="dxa"/>
          <w:right w:w="10" w:type="dxa"/>
        </w:tblCellMar>
        <w:tblLook w:val="0000" w:firstRow="0" w:lastRow="0" w:firstColumn="0" w:lastColumn="0" w:noHBand="0" w:noVBand="0"/>
      </w:tblPr>
      <w:tblGrid>
        <w:gridCol w:w="3253"/>
        <w:gridCol w:w="5243"/>
      </w:tblGrid>
      <w:tr w:rsidR="00CC334B" w:rsidRPr="000D360C" w14:paraId="6059248C" w14:textId="77777777" w:rsidTr="00CC334B">
        <w:tc>
          <w:tcPr>
            <w:tcW w:w="3253"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5FBE5537" w14:textId="4BB45637" w:rsidR="00CC334B" w:rsidRPr="00CC334B" w:rsidRDefault="00CC334B" w:rsidP="000B1B71">
            <w:pPr>
              <w:suppressAutoHyphens w:val="0"/>
              <w:spacing w:before="0" w:after="0"/>
              <w:jc w:val="center"/>
              <w:textAlignment w:val="auto"/>
              <w:rPr>
                <w:rFonts w:eastAsia="Times New Roman"/>
                <w:b/>
                <w:color w:val="FFFFFF" w:themeColor="background1"/>
                <w:lang w:val="es-ES"/>
              </w:rPr>
            </w:pPr>
            <w:r w:rsidRPr="00CC334B">
              <w:rPr>
                <w:rFonts w:eastAsia="Times New Roman"/>
                <w:b/>
                <w:color w:val="FFFFFF" w:themeColor="background1"/>
                <w:lang w:val="es-ES"/>
              </w:rPr>
              <w:t>10 CFR Part 430, Subpart C</w:t>
            </w:r>
          </w:p>
        </w:tc>
        <w:tc>
          <w:tcPr>
            <w:tcW w:w="5243" w:type="dxa"/>
            <w:tcBorders>
              <w:top w:val="single" w:sz="6" w:space="0" w:color="5B9BD5"/>
              <w:bottom w:val="single" w:sz="6" w:space="0" w:color="5B9BD5"/>
            </w:tcBorders>
            <w:shd w:val="clear" w:color="auto" w:fill="5B9BD5"/>
            <w:tcMar>
              <w:top w:w="0" w:type="dxa"/>
              <w:left w:w="108" w:type="dxa"/>
              <w:bottom w:w="0" w:type="dxa"/>
              <w:right w:w="108" w:type="dxa"/>
            </w:tcMar>
          </w:tcPr>
          <w:p w14:paraId="23D810F3" w14:textId="0F0A8B2D" w:rsidR="00CC334B" w:rsidRPr="00B56A15" w:rsidRDefault="00CC334B" w:rsidP="00CC334B">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Alcance</w:t>
            </w:r>
          </w:p>
        </w:tc>
      </w:tr>
      <w:tr w:rsidR="00CC334B" w:rsidRPr="00BC092A" w14:paraId="46AA7B65" w14:textId="77777777" w:rsidTr="00CC334B">
        <w:tc>
          <w:tcPr>
            <w:tcW w:w="325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1F7BE3A" w14:textId="77777777" w:rsidR="00CC334B" w:rsidRPr="00CC334B" w:rsidRDefault="00CC334B" w:rsidP="00CC334B">
            <w:pPr>
              <w:suppressAutoHyphens w:val="0"/>
              <w:spacing w:before="0" w:after="0"/>
              <w:jc w:val="left"/>
              <w:textAlignment w:val="auto"/>
              <w:rPr>
                <w:rFonts w:eastAsia="Times New Roman"/>
                <w:lang w:val="es-ES"/>
              </w:rPr>
            </w:pPr>
            <w:r w:rsidRPr="00CC334B">
              <w:rPr>
                <w:rFonts w:eastAsia="Times New Roman"/>
                <w:lang w:val="es-ES"/>
              </w:rPr>
              <w:t>10 CFR 430.32(x)(1)</w:t>
            </w:r>
          </w:p>
          <w:p w14:paraId="2863AF4B" w14:textId="1D916FE0" w:rsidR="00CC334B" w:rsidRDefault="00CC334B" w:rsidP="00CC334B">
            <w:pPr>
              <w:suppressAutoHyphens w:val="0"/>
              <w:spacing w:before="0" w:after="0"/>
              <w:jc w:val="left"/>
              <w:textAlignment w:val="auto"/>
              <w:rPr>
                <w:rFonts w:eastAsia="Times New Roman"/>
                <w:lang w:val="es-ES"/>
              </w:rPr>
            </w:pPr>
            <w:r w:rsidRPr="00CC334B">
              <w:rPr>
                <w:rFonts w:eastAsia="Times New Roman"/>
                <w:lang w:val="es-ES"/>
              </w:rPr>
              <w:t>Lámparas incandescentes para uso general</w:t>
            </w:r>
          </w:p>
        </w:tc>
        <w:tc>
          <w:tcPr>
            <w:tcW w:w="524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348A67E" w14:textId="4982C021" w:rsidR="00CC334B" w:rsidRPr="00316DB7" w:rsidRDefault="00CC334B" w:rsidP="00CC334B">
            <w:pPr>
              <w:suppressAutoHyphens w:val="0"/>
              <w:spacing w:before="0" w:after="0"/>
              <w:jc w:val="left"/>
              <w:textAlignment w:val="auto"/>
              <w:rPr>
                <w:rFonts w:eastAsia="Times New Roman"/>
                <w:lang w:val="es-ES"/>
              </w:rPr>
            </w:pPr>
            <w:r w:rsidRPr="00CC334B">
              <w:rPr>
                <w:rFonts w:eastAsia="Times New Roman"/>
                <w:lang w:val="es-ES"/>
              </w:rPr>
              <w:t>Lámparas incandescentes, incandescentes con halógeno para uso general</w:t>
            </w:r>
          </w:p>
        </w:tc>
      </w:tr>
      <w:tr w:rsidR="00CC334B" w:rsidRPr="00914127" w14:paraId="69A77CFA" w14:textId="77777777" w:rsidTr="00CC334B">
        <w:tc>
          <w:tcPr>
            <w:tcW w:w="325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AD00C78" w14:textId="77777777" w:rsidR="00CC334B" w:rsidRPr="00CC334B" w:rsidRDefault="00CC334B" w:rsidP="00CC334B">
            <w:pPr>
              <w:suppressAutoHyphens w:val="0"/>
              <w:spacing w:before="0" w:after="0"/>
              <w:jc w:val="left"/>
              <w:textAlignment w:val="auto"/>
              <w:rPr>
                <w:rFonts w:eastAsia="Times New Roman"/>
                <w:lang w:val="es-ES"/>
              </w:rPr>
            </w:pPr>
            <w:r w:rsidRPr="00CC334B">
              <w:rPr>
                <w:rFonts w:eastAsia="Times New Roman"/>
                <w:lang w:val="es-ES"/>
              </w:rPr>
              <w:t>10 CFR 430.32(n)</w:t>
            </w:r>
          </w:p>
          <w:p w14:paraId="3A7B0AC5" w14:textId="77777777" w:rsidR="00CC334B" w:rsidRPr="00CC334B" w:rsidRDefault="00CC334B" w:rsidP="00CC334B">
            <w:pPr>
              <w:suppressAutoHyphens w:val="0"/>
              <w:spacing w:before="0" w:after="0"/>
              <w:jc w:val="left"/>
              <w:textAlignment w:val="auto"/>
              <w:rPr>
                <w:rFonts w:eastAsia="Times New Roman"/>
                <w:lang w:val="es-ES"/>
              </w:rPr>
            </w:pPr>
            <w:r w:rsidRPr="00CC334B">
              <w:rPr>
                <w:rFonts w:eastAsia="Times New Roman"/>
                <w:lang w:val="es-ES"/>
              </w:rPr>
              <w:t>Lámparas fluorescentes para uso general</w:t>
            </w:r>
          </w:p>
          <w:p w14:paraId="154CB44D" w14:textId="7D5F9B86" w:rsidR="00CC334B" w:rsidRPr="000C68E2" w:rsidRDefault="00CC334B" w:rsidP="00CC334B">
            <w:pPr>
              <w:suppressAutoHyphens w:val="0"/>
              <w:spacing w:before="0" w:after="0"/>
              <w:jc w:val="left"/>
              <w:textAlignment w:val="auto"/>
              <w:rPr>
                <w:rFonts w:eastAsia="Times New Roman"/>
                <w:lang w:val="es-ES"/>
              </w:rPr>
            </w:pPr>
            <w:r w:rsidRPr="00CC334B">
              <w:rPr>
                <w:rFonts w:eastAsia="Times New Roman"/>
                <w:lang w:val="es-ES"/>
              </w:rPr>
              <w:t>Lámparas incandescentes con reflector</w:t>
            </w:r>
          </w:p>
        </w:tc>
        <w:tc>
          <w:tcPr>
            <w:tcW w:w="524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CE26C32" w14:textId="77777777" w:rsidR="00CC334B" w:rsidRPr="00CC334B" w:rsidRDefault="00CC334B" w:rsidP="00CC334B">
            <w:pPr>
              <w:suppressAutoHyphens w:val="0"/>
              <w:spacing w:before="0" w:after="0"/>
              <w:jc w:val="left"/>
              <w:textAlignment w:val="auto"/>
              <w:rPr>
                <w:rFonts w:eastAsia="Times New Roman"/>
                <w:lang w:val="es-ES"/>
              </w:rPr>
            </w:pPr>
            <w:r w:rsidRPr="00CC334B">
              <w:rPr>
                <w:rFonts w:eastAsia="Times New Roman"/>
                <w:lang w:val="es-ES"/>
              </w:rPr>
              <w:t>Lámparas fluorescentes para uso general</w:t>
            </w:r>
          </w:p>
          <w:p w14:paraId="3AADA2F3" w14:textId="55ADEF65" w:rsidR="00CC334B" w:rsidRPr="00316DB7" w:rsidRDefault="00CC334B" w:rsidP="00CC334B">
            <w:pPr>
              <w:suppressAutoHyphens w:val="0"/>
              <w:spacing w:before="0" w:after="0"/>
              <w:jc w:val="left"/>
              <w:textAlignment w:val="auto"/>
              <w:rPr>
                <w:rFonts w:eastAsia="Times New Roman"/>
                <w:lang w:val="es-ES"/>
              </w:rPr>
            </w:pPr>
            <w:r w:rsidRPr="00CC334B">
              <w:rPr>
                <w:rFonts w:eastAsia="Times New Roman"/>
                <w:lang w:val="es-ES"/>
              </w:rPr>
              <w:t>Lámparas incandescentes con reflector</w:t>
            </w:r>
          </w:p>
        </w:tc>
      </w:tr>
      <w:tr w:rsidR="00CC334B" w:rsidRPr="00BC092A" w14:paraId="1C533F91" w14:textId="77777777" w:rsidTr="00CC334B">
        <w:trPr>
          <w:trHeight w:val="659"/>
        </w:trPr>
        <w:tc>
          <w:tcPr>
            <w:tcW w:w="3253"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38BCE200" w14:textId="77777777" w:rsidR="00CC334B" w:rsidRPr="00CC334B" w:rsidRDefault="00CC334B" w:rsidP="00CC334B">
            <w:pPr>
              <w:suppressAutoHyphens w:val="0"/>
              <w:spacing w:before="0" w:after="0"/>
              <w:jc w:val="left"/>
              <w:textAlignment w:val="auto"/>
              <w:rPr>
                <w:rFonts w:eastAsia="Times New Roman"/>
                <w:lang w:val="es-ES"/>
              </w:rPr>
            </w:pPr>
            <w:r w:rsidRPr="00CC334B">
              <w:rPr>
                <w:rFonts w:eastAsia="Times New Roman"/>
                <w:lang w:val="es-ES"/>
              </w:rPr>
              <w:t>10 CFR 430.32(u)</w:t>
            </w:r>
          </w:p>
          <w:p w14:paraId="59727EE6" w14:textId="76720416" w:rsidR="00CC334B" w:rsidRPr="00316DB7" w:rsidRDefault="00CC334B" w:rsidP="00CC334B">
            <w:pPr>
              <w:suppressAutoHyphens w:val="0"/>
              <w:spacing w:before="0" w:after="0"/>
              <w:jc w:val="left"/>
              <w:textAlignment w:val="auto"/>
              <w:rPr>
                <w:rFonts w:eastAsia="Times New Roman"/>
                <w:lang w:val="es-ES"/>
              </w:rPr>
            </w:pPr>
            <w:r w:rsidRPr="00CC334B">
              <w:rPr>
                <w:rFonts w:eastAsia="Times New Roman"/>
                <w:lang w:val="es-ES"/>
              </w:rPr>
              <w:t>Lámparas fluorescentes compactas (LFC)</w:t>
            </w:r>
          </w:p>
        </w:tc>
        <w:tc>
          <w:tcPr>
            <w:tcW w:w="5243"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187B35F8" w14:textId="44F63882" w:rsidR="00CC334B" w:rsidRPr="00316DB7" w:rsidRDefault="00CC334B" w:rsidP="00CC334B">
            <w:pPr>
              <w:suppressAutoHyphens w:val="0"/>
              <w:spacing w:before="0" w:after="0"/>
              <w:jc w:val="left"/>
              <w:textAlignment w:val="auto"/>
              <w:rPr>
                <w:rFonts w:eastAsia="Times New Roman"/>
                <w:lang w:val="es-ES"/>
              </w:rPr>
            </w:pPr>
            <w:r w:rsidRPr="00CC334B">
              <w:rPr>
                <w:rFonts w:eastAsia="Times New Roman"/>
                <w:lang w:val="es-ES"/>
              </w:rPr>
              <w:t>LFC autobalastradas o sin balasto integrado; sin envolvente, con envolvente, sin / con reflector</w:t>
            </w:r>
          </w:p>
        </w:tc>
      </w:tr>
      <w:tr w:rsidR="00CC334B" w:rsidRPr="000B1B71" w14:paraId="5F65A020" w14:textId="77777777" w:rsidTr="00CC334B">
        <w:trPr>
          <w:trHeight w:val="471"/>
        </w:trPr>
        <w:tc>
          <w:tcPr>
            <w:tcW w:w="325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48991EE" w14:textId="54B8A852" w:rsidR="00CC334B" w:rsidRPr="00CC334B" w:rsidRDefault="00CC334B" w:rsidP="00CC334B">
            <w:pPr>
              <w:suppressAutoHyphens w:val="0"/>
              <w:spacing w:before="0" w:after="0"/>
              <w:jc w:val="left"/>
              <w:textAlignment w:val="auto"/>
              <w:rPr>
                <w:rFonts w:eastAsia="Times New Roman"/>
                <w:lang w:val="es-ES"/>
              </w:rPr>
            </w:pPr>
            <w:r w:rsidRPr="00CC334B">
              <w:rPr>
                <w:rFonts w:eastAsia="Times New Roman"/>
                <w:lang w:val="es-ES"/>
              </w:rPr>
              <w:t>10 CFR 430.32(m)</w:t>
            </w:r>
          </w:p>
          <w:p w14:paraId="40BA6B4D" w14:textId="7A20C970" w:rsidR="00CC334B" w:rsidRPr="000C68E2" w:rsidRDefault="00CC334B" w:rsidP="00CC334B">
            <w:pPr>
              <w:suppressAutoHyphens w:val="0"/>
              <w:spacing w:before="0" w:after="0"/>
              <w:jc w:val="left"/>
              <w:textAlignment w:val="auto"/>
              <w:rPr>
                <w:rFonts w:eastAsia="Times New Roman"/>
                <w:lang w:val="es-ES"/>
              </w:rPr>
            </w:pPr>
            <w:r w:rsidRPr="00CC334B">
              <w:rPr>
                <w:rFonts w:eastAsia="Times New Roman"/>
                <w:lang w:val="es-ES"/>
              </w:rPr>
              <w:t>Balastos para lámparas fluorescentes</w:t>
            </w:r>
          </w:p>
        </w:tc>
        <w:tc>
          <w:tcPr>
            <w:tcW w:w="524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AB349B4" w14:textId="04EC268B" w:rsidR="00CC334B" w:rsidRPr="00316DB7" w:rsidRDefault="00CC334B" w:rsidP="00CC334B">
            <w:pPr>
              <w:suppressAutoHyphens w:val="0"/>
              <w:spacing w:before="0" w:after="0"/>
              <w:jc w:val="left"/>
              <w:textAlignment w:val="auto"/>
              <w:rPr>
                <w:rFonts w:eastAsia="Times New Roman"/>
                <w:lang w:val="es-ES"/>
              </w:rPr>
            </w:pPr>
            <w:r w:rsidRPr="00CC334B">
              <w:rPr>
                <w:rFonts w:eastAsia="Times New Roman"/>
                <w:lang w:val="es-ES"/>
              </w:rPr>
              <w:t>Balastos para lámparas fluorescentes</w:t>
            </w:r>
          </w:p>
        </w:tc>
      </w:tr>
    </w:tbl>
    <w:p w14:paraId="7888149B" w14:textId="77777777" w:rsidR="001D1448" w:rsidRDefault="001D1448" w:rsidP="000B1B71">
      <w:pPr>
        <w:suppressAutoHyphens w:val="0"/>
        <w:rPr>
          <w:lang w:val="es-ES"/>
        </w:rPr>
      </w:pPr>
    </w:p>
    <w:p w14:paraId="0169C26E" w14:textId="6099B3F0" w:rsidR="005E546D" w:rsidRDefault="001D1448" w:rsidP="000B1B71">
      <w:pPr>
        <w:suppressAutoHyphens w:val="0"/>
        <w:rPr>
          <w:lang w:val="es-ES"/>
        </w:rPr>
      </w:pPr>
      <w:r>
        <w:rPr>
          <w:lang w:val="es-ES"/>
        </w:rPr>
        <w:t xml:space="preserve">Los reglamentos para lámparas incandescentes para uso general (10 CFR 430.32(x)(1)) y para lámparas fluorescentes para uso general y para lámparas incandescentes con </w:t>
      </w:r>
      <w:r w:rsidR="005E546D">
        <w:rPr>
          <w:lang w:val="es-ES"/>
        </w:rPr>
        <w:t xml:space="preserve">reflector (10 CFR 430.32(n)) serán </w:t>
      </w:r>
      <w:r w:rsidR="00EB5ED3">
        <w:rPr>
          <w:lang w:val="es-ES"/>
        </w:rPr>
        <w:t xml:space="preserve">probablemente </w:t>
      </w:r>
      <w:r w:rsidR="005E546D">
        <w:rPr>
          <w:lang w:val="es-ES"/>
        </w:rPr>
        <w:t>reemplazados por un nuevo reglamento que define requerimientos mínimos para las siguientes lámparas de uso general (</w:t>
      </w:r>
      <w:r w:rsidR="005E546D" w:rsidRPr="006D0743">
        <w:rPr>
          <w:i/>
          <w:lang w:val="es-ES"/>
        </w:rPr>
        <w:t>general service lamps</w:t>
      </w:r>
      <w:r w:rsidR="005E546D">
        <w:rPr>
          <w:lang w:val="es-ES"/>
        </w:rPr>
        <w:t>): (i) lámparas incandescentes de uso general, (ii</w:t>
      </w:r>
      <w:r w:rsidR="00F85C0F">
        <w:rPr>
          <w:lang w:val="es-ES"/>
        </w:rPr>
        <w:t>)</w:t>
      </w:r>
      <w:r w:rsidR="005E546D">
        <w:rPr>
          <w:lang w:val="es-ES"/>
        </w:rPr>
        <w:t xml:space="preserve"> LFC</w:t>
      </w:r>
      <w:r w:rsidR="007C449D">
        <w:rPr>
          <w:lang w:val="es-ES"/>
        </w:rPr>
        <w:t xml:space="preserve"> y</w:t>
      </w:r>
      <w:r w:rsidR="005E546D">
        <w:rPr>
          <w:lang w:val="es-ES"/>
        </w:rPr>
        <w:t xml:space="preserve"> (iii) lámparas LED de uso general.</w:t>
      </w:r>
      <w:r w:rsidR="0015120E">
        <w:rPr>
          <w:rStyle w:val="FootnoteReference"/>
        </w:rPr>
        <w:footnoteReference w:id="30"/>
      </w:r>
      <w:r w:rsidR="00DD39BE">
        <w:rPr>
          <w:lang w:val="es-ES"/>
        </w:rPr>
        <w:t xml:space="preserve"> El Anexo </w:t>
      </w:r>
      <w:r w:rsidR="00F97614">
        <w:rPr>
          <w:lang w:val="es-ES"/>
        </w:rPr>
        <w:t>3</w:t>
      </w:r>
      <w:r w:rsidR="00DD39BE">
        <w:rPr>
          <w:lang w:val="es-ES"/>
        </w:rPr>
        <w:t xml:space="preserve"> contiene una compilación de los estándares de desempeño energético mínimo vigentes y propuestos para una selección de lámparas.</w:t>
      </w:r>
    </w:p>
    <w:p w14:paraId="700B3FBA" w14:textId="1FD07B4A" w:rsidR="00710F3F" w:rsidRDefault="004C0010" w:rsidP="000B1B71">
      <w:pPr>
        <w:suppressAutoHyphens w:val="0"/>
        <w:rPr>
          <w:lang w:val="es-ES"/>
        </w:rPr>
      </w:pPr>
      <w:r>
        <w:rPr>
          <w:lang w:val="es-ES"/>
        </w:rPr>
        <w:t xml:space="preserve">La </w:t>
      </w:r>
      <w:r w:rsidR="005E546D">
        <w:rPr>
          <w:lang w:val="es-ES"/>
        </w:rPr>
        <w:t>figura 3 muestra l</w:t>
      </w:r>
      <w:r w:rsidR="0015120E">
        <w:rPr>
          <w:lang w:val="es-ES"/>
        </w:rPr>
        <w:t>os valores</w:t>
      </w:r>
      <w:r w:rsidR="006D0743">
        <w:rPr>
          <w:lang w:val="es-ES"/>
        </w:rPr>
        <w:t xml:space="preserve"> límites para algunos tipos de lámparas incluidas en los reglamentos existentes, así como la propuesta para el límite de eficacia energética uniforme para las lámparas de uso general incluidas en el nuevo reglamento propuesto.</w:t>
      </w:r>
      <w:r w:rsidR="0053345F">
        <w:rPr>
          <w:rStyle w:val="FootnoteReference"/>
        </w:rPr>
        <w:footnoteReference w:id="31"/>
      </w:r>
      <w:r w:rsidR="006D0743">
        <w:rPr>
          <w:lang w:val="es-ES"/>
        </w:rPr>
        <w:t xml:space="preserve"> Como se puede apreciar, el </w:t>
      </w:r>
      <w:r w:rsidR="000B7730">
        <w:rPr>
          <w:lang w:val="es-ES"/>
        </w:rPr>
        <w:t xml:space="preserve">nuevo reglamento prevé en límites de desempeño energético </w:t>
      </w:r>
      <w:r w:rsidR="00E2630F">
        <w:rPr>
          <w:lang w:val="es-ES"/>
        </w:rPr>
        <w:t xml:space="preserve">para lámparas de uso general </w:t>
      </w:r>
      <w:r w:rsidR="000B7730">
        <w:rPr>
          <w:lang w:val="es-ES"/>
        </w:rPr>
        <w:t xml:space="preserve">de hasta 100,6 lm/W (para lámparas de baja luminosidad &lt; 2.000 lm). </w:t>
      </w:r>
      <w:r w:rsidR="009F63AA">
        <w:rPr>
          <w:lang w:val="es-ES"/>
        </w:rPr>
        <w:t xml:space="preserve">El límite de desempeño energético para lámparas de alta luminosidad (2.000 </w:t>
      </w:r>
      <w:r w:rsidR="009F63AA">
        <w:rPr>
          <w:rFonts w:cs="Calibri"/>
          <w:lang w:val="es-ES"/>
        </w:rPr>
        <w:t xml:space="preserve">≤ φ ≤ 2.600 lm) </w:t>
      </w:r>
      <w:r w:rsidR="009F63AA">
        <w:rPr>
          <w:lang w:val="es-ES"/>
        </w:rPr>
        <w:t xml:space="preserve">es entre 72 y 73 lm/W. </w:t>
      </w:r>
      <w:r w:rsidR="000B7730">
        <w:rPr>
          <w:lang w:val="es-ES"/>
        </w:rPr>
        <w:t xml:space="preserve">El índice de eficacia luminosa para lámparas fluorescentes de uso general se mantendrá en valores entre 75,0 y 97,0 lm/W (para LFL de varios tipos). De otra parte, el nuevo reglamento sustituirá los límites existentes </w:t>
      </w:r>
      <w:r w:rsidR="000B7730" w:rsidRPr="007C449D">
        <w:rPr>
          <w:lang w:val="es-ES"/>
        </w:rPr>
        <w:t xml:space="preserve">para </w:t>
      </w:r>
      <w:r w:rsidR="00A27A5E">
        <w:rPr>
          <w:lang w:val="es-ES"/>
        </w:rPr>
        <w:t>LFC</w:t>
      </w:r>
      <w:r w:rsidR="006C6495">
        <w:rPr>
          <w:lang w:val="es-ES"/>
        </w:rPr>
        <w:t xml:space="preserve">, a </w:t>
      </w:r>
      <w:r w:rsidR="006C6495" w:rsidRPr="00F019DE">
        <w:rPr>
          <w:lang w:val="es-ES"/>
        </w:rPr>
        <w:t>partir de tres años a partir de la fecha de publicación del reglamento definitivo (</w:t>
      </w:r>
      <w:r w:rsidR="006C6495" w:rsidRPr="00F019DE">
        <w:rPr>
          <w:i/>
          <w:lang w:val="es-ES"/>
        </w:rPr>
        <w:t>final rule</w:t>
      </w:r>
      <w:r w:rsidR="006C6495" w:rsidRPr="00F019DE">
        <w:rPr>
          <w:lang w:val="es-ES"/>
        </w:rPr>
        <w:t xml:space="preserve">). </w:t>
      </w:r>
      <w:r w:rsidR="00EB5ED3">
        <w:rPr>
          <w:lang w:val="es-ES"/>
        </w:rPr>
        <w:t>E</w:t>
      </w:r>
      <w:r w:rsidR="00EC712E">
        <w:rPr>
          <w:lang w:val="es-ES"/>
        </w:rPr>
        <w:t>l</w:t>
      </w:r>
      <w:r w:rsidR="00EB5ED3">
        <w:rPr>
          <w:lang w:val="es-ES"/>
        </w:rPr>
        <w:t xml:space="preserve"> nuevo reglamento propuesto (</w:t>
      </w:r>
      <w:r w:rsidR="00EB5ED3" w:rsidRPr="00EC712E">
        <w:rPr>
          <w:i/>
          <w:lang w:val="es-ES"/>
        </w:rPr>
        <w:t>Proposed Rule</w:t>
      </w:r>
      <w:r w:rsidR="00EB5ED3">
        <w:rPr>
          <w:lang w:val="es-ES"/>
        </w:rPr>
        <w:t xml:space="preserve">) incluye </w:t>
      </w:r>
      <w:r w:rsidR="00EC712E">
        <w:rPr>
          <w:lang w:val="es-ES"/>
        </w:rPr>
        <w:t>además un llamado "</w:t>
      </w:r>
      <w:r w:rsidR="00EC712E" w:rsidRPr="00EC712E">
        <w:rPr>
          <w:i/>
          <w:lang w:val="es-ES"/>
        </w:rPr>
        <w:t>backstop standard</w:t>
      </w:r>
      <w:r w:rsidR="00EC712E">
        <w:rPr>
          <w:lang w:val="es-ES"/>
        </w:rPr>
        <w:t>" de 45 lm/W para lámparas de uso general que entrará en vigencia el 1 de enero de 2020, en el caso que el estándar más ambicioso propuesto no sea listo para su aplicación.</w:t>
      </w:r>
      <w:r w:rsidR="00E9646B">
        <w:rPr>
          <w:lang w:val="es-ES"/>
        </w:rPr>
        <w:t xml:space="preserve"> El "</w:t>
      </w:r>
      <w:r w:rsidR="00E9646B" w:rsidRPr="00E9646B">
        <w:rPr>
          <w:i/>
          <w:lang w:val="es-ES"/>
        </w:rPr>
        <w:t>backup standard</w:t>
      </w:r>
      <w:r w:rsidR="00E9646B">
        <w:rPr>
          <w:lang w:val="es-ES"/>
        </w:rPr>
        <w:t>" eliminará las lámparas incandescentes e incandescentes con halógeno del mercado.</w:t>
      </w:r>
      <w:r w:rsidR="00EE726D">
        <w:rPr>
          <w:rStyle w:val="FootnoteReference"/>
        </w:rPr>
        <w:footnoteReference w:id="32"/>
      </w:r>
      <w:r w:rsidR="00F019DE" w:rsidRPr="00F019DE">
        <w:rPr>
          <w:lang w:val="es-ES"/>
        </w:rPr>
        <w:t xml:space="preserve"> </w:t>
      </w:r>
    </w:p>
    <w:p w14:paraId="7E6D3B63" w14:textId="77777777" w:rsidR="00E2630F" w:rsidRDefault="00E2630F" w:rsidP="000B1B71">
      <w:pPr>
        <w:suppressAutoHyphens w:val="0"/>
        <w:rPr>
          <w:lang w:val="es-ES"/>
        </w:rPr>
      </w:pPr>
    </w:p>
    <w:p w14:paraId="2FCCE07C" w14:textId="1D41DACA" w:rsidR="00E2630F" w:rsidRDefault="005E546D" w:rsidP="00E2630F">
      <w:pPr>
        <w:pStyle w:val="Caption"/>
        <w:spacing w:after="0"/>
        <w:rPr>
          <w:lang w:val="es-ES"/>
        </w:rPr>
      </w:pPr>
      <w:r>
        <w:rPr>
          <w:lang w:val="es-ES"/>
        </w:rPr>
        <w:t xml:space="preserve"> </w:t>
      </w:r>
      <w:r w:rsidR="00E2630F" w:rsidRPr="00A96F74">
        <w:rPr>
          <w:lang w:val="es-ES"/>
        </w:rPr>
        <w:t xml:space="preserve">Figura </w:t>
      </w:r>
      <w:r w:rsidR="00E2630F" w:rsidRPr="00A96F74">
        <w:rPr>
          <w:lang w:val="es-ES"/>
        </w:rPr>
        <w:fldChar w:fldCharType="begin"/>
      </w:r>
      <w:r w:rsidR="00E2630F" w:rsidRPr="00A96F74">
        <w:rPr>
          <w:lang w:val="es-ES"/>
        </w:rPr>
        <w:instrText xml:space="preserve"> SEQ Figura \* ARABIC </w:instrText>
      </w:r>
      <w:r w:rsidR="00E2630F" w:rsidRPr="00A96F74">
        <w:rPr>
          <w:lang w:val="es-ES"/>
        </w:rPr>
        <w:fldChar w:fldCharType="separate"/>
      </w:r>
      <w:r w:rsidR="005E6430">
        <w:rPr>
          <w:noProof/>
          <w:lang w:val="es-ES"/>
        </w:rPr>
        <w:t>3</w:t>
      </w:r>
      <w:r w:rsidR="00E2630F" w:rsidRPr="00A96F74">
        <w:rPr>
          <w:noProof/>
          <w:lang w:val="es-ES"/>
        </w:rPr>
        <w:fldChar w:fldCharType="end"/>
      </w:r>
      <w:r w:rsidR="00E2630F" w:rsidRPr="00A96F74">
        <w:rPr>
          <w:lang w:val="es-ES"/>
        </w:rPr>
        <w:t xml:space="preserve"> – </w:t>
      </w:r>
      <w:r w:rsidR="00E2630F">
        <w:rPr>
          <w:lang w:val="es-ES"/>
        </w:rPr>
        <w:t xml:space="preserve">Índices de eficacia luminosa mínima para tipos de lámparas seleccionadas </w:t>
      </w:r>
      <w:r w:rsidR="00E2630F" w:rsidRPr="00E2630F">
        <w:rPr>
          <w:lang w:val="es-ES"/>
        </w:rPr>
        <w:t>– EE.UU.</w:t>
      </w:r>
    </w:p>
    <w:p w14:paraId="61CCB1E3" w14:textId="5F468A92" w:rsidR="00E2630F" w:rsidRPr="00A96F74" w:rsidRDefault="00E2630F" w:rsidP="00E2630F">
      <w:pPr>
        <w:spacing w:before="0" w:after="140"/>
        <w:jc w:val="center"/>
        <w:rPr>
          <w:color w:val="002B7F"/>
          <w:lang w:val="es-ES"/>
        </w:rPr>
      </w:pPr>
      <w:r w:rsidRPr="00A96F74">
        <w:rPr>
          <w:i/>
          <w:color w:val="002B7F"/>
          <w:sz w:val="18"/>
          <w:lang w:val="es-ES"/>
        </w:rPr>
        <w:t>Fuente:</w:t>
      </w:r>
      <w:r w:rsidRPr="00E2630F">
        <w:rPr>
          <w:lang w:val="es-ES"/>
        </w:rPr>
        <w:t xml:space="preserve"> </w:t>
      </w:r>
      <w:r w:rsidRPr="00E2630F">
        <w:rPr>
          <w:rFonts w:cstheme="minorHAnsi"/>
          <w:color w:val="002B7F"/>
          <w:sz w:val="18"/>
          <w:lang w:val="es-PA"/>
        </w:rPr>
        <w:t>Elaboración propia en base de e-CFR §430.32</w:t>
      </w:r>
    </w:p>
    <w:p w14:paraId="75DDCA70" w14:textId="558677C8" w:rsidR="00996BC9" w:rsidRDefault="00710F3F" w:rsidP="007E13F3">
      <w:pPr>
        <w:suppressAutoHyphens w:val="0"/>
        <w:autoSpaceDN/>
        <w:spacing w:before="0" w:after="140"/>
        <w:textAlignment w:val="auto"/>
        <w:rPr>
          <w:rFonts w:eastAsia="Calibri"/>
          <w:color w:val="auto"/>
          <w:lang w:val="es-ES"/>
        </w:rPr>
      </w:pPr>
      <w:r w:rsidRPr="00710F3F">
        <w:rPr>
          <w:rFonts w:eastAsia="Calibri"/>
          <w:noProof/>
          <w:color w:val="auto"/>
          <w:lang w:val="en-US"/>
        </w:rPr>
        <w:drawing>
          <wp:inline distT="0" distB="0" distL="0" distR="0" wp14:anchorId="22AE1D75" wp14:editId="530E9DFA">
            <wp:extent cx="5400040" cy="3321050"/>
            <wp:effectExtent l="0" t="0" r="10160" b="127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4DD499" w14:textId="5283EAE7" w:rsidR="00996BC9" w:rsidRDefault="004C0010" w:rsidP="007E13F3">
      <w:pPr>
        <w:suppressAutoHyphens w:val="0"/>
        <w:autoSpaceDN/>
        <w:spacing w:before="0" w:after="140"/>
        <w:textAlignment w:val="auto"/>
        <w:rPr>
          <w:rFonts w:eastAsia="Calibri" w:cs="Calibri"/>
          <w:color w:val="auto"/>
          <w:sz w:val="20"/>
          <w:szCs w:val="20"/>
          <w:lang w:val="es-ES"/>
        </w:rPr>
      </w:pPr>
      <w:r w:rsidRPr="004C0010">
        <w:rPr>
          <w:rFonts w:eastAsia="Calibri" w:cs="Calibri"/>
          <w:color w:val="auto"/>
          <w:sz w:val="20"/>
          <w:szCs w:val="20"/>
          <w:lang w:val="es-ES"/>
        </w:rPr>
        <w:t>Nota:</w:t>
      </w:r>
      <w:r w:rsidRPr="004C0010">
        <w:rPr>
          <w:rFonts w:eastAsiaTheme="minorEastAsia" w:cs="Calibri"/>
          <w:i/>
          <w:iCs/>
          <w:color w:val="262626"/>
          <w:sz w:val="20"/>
          <w:szCs w:val="20"/>
          <w:lang w:val="es-ES"/>
        </w:rPr>
        <w:t xml:space="preserve"> GSL Proposed Rule </w:t>
      </w:r>
      <w:r w:rsidRPr="004C0010">
        <w:rPr>
          <w:rFonts w:eastAsiaTheme="minorEastAsia" w:cs="Calibri"/>
          <w:color w:val="262626"/>
          <w:sz w:val="20"/>
          <w:szCs w:val="20"/>
          <w:lang w:val="es-ES"/>
        </w:rPr>
        <w:t>prevé límites de desempeño energético distintos para lámparas de baja luminosidad (&lt; 2</w:t>
      </w:r>
      <w:r w:rsidR="009512F0">
        <w:rPr>
          <w:rFonts w:eastAsiaTheme="minorEastAsia" w:cs="Calibri"/>
          <w:color w:val="262626"/>
          <w:sz w:val="20"/>
          <w:szCs w:val="20"/>
          <w:lang w:val="es-ES"/>
        </w:rPr>
        <w:t>.</w:t>
      </w:r>
      <w:r w:rsidRPr="004C0010">
        <w:rPr>
          <w:rFonts w:eastAsiaTheme="minorEastAsia" w:cs="Calibri"/>
          <w:color w:val="262626"/>
          <w:sz w:val="20"/>
          <w:szCs w:val="20"/>
          <w:lang w:val="es-ES"/>
        </w:rPr>
        <w:t>000 lm) y de alta luminosidad (≥ 2</w:t>
      </w:r>
      <w:r w:rsidR="009512F0">
        <w:rPr>
          <w:rFonts w:eastAsiaTheme="minorEastAsia" w:cs="Calibri"/>
          <w:color w:val="262626"/>
          <w:sz w:val="20"/>
          <w:szCs w:val="20"/>
          <w:lang w:val="es-ES"/>
        </w:rPr>
        <w:t>.</w:t>
      </w:r>
      <w:r w:rsidRPr="004C0010">
        <w:rPr>
          <w:rFonts w:eastAsiaTheme="minorEastAsia" w:cs="Calibri"/>
          <w:color w:val="262626"/>
          <w:sz w:val="20"/>
          <w:szCs w:val="20"/>
          <w:lang w:val="es-ES"/>
        </w:rPr>
        <w:t xml:space="preserve">000 lm) </w:t>
      </w:r>
      <w:r w:rsidRPr="004C0010">
        <w:rPr>
          <w:rFonts w:eastAsia="Calibri" w:cs="Calibri"/>
          <w:color w:val="auto"/>
          <w:sz w:val="20"/>
          <w:szCs w:val="20"/>
          <w:lang w:val="es-ES"/>
        </w:rPr>
        <w:t xml:space="preserve"> </w:t>
      </w:r>
    </w:p>
    <w:p w14:paraId="2CE8C24D" w14:textId="77777777" w:rsidR="00F85C0F" w:rsidRDefault="00F85C0F" w:rsidP="007E13F3">
      <w:pPr>
        <w:suppressAutoHyphens w:val="0"/>
        <w:autoSpaceDN/>
        <w:spacing w:before="0" w:after="140"/>
        <w:textAlignment w:val="auto"/>
        <w:rPr>
          <w:rFonts w:eastAsia="Calibri" w:cs="Calibri"/>
          <w:color w:val="auto"/>
          <w:lang w:val="es-ES"/>
        </w:rPr>
      </w:pPr>
    </w:p>
    <w:p w14:paraId="76F20A0C" w14:textId="1961112E" w:rsidR="00F85C0F" w:rsidRDefault="00F85C0F" w:rsidP="007E13F3">
      <w:pPr>
        <w:suppressAutoHyphens w:val="0"/>
        <w:autoSpaceDN/>
        <w:spacing w:before="0" w:after="140"/>
        <w:textAlignment w:val="auto"/>
        <w:rPr>
          <w:rFonts w:eastAsia="Calibri" w:cs="Calibri"/>
          <w:color w:val="auto"/>
          <w:lang w:val="es-ES"/>
        </w:rPr>
      </w:pPr>
      <w:r w:rsidRPr="00915FCA">
        <w:rPr>
          <w:rFonts w:eastAsia="Calibri" w:cs="Calibri"/>
          <w:color w:val="auto"/>
          <w:lang w:val="es-ES"/>
        </w:rPr>
        <w:t xml:space="preserve">Además de los índices de desempeño mínimum, estos reglamentos incluyen también requisitos mínimos para el índice </w:t>
      </w:r>
      <w:r w:rsidR="005D543B" w:rsidRPr="00915FCA">
        <w:rPr>
          <w:rFonts w:eastAsia="Calibri" w:cs="Calibri"/>
          <w:color w:val="auto"/>
          <w:lang w:val="es-ES"/>
        </w:rPr>
        <w:t>de rendimiento de color (IRC)</w:t>
      </w:r>
      <w:r w:rsidR="007C449D" w:rsidRPr="00915FCA">
        <w:rPr>
          <w:rFonts w:eastAsia="Calibri" w:cs="Calibri"/>
          <w:color w:val="auto"/>
          <w:lang w:val="es-ES"/>
        </w:rPr>
        <w:t xml:space="preserve"> y la vida útil asignada, en el caso del nuevo reglamento</w:t>
      </w:r>
      <w:r w:rsidR="00487E42" w:rsidRPr="00915FCA">
        <w:rPr>
          <w:rFonts w:eastAsia="Calibri" w:cs="Calibri"/>
          <w:color w:val="auto"/>
          <w:lang w:val="es-ES"/>
        </w:rPr>
        <w:t xml:space="preserve"> también </w:t>
      </w:r>
      <w:r w:rsidR="002172C9" w:rsidRPr="00915FCA">
        <w:rPr>
          <w:rFonts w:eastAsia="Calibri" w:cs="Calibri"/>
          <w:color w:val="auto"/>
          <w:lang w:val="es-ES"/>
        </w:rPr>
        <w:t xml:space="preserve">el </w:t>
      </w:r>
      <w:r w:rsidR="007C449D" w:rsidRPr="00915FCA">
        <w:rPr>
          <w:rFonts w:eastAsia="Calibri" w:cs="Calibri"/>
          <w:color w:val="auto"/>
          <w:lang w:val="es-ES"/>
        </w:rPr>
        <w:t xml:space="preserve">factor de mantenimiento del </w:t>
      </w:r>
      <w:r w:rsidR="002172C9" w:rsidRPr="00915FCA">
        <w:rPr>
          <w:rFonts w:eastAsia="Calibri" w:cs="Calibri"/>
          <w:color w:val="auto"/>
          <w:lang w:val="es-ES"/>
        </w:rPr>
        <w:t>flujo luminoso</w:t>
      </w:r>
      <w:r w:rsidR="007C449D" w:rsidRPr="00915FCA">
        <w:rPr>
          <w:rFonts w:eastAsia="Calibri" w:cs="Calibri"/>
          <w:color w:val="auto"/>
          <w:lang w:val="es-ES"/>
        </w:rPr>
        <w:t xml:space="preserve"> y el tiempo de encendido de la lámpara.</w:t>
      </w:r>
    </w:p>
    <w:p w14:paraId="3BDCC09E" w14:textId="7A4A7C27" w:rsidR="00882CE3" w:rsidRDefault="00882CE3" w:rsidP="00900E4D">
      <w:pPr>
        <w:suppressAutoHyphens w:val="0"/>
        <w:autoSpaceDN/>
        <w:spacing w:before="0" w:after="140"/>
        <w:textAlignment w:val="auto"/>
        <w:rPr>
          <w:rFonts w:eastAsia="Calibri" w:cs="Calibri"/>
          <w:color w:val="auto"/>
          <w:lang w:val="es-ES"/>
        </w:rPr>
      </w:pPr>
      <w:r>
        <w:rPr>
          <w:rFonts w:eastAsia="Calibri" w:cs="Calibri"/>
          <w:color w:val="auto"/>
          <w:lang w:val="es-ES"/>
        </w:rPr>
        <w:t xml:space="preserve">Cabe mencionar que no </w:t>
      </w:r>
      <w:r w:rsidR="009512F0">
        <w:rPr>
          <w:rFonts w:eastAsia="Calibri" w:cs="Calibri"/>
          <w:color w:val="auto"/>
          <w:lang w:val="es-ES"/>
        </w:rPr>
        <w:t xml:space="preserve">existen </w:t>
      </w:r>
      <w:r>
        <w:rPr>
          <w:rFonts w:eastAsia="Calibri" w:cs="Calibri"/>
          <w:color w:val="auto"/>
          <w:lang w:val="es-ES"/>
        </w:rPr>
        <w:t xml:space="preserve">reglamentos DOE de desempeño energético mínimo para lámparas de </w:t>
      </w:r>
      <w:r w:rsidRPr="00882CE3">
        <w:rPr>
          <w:rFonts w:eastAsia="Calibri" w:cs="Calibri"/>
          <w:color w:val="auto"/>
          <w:lang w:val="es-ES"/>
        </w:rPr>
        <w:t>descarga de alta intensidad</w:t>
      </w:r>
      <w:r w:rsidR="00900E4D">
        <w:rPr>
          <w:rFonts w:eastAsia="Calibri" w:cs="Calibri"/>
          <w:color w:val="auto"/>
          <w:lang w:val="es-ES"/>
        </w:rPr>
        <w:t xml:space="preserve"> (lámparas de </w:t>
      </w:r>
      <w:r w:rsidR="00900E4D" w:rsidRPr="00900E4D">
        <w:rPr>
          <w:rFonts w:eastAsia="Calibri" w:cs="Calibri"/>
          <w:color w:val="auto"/>
          <w:lang w:val="es-ES"/>
        </w:rPr>
        <w:t>vapor de mercurio</w:t>
      </w:r>
      <w:r w:rsidR="00B12B02">
        <w:rPr>
          <w:rFonts w:eastAsia="Calibri" w:cs="Calibri"/>
          <w:color w:val="auto"/>
          <w:lang w:val="es-ES"/>
        </w:rPr>
        <w:t xml:space="preserve"> a alta presión</w:t>
      </w:r>
      <w:r w:rsidR="00900E4D">
        <w:rPr>
          <w:rFonts w:eastAsia="Calibri" w:cs="Calibri"/>
          <w:color w:val="auto"/>
          <w:lang w:val="es-ES"/>
        </w:rPr>
        <w:t xml:space="preserve">, </w:t>
      </w:r>
      <w:r w:rsidR="00900E4D" w:rsidRPr="00900E4D">
        <w:rPr>
          <w:rFonts w:eastAsia="Calibri" w:cs="Calibri"/>
          <w:color w:val="auto"/>
          <w:lang w:val="es-ES"/>
        </w:rPr>
        <w:t>de halogenuros metálicos</w:t>
      </w:r>
      <w:r w:rsidR="00900E4D">
        <w:rPr>
          <w:rFonts w:eastAsia="Calibri" w:cs="Calibri"/>
          <w:color w:val="auto"/>
          <w:lang w:val="es-ES"/>
        </w:rPr>
        <w:t xml:space="preserve"> y</w:t>
      </w:r>
      <w:r w:rsidR="00900E4D" w:rsidRPr="00900E4D">
        <w:rPr>
          <w:rFonts w:eastAsia="Calibri" w:cs="Calibri"/>
          <w:color w:val="auto"/>
          <w:lang w:val="es-ES"/>
        </w:rPr>
        <w:t xml:space="preserve"> </w:t>
      </w:r>
      <w:r w:rsidR="00900E4D">
        <w:rPr>
          <w:rFonts w:eastAsia="Calibri" w:cs="Calibri"/>
          <w:color w:val="auto"/>
          <w:lang w:val="es-ES"/>
        </w:rPr>
        <w:t>d</w:t>
      </w:r>
      <w:r w:rsidR="00900E4D" w:rsidRPr="00900E4D">
        <w:rPr>
          <w:rFonts w:eastAsia="Calibri" w:cs="Calibri"/>
          <w:color w:val="auto"/>
          <w:lang w:val="es-ES"/>
        </w:rPr>
        <w:t xml:space="preserve">e sodio </w:t>
      </w:r>
      <w:r w:rsidR="002D0124">
        <w:rPr>
          <w:rFonts w:eastAsia="Calibri" w:cs="Calibri"/>
          <w:color w:val="auto"/>
          <w:lang w:val="es-ES"/>
        </w:rPr>
        <w:t>a</w:t>
      </w:r>
      <w:r w:rsidR="00900E4D" w:rsidRPr="00900E4D">
        <w:rPr>
          <w:rFonts w:eastAsia="Calibri" w:cs="Calibri"/>
          <w:color w:val="auto"/>
          <w:lang w:val="es-ES"/>
        </w:rPr>
        <w:t xml:space="preserve"> alta presión</w:t>
      </w:r>
      <w:r w:rsidR="00900E4D">
        <w:rPr>
          <w:rFonts w:eastAsia="Calibri" w:cs="Calibri"/>
          <w:color w:val="auto"/>
          <w:lang w:val="es-ES"/>
        </w:rPr>
        <w:t>, que se utilizan para iluminación exterior, p.ej. alumbrado público</w:t>
      </w:r>
      <w:r w:rsidR="009512F0">
        <w:rPr>
          <w:rFonts w:eastAsia="Calibri" w:cs="Calibri"/>
          <w:color w:val="auto"/>
          <w:lang w:val="es-ES"/>
        </w:rPr>
        <w:t>)</w:t>
      </w:r>
      <w:r w:rsidR="00900E4D">
        <w:rPr>
          <w:rFonts w:eastAsia="Calibri" w:cs="Calibri"/>
          <w:color w:val="auto"/>
          <w:lang w:val="es-ES"/>
        </w:rPr>
        <w:t xml:space="preserve">. DOE concluyó </w:t>
      </w:r>
      <w:r w:rsidR="00277945">
        <w:rPr>
          <w:rFonts w:eastAsia="Calibri" w:cs="Calibri"/>
          <w:color w:val="auto"/>
          <w:lang w:val="es-ES"/>
        </w:rPr>
        <w:t xml:space="preserve">en 2015 </w:t>
      </w:r>
      <w:r w:rsidR="00900E4D">
        <w:rPr>
          <w:rFonts w:eastAsia="Calibri" w:cs="Calibri"/>
          <w:color w:val="auto"/>
          <w:lang w:val="es-ES"/>
        </w:rPr>
        <w:t xml:space="preserve">que normas de desempeño energético </w:t>
      </w:r>
      <w:r w:rsidR="009512F0">
        <w:rPr>
          <w:rFonts w:eastAsia="Calibri" w:cs="Calibri"/>
          <w:color w:val="auto"/>
          <w:lang w:val="es-ES"/>
        </w:rPr>
        <w:t xml:space="preserve">para este tipo de lámparas </w:t>
      </w:r>
      <w:r w:rsidR="00900E4D">
        <w:rPr>
          <w:rFonts w:eastAsia="Calibri" w:cs="Calibri"/>
          <w:color w:val="auto"/>
          <w:lang w:val="es-ES"/>
        </w:rPr>
        <w:t>no cumplirían los criterios de factibilidad tecnológica, justificación econ</w:t>
      </w:r>
      <w:r w:rsidR="00277945">
        <w:rPr>
          <w:rFonts w:eastAsia="Calibri" w:cs="Calibri"/>
          <w:color w:val="auto"/>
          <w:lang w:val="es-ES"/>
        </w:rPr>
        <w:t>ómica o no resultarían en ahorros energéticos significativos.</w:t>
      </w:r>
      <w:r w:rsidR="00277945">
        <w:rPr>
          <w:rStyle w:val="FootnoteReference"/>
          <w:rFonts w:eastAsia="Calibri" w:cs="Calibri"/>
          <w:color w:val="auto"/>
        </w:rPr>
        <w:footnoteReference w:id="33"/>
      </w:r>
      <w:r w:rsidR="00900E4D">
        <w:rPr>
          <w:rFonts w:eastAsia="Calibri" w:cs="Calibri"/>
          <w:color w:val="auto"/>
          <w:lang w:val="es-ES"/>
        </w:rPr>
        <w:t xml:space="preserve"> </w:t>
      </w:r>
    </w:p>
    <w:p w14:paraId="4AEE8872" w14:textId="1689D084" w:rsidR="00710F3F" w:rsidRDefault="00710F3F" w:rsidP="00900E4D">
      <w:pPr>
        <w:suppressAutoHyphens w:val="0"/>
        <w:autoSpaceDN/>
        <w:spacing w:before="0" w:after="140"/>
        <w:textAlignment w:val="auto"/>
        <w:rPr>
          <w:rFonts w:eastAsia="Calibri" w:cs="Calibri"/>
          <w:color w:val="auto"/>
          <w:lang w:val="es-ES"/>
        </w:rPr>
      </w:pPr>
      <w:r>
        <w:rPr>
          <w:rFonts w:eastAsia="Calibri" w:cs="Calibri"/>
          <w:color w:val="auto"/>
          <w:lang w:val="es-ES"/>
        </w:rPr>
        <w:t xml:space="preserve">Además de los reglamentos obligatorios, </w:t>
      </w:r>
      <w:r w:rsidR="00500A65">
        <w:rPr>
          <w:rFonts w:eastAsia="Calibri" w:cs="Calibri"/>
          <w:color w:val="auto"/>
          <w:lang w:val="es-ES"/>
        </w:rPr>
        <w:t>el programa Energy Star® de US-EPA define requisitos para lámparas elegibles de participar en el programa y exhibir la marca Energy Star</w:t>
      </w:r>
      <w:r w:rsidR="00500A65" w:rsidRPr="00500A65">
        <w:rPr>
          <w:rFonts w:eastAsia="Calibri" w:cs="Calibri"/>
          <w:color w:val="auto"/>
          <w:lang w:val="es-ES"/>
        </w:rPr>
        <w:t>®</w:t>
      </w:r>
      <w:r w:rsidR="00500A65">
        <w:rPr>
          <w:rFonts w:eastAsia="Calibri" w:cs="Calibri"/>
          <w:color w:val="auto"/>
          <w:lang w:val="es-ES"/>
        </w:rPr>
        <w:t>.</w:t>
      </w:r>
      <w:r w:rsidR="00500A65">
        <w:rPr>
          <w:rStyle w:val="FootnoteReference"/>
          <w:rFonts w:eastAsia="Calibri" w:cs="Calibri"/>
          <w:color w:val="auto"/>
        </w:rPr>
        <w:footnoteReference w:id="34"/>
      </w:r>
      <w:r w:rsidR="00500A65">
        <w:rPr>
          <w:rFonts w:eastAsia="Calibri" w:cs="Calibri"/>
          <w:color w:val="auto"/>
          <w:lang w:val="es-ES"/>
        </w:rPr>
        <w:t xml:space="preserve"> Estas especificaciones </w:t>
      </w:r>
      <w:r w:rsidR="00883F11">
        <w:rPr>
          <w:rFonts w:eastAsia="Calibri" w:cs="Calibri"/>
          <w:color w:val="auto"/>
          <w:lang w:val="es-ES"/>
        </w:rPr>
        <w:t xml:space="preserve">incluyen requisitos mínimos de eficacia luminosa, luminosidad, temperatura de color correlacionada, </w:t>
      </w:r>
      <w:r w:rsidR="00612AE3">
        <w:rPr>
          <w:rFonts w:eastAsia="Calibri" w:cs="Calibri"/>
          <w:color w:val="auto"/>
          <w:lang w:val="es-ES"/>
        </w:rPr>
        <w:t xml:space="preserve">rendimiento </w:t>
      </w:r>
      <w:r w:rsidR="00612AE3" w:rsidRPr="00E2467A">
        <w:rPr>
          <w:rFonts w:eastAsia="Calibri" w:cs="Calibri"/>
          <w:color w:val="auto"/>
          <w:lang w:val="es-ES"/>
        </w:rPr>
        <w:t>y ma</w:t>
      </w:r>
      <w:r w:rsidR="00D15A10" w:rsidRPr="00E2467A">
        <w:rPr>
          <w:rFonts w:eastAsia="Calibri" w:cs="Calibri"/>
          <w:color w:val="auto"/>
          <w:lang w:val="es-ES"/>
        </w:rPr>
        <w:t>ntenimiento</w:t>
      </w:r>
      <w:r w:rsidR="00612AE3" w:rsidRPr="00E2467A">
        <w:rPr>
          <w:rFonts w:eastAsia="Calibri" w:cs="Calibri"/>
          <w:color w:val="auto"/>
          <w:lang w:val="es-ES"/>
        </w:rPr>
        <w:t xml:space="preserve"> de </w:t>
      </w:r>
      <w:r w:rsidR="00883F11" w:rsidRPr="00E2467A">
        <w:rPr>
          <w:rFonts w:eastAsia="Calibri" w:cs="Calibri"/>
          <w:color w:val="auto"/>
          <w:lang w:val="es-ES"/>
        </w:rPr>
        <w:t xml:space="preserve">color, </w:t>
      </w:r>
      <w:r w:rsidR="00D15A10" w:rsidRPr="00E2467A">
        <w:rPr>
          <w:rFonts w:eastAsia="Calibri" w:cs="Calibri"/>
          <w:color w:val="auto"/>
          <w:lang w:val="es-ES"/>
        </w:rPr>
        <w:t>mantenimiento del flujo luminoso,</w:t>
      </w:r>
      <w:r w:rsidR="00252494" w:rsidRPr="00E2467A">
        <w:rPr>
          <w:rFonts w:eastAsia="Calibri" w:cs="Calibri"/>
          <w:color w:val="auto"/>
          <w:lang w:val="es-ES"/>
        </w:rPr>
        <w:t xml:space="preserve"> vida útil</w:t>
      </w:r>
      <w:r w:rsidR="00883F11" w:rsidRPr="00E2467A">
        <w:rPr>
          <w:rFonts w:eastAsia="Calibri" w:cs="Calibri"/>
          <w:color w:val="auto"/>
          <w:lang w:val="es-ES"/>
        </w:rPr>
        <w:t xml:space="preserve">, </w:t>
      </w:r>
      <w:r w:rsidR="00252494" w:rsidRPr="00E2467A">
        <w:rPr>
          <w:rFonts w:eastAsia="Calibri" w:cs="Calibri"/>
          <w:color w:val="auto"/>
          <w:lang w:val="es-ES"/>
        </w:rPr>
        <w:t xml:space="preserve">requisitos </w:t>
      </w:r>
      <w:r w:rsidR="00D15A10" w:rsidRPr="00E2467A">
        <w:rPr>
          <w:rFonts w:eastAsia="Calibri" w:cs="Calibri"/>
          <w:color w:val="auto"/>
          <w:lang w:val="es-ES"/>
        </w:rPr>
        <w:t xml:space="preserve">de </w:t>
      </w:r>
      <w:r w:rsidR="00252494" w:rsidRPr="00E2467A">
        <w:rPr>
          <w:rFonts w:eastAsia="Calibri" w:cs="Calibri"/>
          <w:color w:val="auto"/>
          <w:lang w:val="es-ES"/>
        </w:rPr>
        <w:t xml:space="preserve">desempeño </w:t>
      </w:r>
      <w:r w:rsidR="00252494" w:rsidRPr="00305517">
        <w:rPr>
          <w:rFonts w:eastAsia="Calibri" w:cs="Calibri"/>
          <w:color w:val="auto"/>
          <w:lang w:val="es-ES"/>
        </w:rPr>
        <w:t>eléctrico</w:t>
      </w:r>
      <w:r w:rsidR="00883F11" w:rsidRPr="00305517">
        <w:rPr>
          <w:rFonts w:eastAsia="Calibri" w:cs="Calibri"/>
          <w:color w:val="auto"/>
          <w:lang w:val="es-ES"/>
        </w:rPr>
        <w:t xml:space="preserve">, </w:t>
      </w:r>
      <w:r w:rsidR="00305517" w:rsidRPr="00305517">
        <w:rPr>
          <w:rFonts w:eastAsia="Calibri" w:cs="Calibri"/>
          <w:color w:val="auto"/>
          <w:lang w:val="es-ES"/>
        </w:rPr>
        <w:t xml:space="preserve">requisitos de </w:t>
      </w:r>
      <w:r w:rsidR="00883F11" w:rsidRPr="00305517">
        <w:rPr>
          <w:rFonts w:eastAsia="Calibri" w:cs="Calibri"/>
          <w:color w:val="auto"/>
          <w:lang w:val="es-ES"/>
        </w:rPr>
        <w:t xml:space="preserve">control, </w:t>
      </w:r>
      <w:r w:rsidR="00305517" w:rsidRPr="00305517">
        <w:rPr>
          <w:rFonts w:eastAsia="Calibri" w:cs="Calibri"/>
          <w:color w:val="auto"/>
          <w:lang w:val="es-ES"/>
        </w:rPr>
        <w:t>reducción de sustancias tóxicas</w:t>
      </w:r>
      <w:r w:rsidR="00883F11" w:rsidRPr="00305517">
        <w:rPr>
          <w:rFonts w:eastAsia="Calibri" w:cs="Calibri"/>
          <w:color w:val="auto"/>
          <w:lang w:val="es-ES"/>
        </w:rPr>
        <w:t>, entre otr</w:t>
      </w:r>
      <w:r w:rsidR="00305517" w:rsidRPr="00305517">
        <w:rPr>
          <w:rFonts w:eastAsia="Calibri" w:cs="Calibri"/>
          <w:color w:val="auto"/>
          <w:lang w:val="es-ES"/>
        </w:rPr>
        <w:t>a</w:t>
      </w:r>
      <w:r w:rsidR="00883F11" w:rsidRPr="00305517">
        <w:rPr>
          <w:rFonts w:eastAsia="Calibri" w:cs="Calibri"/>
          <w:color w:val="auto"/>
          <w:lang w:val="es-ES"/>
        </w:rPr>
        <w:t>s. Los</w:t>
      </w:r>
      <w:r w:rsidR="00883F11">
        <w:rPr>
          <w:rFonts w:eastAsia="Calibri" w:cs="Calibri"/>
          <w:color w:val="auto"/>
          <w:lang w:val="es-ES"/>
        </w:rPr>
        <w:t xml:space="preserve"> índices de eficacia luminosa mínim</w:t>
      </w:r>
      <w:r w:rsidR="00497D47">
        <w:rPr>
          <w:rFonts w:eastAsia="Calibri" w:cs="Calibri"/>
          <w:color w:val="auto"/>
          <w:lang w:val="es-ES"/>
        </w:rPr>
        <w:t>a</w:t>
      </w:r>
      <w:r w:rsidR="00883F11">
        <w:rPr>
          <w:rFonts w:eastAsia="Calibri" w:cs="Calibri"/>
          <w:color w:val="auto"/>
          <w:lang w:val="es-ES"/>
        </w:rPr>
        <w:t xml:space="preserve"> están incluidos en el Anexo 3. La figura 3 incluye </w:t>
      </w:r>
      <w:r w:rsidR="00612AE3">
        <w:rPr>
          <w:rFonts w:eastAsia="Calibri" w:cs="Calibri"/>
          <w:color w:val="auto"/>
          <w:lang w:val="es-ES"/>
        </w:rPr>
        <w:t>los índices mínimos para lámparas omnidireccionales con CRI ≥ 90 (70 lm/W) y con CRI &lt; 90 (80 lm/W).</w:t>
      </w:r>
    </w:p>
    <w:p w14:paraId="28E082E5" w14:textId="3B60AC41" w:rsidR="00BD6581" w:rsidRPr="00316DB7" w:rsidRDefault="007C449D" w:rsidP="00842463">
      <w:pPr>
        <w:pStyle w:val="Heading3"/>
        <w:rPr>
          <w:lang w:val="es-ES"/>
        </w:rPr>
      </w:pPr>
      <w:bookmarkStart w:id="34" w:name="_Toc516146004"/>
      <w:r>
        <w:rPr>
          <w:lang w:val="es-ES"/>
        </w:rPr>
        <w:lastRenderedPageBreak/>
        <w:t>Métodos de prueba</w:t>
      </w:r>
      <w:bookmarkEnd w:id="34"/>
    </w:p>
    <w:p w14:paraId="70C378FC" w14:textId="1EE4CEEB" w:rsidR="00C21706" w:rsidRDefault="00C220E0" w:rsidP="007E13F3">
      <w:pPr>
        <w:suppressAutoHyphens w:val="0"/>
        <w:autoSpaceDN/>
        <w:spacing w:before="0" w:after="140"/>
        <w:textAlignment w:val="auto"/>
        <w:rPr>
          <w:rFonts w:eastAsia="Calibri"/>
          <w:color w:val="auto"/>
          <w:lang w:val="es-ES"/>
        </w:rPr>
      </w:pPr>
      <w:r>
        <w:rPr>
          <w:rFonts w:eastAsia="Calibri"/>
          <w:color w:val="auto"/>
          <w:lang w:val="es-ES"/>
        </w:rPr>
        <w:t xml:space="preserve">Los métodos de prueba para lámparas </w:t>
      </w:r>
      <w:r w:rsidR="005F0027">
        <w:rPr>
          <w:rFonts w:eastAsia="Calibri"/>
          <w:color w:val="auto"/>
          <w:lang w:val="es-ES"/>
        </w:rPr>
        <w:t>están</w:t>
      </w:r>
      <w:r>
        <w:rPr>
          <w:rFonts w:eastAsia="Calibri"/>
          <w:color w:val="auto"/>
          <w:lang w:val="es-ES"/>
        </w:rPr>
        <w:t xml:space="preserve"> incluidos en</w:t>
      </w:r>
      <w:r w:rsidR="00C21706">
        <w:rPr>
          <w:rFonts w:eastAsia="Calibri"/>
          <w:color w:val="auto"/>
          <w:lang w:val="es-ES"/>
        </w:rPr>
        <w:t xml:space="preserve"> el </w:t>
      </w:r>
      <w:r w:rsidR="00C21706" w:rsidRPr="00C21706">
        <w:rPr>
          <w:rFonts w:eastAsia="Calibri"/>
          <w:color w:val="auto"/>
          <w:lang w:val="es-ES"/>
        </w:rPr>
        <w:t xml:space="preserve">§430.23 </w:t>
      </w:r>
      <w:r w:rsidR="00706BFF">
        <w:rPr>
          <w:rFonts w:eastAsia="Calibri"/>
          <w:color w:val="auto"/>
          <w:lang w:val="es-ES"/>
        </w:rPr>
        <w:t>"</w:t>
      </w:r>
      <w:r w:rsidR="00C21706" w:rsidRPr="00706BFF">
        <w:rPr>
          <w:rFonts w:eastAsia="Calibri"/>
          <w:i/>
          <w:color w:val="auto"/>
          <w:lang w:val="es-ES"/>
        </w:rPr>
        <w:t>Test procedures for the measurement of energy and water consumption</w:t>
      </w:r>
      <w:r w:rsidR="00706BFF">
        <w:rPr>
          <w:rFonts w:eastAsia="Calibri"/>
          <w:color w:val="auto"/>
          <w:lang w:val="es-ES"/>
        </w:rPr>
        <w:t>"</w:t>
      </w:r>
      <w:r w:rsidR="00C21706">
        <w:rPr>
          <w:rFonts w:eastAsia="Calibri"/>
          <w:color w:val="auto"/>
          <w:lang w:val="es-ES"/>
        </w:rPr>
        <w:t xml:space="preserve"> mencionado</w:t>
      </w:r>
      <w:r w:rsidR="00C21706">
        <w:rPr>
          <w:rStyle w:val="FootnoteReference"/>
          <w:rFonts w:eastAsia="Calibri"/>
          <w:color w:val="auto"/>
        </w:rPr>
        <w:footnoteReference w:id="35"/>
      </w:r>
      <w:r w:rsidR="00706BFF">
        <w:rPr>
          <w:rFonts w:eastAsia="Calibri"/>
          <w:color w:val="auto"/>
          <w:lang w:val="es-ES"/>
        </w:rPr>
        <w:t>, p</w:t>
      </w:r>
      <w:r w:rsidR="00E20284">
        <w:rPr>
          <w:rFonts w:eastAsia="Calibri"/>
          <w:color w:val="auto"/>
          <w:lang w:val="es-ES"/>
        </w:rPr>
        <w:t>á</w:t>
      </w:r>
      <w:r w:rsidR="00706BFF">
        <w:rPr>
          <w:rFonts w:eastAsia="Calibri"/>
          <w:color w:val="auto"/>
          <w:lang w:val="es-ES"/>
        </w:rPr>
        <w:t>r</w:t>
      </w:r>
      <w:r w:rsidR="00E20284">
        <w:rPr>
          <w:rFonts w:eastAsia="Calibri"/>
          <w:color w:val="auto"/>
          <w:lang w:val="es-ES"/>
        </w:rPr>
        <w:t>ra</w:t>
      </w:r>
      <w:r w:rsidR="00706BFF">
        <w:rPr>
          <w:rFonts w:eastAsia="Calibri"/>
          <w:color w:val="auto"/>
          <w:lang w:val="es-ES"/>
        </w:rPr>
        <w:t xml:space="preserve">fos (r) </w:t>
      </w:r>
      <w:r w:rsidR="00706BFF" w:rsidRPr="00706BFF">
        <w:rPr>
          <w:rFonts w:eastAsia="Calibri"/>
          <w:i/>
          <w:color w:val="auto"/>
          <w:lang w:val="es-ES"/>
        </w:rPr>
        <w:t>General service fluorescent lamps, general service incandescent lamps, and incandescent reflector lamps</w:t>
      </w:r>
      <w:r w:rsidR="00706BFF">
        <w:rPr>
          <w:rFonts w:eastAsia="Calibri"/>
          <w:color w:val="auto"/>
          <w:lang w:val="es-ES"/>
        </w:rPr>
        <w:t xml:space="preserve">, </w:t>
      </w:r>
      <w:r w:rsidR="00426DA1">
        <w:rPr>
          <w:rFonts w:eastAsia="Calibri"/>
          <w:color w:val="auto"/>
          <w:lang w:val="es-ES"/>
        </w:rPr>
        <w:t xml:space="preserve">(y) </w:t>
      </w:r>
      <w:r w:rsidR="00426DA1" w:rsidRPr="00426DA1">
        <w:rPr>
          <w:rFonts w:eastAsia="Calibri"/>
          <w:i/>
          <w:color w:val="auto"/>
          <w:lang w:val="es-ES"/>
        </w:rPr>
        <w:t>Compact fluorescent lamps</w:t>
      </w:r>
      <w:r w:rsidR="00426DA1">
        <w:rPr>
          <w:rFonts w:eastAsia="Calibri"/>
          <w:color w:val="auto"/>
          <w:lang w:val="es-ES"/>
        </w:rPr>
        <w:t xml:space="preserve">, </w:t>
      </w:r>
      <w:r w:rsidR="00706BFF">
        <w:rPr>
          <w:rFonts w:eastAsia="Calibri"/>
          <w:color w:val="auto"/>
          <w:lang w:val="es-ES"/>
        </w:rPr>
        <w:t xml:space="preserve">(ee) </w:t>
      </w:r>
      <w:r w:rsidR="00706BFF" w:rsidRPr="00706BFF">
        <w:rPr>
          <w:rFonts w:eastAsia="Calibri"/>
          <w:i/>
          <w:color w:val="auto"/>
          <w:lang w:val="es-ES"/>
        </w:rPr>
        <w:t>Integrated light-emitting diode lamp</w:t>
      </w:r>
      <w:r w:rsidR="00706BFF">
        <w:rPr>
          <w:rFonts w:eastAsia="Calibri"/>
          <w:color w:val="auto"/>
          <w:lang w:val="es-ES"/>
        </w:rPr>
        <w:t xml:space="preserve">, (gg) </w:t>
      </w:r>
      <w:r w:rsidR="00706BFF" w:rsidRPr="00706BFF">
        <w:rPr>
          <w:rFonts w:eastAsia="Calibri"/>
          <w:i/>
          <w:color w:val="auto"/>
          <w:lang w:val="es-ES"/>
        </w:rPr>
        <w:t>General service lamps</w:t>
      </w:r>
      <w:r w:rsidR="00706BFF">
        <w:rPr>
          <w:rFonts w:eastAsia="Calibri"/>
          <w:color w:val="auto"/>
          <w:lang w:val="es-ES"/>
        </w:rPr>
        <w:t xml:space="preserve"> (lámparas no incluidas en los paráfos (r) y (ee)</w:t>
      </w:r>
      <w:r w:rsidR="00AB4BAF">
        <w:rPr>
          <w:rFonts w:eastAsia="Calibri"/>
          <w:color w:val="auto"/>
          <w:lang w:val="es-ES"/>
        </w:rPr>
        <w:t>)</w:t>
      </w:r>
      <w:r w:rsidR="00706BFF">
        <w:rPr>
          <w:rFonts w:eastAsia="Calibri"/>
          <w:color w:val="auto"/>
          <w:lang w:val="es-ES"/>
        </w:rPr>
        <w:t xml:space="preserve"> y lámparas OLED. </w:t>
      </w:r>
      <w:r w:rsidR="00F63485">
        <w:rPr>
          <w:rFonts w:eastAsia="Calibri"/>
          <w:color w:val="auto"/>
          <w:lang w:val="es-ES"/>
        </w:rPr>
        <w:t>Los p</w:t>
      </w:r>
      <w:r w:rsidR="00A027DC">
        <w:rPr>
          <w:rFonts w:eastAsia="Calibri"/>
          <w:color w:val="auto"/>
          <w:lang w:val="es-ES"/>
        </w:rPr>
        <w:t>á</w:t>
      </w:r>
      <w:r w:rsidR="00F63485">
        <w:rPr>
          <w:rFonts w:eastAsia="Calibri"/>
          <w:color w:val="auto"/>
          <w:lang w:val="es-ES"/>
        </w:rPr>
        <w:t>r</w:t>
      </w:r>
      <w:r w:rsidR="00A027DC">
        <w:rPr>
          <w:rFonts w:eastAsia="Calibri"/>
          <w:color w:val="auto"/>
          <w:lang w:val="es-ES"/>
        </w:rPr>
        <w:t>ra</w:t>
      </w:r>
      <w:r w:rsidR="00F63485">
        <w:rPr>
          <w:rFonts w:eastAsia="Calibri"/>
          <w:color w:val="auto"/>
          <w:lang w:val="es-ES"/>
        </w:rPr>
        <w:t>fos mencionados se refieren a los siguientes apéndices:</w:t>
      </w:r>
    </w:p>
    <w:p w14:paraId="48BCC261" w14:textId="4011249B" w:rsidR="00C21706" w:rsidRPr="00380F8C" w:rsidRDefault="00F63485" w:rsidP="001404E7">
      <w:pPr>
        <w:pStyle w:val="ListParagraph"/>
        <w:numPr>
          <w:ilvl w:val="0"/>
          <w:numId w:val="21"/>
        </w:numPr>
        <w:suppressAutoHyphens w:val="0"/>
        <w:autoSpaceDN/>
        <w:spacing w:before="0" w:after="140"/>
        <w:textAlignment w:val="auto"/>
        <w:rPr>
          <w:rFonts w:eastAsia="Calibri"/>
          <w:color w:val="auto"/>
          <w:lang w:val="es-ES"/>
        </w:rPr>
      </w:pPr>
      <w:r w:rsidRPr="00380F8C">
        <w:rPr>
          <w:rFonts w:eastAsia="Calibri"/>
          <w:color w:val="auto"/>
        </w:rPr>
        <w:t>Ap</w:t>
      </w:r>
      <w:r w:rsidR="00053B3F">
        <w:rPr>
          <w:rFonts w:eastAsia="Calibri"/>
          <w:color w:val="auto"/>
        </w:rPr>
        <w:t>én</w:t>
      </w:r>
      <w:r w:rsidR="008B38E1" w:rsidRPr="00380F8C">
        <w:rPr>
          <w:rFonts w:eastAsia="Calibri"/>
          <w:color w:val="auto"/>
        </w:rPr>
        <w:t xml:space="preserve">dice R de </w:t>
      </w:r>
      <w:r w:rsidR="008B38E1" w:rsidRPr="00380F8C">
        <w:rPr>
          <w:rFonts w:eastAsia="Calibri"/>
          <w:i/>
          <w:color w:val="auto"/>
        </w:rPr>
        <w:t>Subpart B of Part 430 – Uniform Test Method for Measuring Average Lamp Efficacy (LE), Color Rendering Index (CRI), and Correlated Color Temperature (CCT) of Electric Lamps</w:t>
      </w:r>
      <w:r w:rsidR="008B38E1" w:rsidRPr="00380F8C">
        <w:rPr>
          <w:rFonts w:eastAsia="Calibri"/>
          <w:color w:val="auto"/>
        </w:rPr>
        <w:t xml:space="preserve">. </w:t>
      </w:r>
      <w:r w:rsidR="008B38E1" w:rsidRPr="00380F8C">
        <w:rPr>
          <w:rFonts w:eastAsia="Calibri"/>
          <w:color w:val="auto"/>
          <w:lang w:val="es-ES"/>
        </w:rPr>
        <w:t xml:space="preserve">Este apéndice se aplica a la medición de la luminosidad, de las características eléctricas, del índice de rendimiento de color, </w:t>
      </w:r>
      <w:r w:rsidR="008A60F8" w:rsidRPr="00380F8C">
        <w:rPr>
          <w:rFonts w:eastAsia="Calibri"/>
          <w:color w:val="auto"/>
          <w:lang w:val="es-ES"/>
        </w:rPr>
        <w:t xml:space="preserve">y </w:t>
      </w:r>
      <w:r w:rsidR="008B38E1" w:rsidRPr="00380F8C">
        <w:rPr>
          <w:rFonts w:eastAsia="Calibri"/>
          <w:color w:val="auto"/>
          <w:lang w:val="es-ES"/>
        </w:rPr>
        <w:t>de la temperatura de color correlacionada para lámparas fluorescentes</w:t>
      </w:r>
      <w:r w:rsidR="008A60F8" w:rsidRPr="00380F8C">
        <w:rPr>
          <w:rFonts w:eastAsia="Calibri"/>
          <w:color w:val="auto"/>
          <w:lang w:val="es-ES"/>
        </w:rPr>
        <w:t xml:space="preserve"> de uso general, así como a la medición de la luminosidad y de las características eléctricas para lámparas incandescentes de uso general</w:t>
      </w:r>
      <w:r w:rsidR="008B38E1" w:rsidRPr="00380F8C">
        <w:rPr>
          <w:rFonts w:eastAsia="Calibri"/>
          <w:color w:val="auto"/>
          <w:lang w:val="es-ES"/>
        </w:rPr>
        <w:t xml:space="preserve"> </w:t>
      </w:r>
      <w:r w:rsidR="008A60F8" w:rsidRPr="00380F8C">
        <w:rPr>
          <w:rFonts w:eastAsia="Calibri"/>
          <w:color w:val="auto"/>
          <w:lang w:val="es-ES"/>
        </w:rPr>
        <w:t>y lámpara</w:t>
      </w:r>
      <w:r w:rsidR="009D5DA4">
        <w:rPr>
          <w:rFonts w:eastAsia="Calibri"/>
          <w:color w:val="auto"/>
          <w:lang w:val="es-ES"/>
        </w:rPr>
        <w:t>s</w:t>
      </w:r>
      <w:r w:rsidR="008A60F8" w:rsidRPr="00380F8C">
        <w:rPr>
          <w:rFonts w:eastAsia="Calibri"/>
          <w:color w:val="auto"/>
          <w:lang w:val="es-ES"/>
        </w:rPr>
        <w:t xml:space="preserve"> inc</w:t>
      </w:r>
      <w:r w:rsidR="00053B3F">
        <w:rPr>
          <w:rFonts w:eastAsia="Calibri"/>
          <w:color w:val="auto"/>
          <w:lang w:val="es-ES"/>
        </w:rPr>
        <w:t>a</w:t>
      </w:r>
      <w:r w:rsidR="008A60F8" w:rsidRPr="00380F8C">
        <w:rPr>
          <w:rFonts w:eastAsia="Calibri"/>
          <w:color w:val="auto"/>
          <w:lang w:val="es-ES"/>
        </w:rPr>
        <w:t>ndescentes con reflector</w:t>
      </w:r>
      <w:r w:rsidR="008B38E1" w:rsidRPr="00380F8C">
        <w:rPr>
          <w:rFonts w:eastAsia="Calibri"/>
          <w:color w:val="auto"/>
          <w:lang w:val="es-ES"/>
        </w:rPr>
        <w:t xml:space="preserve">. </w:t>
      </w:r>
    </w:p>
    <w:p w14:paraId="5D7CA19D" w14:textId="404CE458" w:rsidR="008A60F8" w:rsidRPr="00380F8C" w:rsidRDefault="008A60F8" w:rsidP="001404E7">
      <w:pPr>
        <w:pStyle w:val="ListParagraph"/>
        <w:numPr>
          <w:ilvl w:val="0"/>
          <w:numId w:val="21"/>
        </w:numPr>
        <w:suppressAutoHyphens w:val="0"/>
        <w:autoSpaceDN/>
        <w:spacing w:before="0" w:after="140"/>
        <w:textAlignment w:val="auto"/>
        <w:rPr>
          <w:rFonts w:eastAsia="Calibri"/>
          <w:color w:val="auto"/>
          <w:lang w:val="es-ES"/>
        </w:rPr>
      </w:pPr>
      <w:r w:rsidRPr="00380F8C">
        <w:rPr>
          <w:rFonts w:eastAsia="Calibri"/>
          <w:color w:val="auto"/>
        </w:rPr>
        <w:t xml:space="preserve">Apéndice W de </w:t>
      </w:r>
      <w:r w:rsidRPr="00380F8C">
        <w:rPr>
          <w:rFonts w:eastAsia="Calibri"/>
          <w:i/>
          <w:color w:val="auto"/>
        </w:rPr>
        <w:t xml:space="preserve">Subpart B of Part 430 – Uniform Test Method for Measuring the Energy Consumption of Compact Fluorescent Lamps. </w:t>
      </w:r>
      <w:r w:rsidRPr="00380F8C">
        <w:rPr>
          <w:rFonts w:eastAsia="Calibri"/>
          <w:color w:val="auto"/>
          <w:lang w:val="es-ES"/>
        </w:rPr>
        <w:t xml:space="preserve">Este apéndice especifica los métodos de prueba para medir la eficacia luminosa inicial, el factor de mantenimiento del flujo luminoso, </w:t>
      </w:r>
      <w:r w:rsidR="00265D8C" w:rsidRPr="00380F8C">
        <w:rPr>
          <w:rFonts w:eastAsia="Calibri"/>
          <w:color w:val="auto"/>
          <w:lang w:val="es-ES"/>
        </w:rPr>
        <w:t>la vida útil</w:t>
      </w:r>
      <w:r w:rsidRPr="00380F8C">
        <w:rPr>
          <w:rFonts w:eastAsia="Calibri"/>
          <w:color w:val="auto"/>
          <w:lang w:val="es-ES"/>
        </w:rPr>
        <w:t>,</w:t>
      </w:r>
      <w:r w:rsidR="00265D8C" w:rsidRPr="00380F8C">
        <w:rPr>
          <w:rFonts w:eastAsia="Calibri"/>
          <w:color w:val="auto"/>
          <w:lang w:val="es-ES"/>
        </w:rPr>
        <w:t xml:space="preserve"> el factor de potencia</w:t>
      </w:r>
      <w:r w:rsidRPr="00380F8C">
        <w:rPr>
          <w:rFonts w:eastAsia="Calibri"/>
          <w:color w:val="auto"/>
          <w:lang w:val="es-ES"/>
        </w:rPr>
        <w:t xml:space="preserve">, la temperatura de color correlacionada, el IRC y el tiempo de encendido para </w:t>
      </w:r>
      <w:r w:rsidR="00265D8C" w:rsidRPr="00380F8C">
        <w:rPr>
          <w:rFonts w:eastAsia="Calibri"/>
          <w:color w:val="auto"/>
          <w:lang w:val="es-ES"/>
        </w:rPr>
        <w:t>LFC.</w:t>
      </w:r>
    </w:p>
    <w:p w14:paraId="1CF436FD" w14:textId="7FD00E0C" w:rsidR="00265D8C" w:rsidRDefault="00265D8C" w:rsidP="001404E7">
      <w:pPr>
        <w:pStyle w:val="ListParagraph"/>
        <w:numPr>
          <w:ilvl w:val="0"/>
          <w:numId w:val="21"/>
        </w:numPr>
        <w:suppressAutoHyphens w:val="0"/>
        <w:autoSpaceDN/>
        <w:spacing w:before="0" w:after="140"/>
        <w:textAlignment w:val="auto"/>
        <w:rPr>
          <w:rFonts w:eastAsia="Calibri"/>
          <w:color w:val="auto"/>
          <w:lang w:val="es-ES"/>
        </w:rPr>
      </w:pPr>
      <w:r w:rsidRPr="00380F8C">
        <w:rPr>
          <w:rFonts w:eastAsia="Calibri"/>
          <w:color w:val="auto"/>
        </w:rPr>
        <w:t xml:space="preserve">Apéndice BB de </w:t>
      </w:r>
      <w:r w:rsidRPr="00380F8C">
        <w:rPr>
          <w:rFonts w:eastAsia="Calibri"/>
          <w:i/>
          <w:color w:val="auto"/>
        </w:rPr>
        <w:t>Subpart B of Part 430 – Uniform Test Method for Measuring the Input Power, Lumen Output, Lamp Efficacy, Correlated Color Temperature (CCT), Color Rendering Index</w:t>
      </w:r>
      <w:r w:rsidR="008A3A4C" w:rsidRPr="00380F8C">
        <w:rPr>
          <w:rFonts w:eastAsia="Calibri"/>
          <w:i/>
          <w:color w:val="auto"/>
        </w:rPr>
        <w:t xml:space="preserve"> (CRI), Power Factor, Time to Failure, and Standby Mode Power of Integrated Light-Emitting Diode (LED) Lamps</w:t>
      </w:r>
      <w:r w:rsidRPr="00380F8C">
        <w:rPr>
          <w:rFonts w:eastAsia="Calibri"/>
          <w:i/>
          <w:color w:val="auto"/>
        </w:rPr>
        <w:t xml:space="preserve">. </w:t>
      </w:r>
      <w:r w:rsidRPr="00380F8C">
        <w:rPr>
          <w:rFonts w:eastAsia="Calibri"/>
          <w:color w:val="auto"/>
          <w:lang w:val="es-ES"/>
        </w:rPr>
        <w:t xml:space="preserve">Este apéndice especifica los métodos de prueba para medir </w:t>
      </w:r>
      <w:r w:rsidR="008A3A4C" w:rsidRPr="00380F8C">
        <w:rPr>
          <w:rFonts w:eastAsia="Calibri"/>
          <w:color w:val="auto"/>
          <w:lang w:val="es-ES"/>
        </w:rPr>
        <w:t xml:space="preserve">la potencia de entrada, la luminosidad, </w:t>
      </w:r>
      <w:r w:rsidRPr="00380F8C">
        <w:rPr>
          <w:rFonts w:eastAsia="Calibri"/>
          <w:color w:val="auto"/>
          <w:lang w:val="es-ES"/>
        </w:rPr>
        <w:t>la eficacia luminosa</w:t>
      </w:r>
      <w:r w:rsidR="008A3A4C" w:rsidRPr="00380F8C">
        <w:rPr>
          <w:rFonts w:eastAsia="Calibri"/>
          <w:color w:val="auto"/>
          <w:lang w:val="es-ES"/>
        </w:rPr>
        <w:t>, la temperatura de color correlacionada, el IRC, el factor de potencia, la vida útil, y la potencia en modo de espera de lámparas LED integradas.</w:t>
      </w:r>
    </w:p>
    <w:p w14:paraId="6BB7F07F" w14:textId="7D656868" w:rsidR="00F3228C" w:rsidRPr="00F3228C" w:rsidRDefault="00F3228C" w:rsidP="001404E7">
      <w:pPr>
        <w:pStyle w:val="ListParagraph"/>
        <w:numPr>
          <w:ilvl w:val="0"/>
          <w:numId w:val="21"/>
        </w:numPr>
        <w:suppressAutoHyphens w:val="0"/>
        <w:autoSpaceDN/>
        <w:spacing w:before="0" w:after="140"/>
        <w:textAlignment w:val="auto"/>
        <w:rPr>
          <w:rFonts w:eastAsia="Calibri"/>
          <w:color w:val="auto"/>
          <w:lang w:val="es-ES"/>
        </w:rPr>
      </w:pPr>
      <w:r w:rsidRPr="00F3228C">
        <w:rPr>
          <w:rFonts w:eastAsia="Calibri"/>
          <w:color w:val="auto"/>
        </w:rPr>
        <w:t xml:space="preserve">Apéndice DD de </w:t>
      </w:r>
      <w:r w:rsidRPr="00F3228C">
        <w:rPr>
          <w:rFonts w:eastAsia="Calibri"/>
          <w:i/>
          <w:color w:val="auto"/>
        </w:rPr>
        <w:t>Subpart B of Part 430 – Uniform</w:t>
      </w:r>
      <w:r>
        <w:rPr>
          <w:rFonts w:eastAsia="Calibri"/>
          <w:i/>
          <w:color w:val="auto"/>
        </w:rPr>
        <w:t xml:space="preserve"> Test Method for Measuring the Energy Consumption and Energy Efficiency of General Service Lamps that are not General Service Incandescent Lamps, Compact Fluorescent Lamps, or Integrated LED Lamps. </w:t>
      </w:r>
      <w:r w:rsidRPr="00F3228C">
        <w:rPr>
          <w:rFonts w:eastAsia="Calibri"/>
          <w:color w:val="auto"/>
          <w:lang w:val="es-ES"/>
        </w:rPr>
        <w:t>Este apéndice especifica los métodos de prueba para medir la luminosidad inicial, la potencia de entrada</w:t>
      </w:r>
      <w:r>
        <w:rPr>
          <w:rFonts w:eastAsia="Calibri"/>
          <w:color w:val="auto"/>
          <w:lang w:val="es-ES"/>
        </w:rPr>
        <w:t>, la eficacia luminosa, el factor de potencia, y el consumo en modo de espera de lámparas de uso general que no son lámparas incandescentes de uso general, lámparas fluorescentes compactas, o lámparas LED integradas; por ejemplo: lámparas OLED, lámparas LED no integradas.</w:t>
      </w:r>
    </w:p>
    <w:p w14:paraId="3D947C89" w14:textId="235E2985" w:rsidR="008A3A4C" w:rsidRDefault="008A3A4C" w:rsidP="00265D8C">
      <w:pPr>
        <w:suppressAutoHyphens w:val="0"/>
        <w:autoSpaceDN/>
        <w:spacing w:before="0" w:after="140"/>
        <w:textAlignment w:val="auto"/>
        <w:rPr>
          <w:rFonts w:eastAsia="Calibri"/>
          <w:color w:val="auto"/>
          <w:lang w:val="es-ES"/>
        </w:rPr>
      </w:pPr>
      <w:r>
        <w:rPr>
          <w:rFonts w:eastAsia="Calibri"/>
          <w:color w:val="auto"/>
          <w:lang w:val="es-ES"/>
        </w:rPr>
        <w:t>Estos apéndices</w:t>
      </w:r>
      <w:r w:rsidR="00380F8C">
        <w:rPr>
          <w:rFonts w:eastAsia="Calibri"/>
          <w:color w:val="auto"/>
          <w:lang w:val="es-ES"/>
        </w:rPr>
        <w:t xml:space="preserve"> incorporan por referencia</w:t>
      </w:r>
      <w:r w:rsidR="00915FCA">
        <w:rPr>
          <w:rStyle w:val="FootnoteReference"/>
          <w:rFonts w:eastAsia="Calibri"/>
          <w:color w:val="auto"/>
        </w:rPr>
        <w:footnoteReference w:id="36"/>
      </w:r>
      <w:r w:rsidR="00380F8C">
        <w:rPr>
          <w:rFonts w:eastAsia="Calibri"/>
          <w:color w:val="auto"/>
          <w:lang w:val="es-ES"/>
        </w:rPr>
        <w:t xml:space="preserve"> una serie de normas de medición y guías técnicas publicadas por IES y ANSI, además de algunas normas IEC e informes técnicos de la Comisión Internacional de Iluminación (CIE). El Anexo </w:t>
      </w:r>
      <w:r w:rsidR="00E21CB6">
        <w:rPr>
          <w:rFonts w:eastAsia="Calibri"/>
          <w:color w:val="auto"/>
          <w:lang w:val="es-ES"/>
        </w:rPr>
        <w:t>8</w:t>
      </w:r>
      <w:r w:rsidR="00380F8C">
        <w:rPr>
          <w:rFonts w:eastAsia="Calibri"/>
          <w:color w:val="auto"/>
          <w:lang w:val="es-ES"/>
        </w:rPr>
        <w:t xml:space="preserve"> muestra </w:t>
      </w:r>
      <w:r w:rsidR="00915FCA">
        <w:rPr>
          <w:rFonts w:eastAsia="Calibri"/>
          <w:color w:val="auto"/>
          <w:lang w:val="es-ES"/>
        </w:rPr>
        <w:t>la lista</w:t>
      </w:r>
      <w:r w:rsidR="00380F8C" w:rsidRPr="00380F8C">
        <w:rPr>
          <w:rFonts w:eastAsia="Calibri"/>
          <w:color w:val="auto"/>
          <w:lang w:val="es-ES"/>
        </w:rPr>
        <w:t xml:space="preserve"> completa de </w:t>
      </w:r>
      <w:r w:rsidR="00915FCA">
        <w:rPr>
          <w:rFonts w:eastAsia="Calibri"/>
          <w:color w:val="auto"/>
          <w:lang w:val="es-ES"/>
        </w:rPr>
        <w:t xml:space="preserve">los </w:t>
      </w:r>
      <w:r w:rsidR="00380F8C" w:rsidRPr="00380F8C">
        <w:rPr>
          <w:rFonts w:eastAsia="Calibri"/>
          <w:color w:val="auto"/>
          <w:lang w:val="es-ES"/>
        </w:rPr>
        <w:t>métodos de prueba para productos de iluminación de acuerdo a Subpart B §430.23,</w:t>
      </w:r>
      <w:r w:rsidR="00E20284">
        <w:rPr>
          <w:rFonts w:eastAsia="Calibri"/>
          <w:color w:val="auto"/>
          <w:lang w:val="es-ES"/>
        </w:rPr>
        <w:t xml:space="preserve"> incluidas </w:t>
      </w:r>
      <w:r w:rsidR="00915FCA">
        <w:rPr>
          <w:rFonts w:eastAsia="Calibri"/>
          <w:color w:val="auto"/>
          <w:lang w:val="es-ES"/>
        </w:rPr>
        <w:t xml:space="preserve">las </w:t>
      </w:r>
      <w:r w:rsidR="00380F8C" w:rsidRPr="00380F8C">
        <w:rPr>
          <w:rFonts w:eastAsia="Calibri"/>
          <w:color w:val="auto"/>
          <w:lang w:val="es-ES"/>
        </w:rPr>
        <w:t>normas</w:t>
      </w:r>
      <w:r w:rsidR="00E20284">
        <w:rPr>
          <w:rFonts w:eastAsia="Calibri"/>
          <w:color w:val="auto"/>
          <w:lang w:val="es-ES"/>
        </w:rPr>
        <w:t xml:space="preserve"> y guías</w:t>
      </w:r>
      <w:r w:rsidR="00380F8C" w:rsidRPr="00380F8C">
        <w:rPr>
          <w:rFonts w:eastAsia="Calibri"/>
          <w:color w:val="auto"/>
          <w:lang w:val="es-ES"/>
        </w:rPr>
        <w:t xml:space="preserve"> incorporadas por referencia</w:t>
      </w:r>
      <w:r w:rsidR="00E20284">
        <w:rPr>
          <w:rFonts w:eastAsia="Calibri"/>
          <w:color w:val="auto"/>
          <w:lang w:val="es-ES"/>
        </w:rPr>
        <w:t xml:space="preserve">. </w:t>
      </w:r>
      <w:r w:rsidR="00FE32B7">
        <w:rPr>
          <w:rFonts w:eastAsia="Calibri"/>
          <w:color w:val="auto"/>
          <w:lang w:val="es-ES"/>
        </w:rPr>
        <w:t>Los métodos de IES no son equivalentes con normas internacionales IEC.</w:t>
      </w:r>
      <w:r w:rsidR="00FE32B7">
        <w:rPr>
          <w:rStyle w:val="FootnoteReference"/>
          <w:rFonts w:eastAsia="Calibri"/>
          <w:color w:val="auto"/>
        </w:rPr>
        <w:footnoteReference w:id="37"/>
      </w:r>
    </w:p>
    <w:p w14:paraId="36EC0D11" w14:textId="405FB03F" w:rsidR="00462343" w:rsidRPr="00462343" w:rsidRDefault="002E7F97" w:rsidP="00462343">
      <w:pPr>
        <w:pStyle w:val="Heading3"/>
        <w:rPr>
          <w:lang w:val="es-ES"/>
        </w:rPr>
      </w:pPr>
      <w:bookmarkStart w:id="35" w:name="_Toc516146005"/>
      <w:r>
        <w:rPr>
          <w:lang w:val="es-ES"/>
        </w:rPr>
        <w:lastRenderedPageBreak/>
        <w:t xml:space="preserve">Procedimientos de evaluación de </w:t>
      </w:r>
      <w:r w:rsidR="00040E7F">
        <w:rPr>
          <w:lang w:val="es-ES"/>
        </w:rPr>
        <w:t xml:space="preserve">la </w:t>
      </w:r>
      <w:r>
        <w:rPr>
          <w:lang w:val="es-ES"/>
        </w:rPr>
        <w:t>conformidad</w:t>
      </w:r>
      <w:bookmarkEnd w:id="35"/>
    </w:p>
    <w:p w14:paraId="163613F5" w14:textId="0E53CAB9" w:rsidR="00BA0535" w:rsidRDefault="0021036E" w:rsidP="00542E6E">
      <w:pPr>
        <w:suppressAutoHyphens w:val="0"/>
        <w:autoSpaceDN/>
        <w:spacing w:before="0" w:after="140"/>
        <w:textAlignment w:val="auto"/>
        <w:rPr>
          <w:rFonts w:eastAsia="Calibri"/>
          <w:color w:val="auto"/>
          <w:lang w:val="es-ES"/>
        </w:rPr>
      </w:pPr>
      <w:r>
        <w:rPr>
          <w:rFonts w:eastAsia="Calibri"/>
          <w:color w:val="auto"/>
          <w:lang w:val="es-ES"/>
        </w:rPr>
        <w:t xml:space="preserve">Los procedimientos para la </w:t>
      </w:r>
      <w:r w:rsidR="005F0027">
        <w:rPr>
          <w:rFonts w:eastAsia="Calibri"/>
          <w:color w:val="auto"/>
          <w:lang w:val="es-ES"/>
        </w:rPr>
        <w:t>certificación están incluidos en el</w:t>
      </w:r>
      <w:r w:rsidR="00040E7F">
        <w:rPr>
          <w:rFonts w:eastAsia="Calibri"/>
          <w:color w:val="auto"/>
          <w:lang w:val="es-ES"/>
        </w:rPr>
        <w:t xml:space="preserve"> </w:t>
      </w:r>
      <w:r w:rsidR="00040E7F" w:rsidRPr="00040E7F">
        <w:rPr>
          <w:rFonts w:eastAsia="Calibri"/>
          <w:color w:val="auto"/>
          <w:lang w:val="es-ES"/>
        </w:rPr>
        <w:t>Código de Reglamentos Federales (</w:t>
      </w:r>
      <w:r w:rsidR="00040E7F" w:rsidRPr="00040E7F">
        <w:rPr>
          <w:rFonts w:eastAsia="Calibri"/>
          <w:i/>
          <w:color w:val="auto"/>
          <w:lang w:val="es-ES"/>
        </w:rPr>
        <w:t>Code of Federal Regulations</w:t>
      </w:r>
      <w:r w:rsidR="00040E7F">
        <w:rPr>
          <w:rFonts w:eastAsia="Calibri"/>
          <w:color w:val="auto"/>
          <w:lang w:val="es-ES"/>
        </w:rPr>
        <w:t>) bajo el rubro</w:t>
      </w:r>
      <w:r w:rsidR="005F0027">
        <w:rPr>
          <w:rFonts w:eastAsia="Calibri"/>
          <w:color w:val="auto"/>
          <w:lang w:val="es-ES"/>
        </w:rPr>
        <w:t xml:space="preserve"> </w:t>
      </w:r>
      <w:r w:rsidR="006C09AC">
        <w:rPr>
          <w:rFonts w:eastAsia="Calibri"/>
          <w:color w:val="auto"/>
          <w:lang w:val="es-ES"/>
        </w:rPr>
        <w:t>"</w:t>
      </w:r>
      <w:r w:rsidR="003260C8" w:rsidRPr="006C09AC">
        <w:rPr>
          <w:rFonts w:eastAsia="Calibri"/>
          <w:i/>
          <w:color w:val="auto"/>
          <w:lang w:val="es-ES"/>
        </w:rPr>
        <w:t>Enfor</w:t>
      </w:r>
      <w:r w:rsidR="005F0027" w:rsidRPr="006C09AC">
        <w:rPr>
          <w:rFonts w:eastAsia="Calibri"/>
          <w:i/>
          <w:color w:val="auto"/>
          <w:lang w:val="es-ES"/>
        </w:rPr>
        <w:t>c</w:t>
      </w:r>
      <w:r w:rsidR="003260C8" w:rsidRPr="006C09AC">
        <w:rPr>
          <w:rFonts w:eastAsia="Calibri"/>
          <w:i/>
          <w:color w:val="auto"/>
          <w:lang w:val="es-ES"/>
        </w:rPr>
        <w:t>ement for Consumer Products and Commercial and Industrial Equipment</w:t>
      </w:r>
      <w:r w:rsidR="006C09AC" w:rsidRPr="006C09AC">
        <w:rPr>
          <w:rFonts w:eastAsia="Calibri"/>
          <w:color w:val="auto"/>
          <w:lang w:val="es-ES"/>
        </w:rPr>
        <w:t>"</w:t>
      </w:r>
      <w:r w:rsidR="0098135A">
        <w:rPr>
          <w:rFonts w:eastAsia="Calibri"/>
          <w:color w:val="auto"/>
          <w:lang w:val="es-ES"/>
        </w:rPr>
        <w:t xml:space="preserve"> mencionado</w:t>
      </w:r>
      <w:r w:rsidR="003260C8">
        <w:rPr>
          <w:rFonts w:eastAsia="Calibri"/>
          <w:color w:val="auto"/>
          <w:lang w:val="es-ES"/>
        </w:rPr>
        <w:t>.</w:t>
      </w:r>
      <w:r w:rsidR="003260C8">
        <w:rPr>
          <w:rStyle w:val="FootnoteReference"/>
          <w:rFonts w:eastAsia="Calibri"/>
          <w:color w:val="auto"/>
        </w:rPr>
        <w:footnoteReference w:id="38"/>
      </w:r>
      <w:r w:rsidR="003260C8">
        <w:rPr>
          <w:rFonts w:eastAsia="Calibri"/>
          <w:color w:val="auto"/>
          <w:lang w:val="es-ES"/>
        </w:rPr>
        <w:t xml:space="preserve"> </w:t>
      </w:r>
      <w:r w:rsidR="008668B7">
        <w:rPr>
          <w:rFonts w:eastAsia="Calibri"/>
          <w:color w:val="auto"/>
          <w:lang w:val="es-ES"/>
        </w:rPr>
        <w:t>Incluye los requisitos de certificación de (i) balastos para lámparas fluorescentes (</w:t>
      </w:r>
      <w:r w:rsidR="008668B7">
        <w:rPr>
          <w:rFonts w:eastAsia="Calibri" w:cs="Calibri"/>
          <w:color w:val="auto"/>
          <w:lang w:val="es-ES"/>
        </w:rPr>
        <w:t>§</w:t>
      </w:r>
      <w:r w:rsidR="008668B7">
        <w:rPr>
          <w:rFonts w:eastAsia="Calibri"/>
          <w:color w:val="auto"/>
          <w:lang w:val="es-ES"/>
        </w:rPr>
        <w:t>429.26), (ii) lámparas fluorescentes de uso general, lámparas incandescentes de uso general y lámparas incandescentes con reflector (</w:t>
      </w:r>
      <w:r w:rsidR="008668B7" w:rsidRPr="008668B7">
        <w:rPr>
          <w:rFonts w:eastAsia="Calibri"/>
          <w:color w:val="auto"/>
          <w:lang w:val="es-ES"/>
        </w:rPr>
        <w:t>§</w:t>
      </w:r>
      <w:r w:rsidR="008668B7">
        <w:rPr>
          <w:rFonts w:eastAsia="Calibri"/>
          <w:color w:val="auto"/>
          <w:lang w:val="es-ES"/>
        </w:rPr>
        <w:t>429.27</w:t>
      </w:r>
      <w:r w:rsidR="00350170">
        <w:rPr>
          <w:rFonts w:eastAsia="Calibri"/>
          <w:color w:val="auto"/>
          <w:lang w:val="es-ES"/>
        </w:rPr>
        <w:t>), (iii) LFC (</w:t>
      </w:r>
      <w:r w:rsidR="00350170">
        <w:rPr>
          <w:rFonts w:eastAsia="Calibri" w:cs="Calibri"/>
          <w:color w:val="auto"/>
          <w:lang w:val="es-ES"/>
        </w:rPr>
        <w:t>§</w:t>
      </w:r>
      <w:r w:rsidR="00350170">
        <w:rPr>
          <w:rFonts w:eastAsia="Calibri"/>
          <w:color w:val="auto"/>
          <w:lang w:val="es-ES"/>
        </w:rPr>
        <w:t>429.35), (iv) lámparas LED integradas (</w:t>
      </w:r>
      <w:r w:rsidR="005F0027" w:rsidRPr="005F0027">
        <w:rPr>
          <w:rFonts w:eastAsia="Calibri"/>
          <w:color w:val="auto"/>
          <w:lang w:val="es-ES"/>
        </w:rPr>
        <w:t>§</w:t>
      </w:r>
      <w:r w:rsidR="00350170">
        <w:rPr>
          <w:rFonts w:eastAsia="Calibri"/>
          <w:color w:val="auto"/>
          <w:lang w:val="es-ES"/>
        </w:rPr>
        <w:t>429.56),</w:t>
      </w:r>
      <w:r w:rsidR="005F0027">
        <w:rPr>
          <w:rFonts w:eastAsia="Calibri"/>
          <w:color w:val="auto"/>
          <w:lang w:val="es-ES"/>
        </w:rPr>
        <w:t xml:space="preserve"> y lámparas de servicio general (</w:t>
      </w:r>
      <w:r w:rsidR="005F0027" w:rsidRPr="005F0027">
        <w:rPr>
          <w:rFonts w:eastAsia="Calibri"/>
          <w:color w:val="auto"/>
          <w:lang w:val="es-ES"/>
        </w:rPr>
        <w:t>§429.5</w:t>
      </w:r>
      <w:r w:rsidR="005F0027">
        <w:rPr>
          <w:rFonts w:eastAsia="Calibri"/>
          <w:color w:val="auto"/>
          <w:lang w:val="es-ES"/>
        </w:rPr>
        <w:t xml:space="preserve">7). La clasificación de lámparas corresponde a la clasificación en los reglamentos de desempeño energético mínimo. </w:t>
      </w:r>
      <w:r w:rsidR="006C09AC">
        <w:rPr>
          <w:rFonts w:eastAsia="Calibri"/>
          <w:color w:val="auto"/>
          <w:lang w:val="es-ES"/>
        </w:rPr>
        <w:t>I</w:t>
      </w:r>
      <w:r w:rsidR="005F0027">
        <w:rPr>
          <w:rFonts w:eastAsia="Calibri"/>
          <w:color w:val="auto"/>
          <w:lang w:val="es-ES"/>
        </w:rPr>
        <w:t>ncluyen estipulaciones con respecto al muestreo</w:t>
      </w:r>
      <w:r w:rsidR="00AD7657">
        <w:rPr>
          <w:rFonts w:eastAsia="Calibri"/>
          <w:color w:val="auto"/>
          <w:lang w:val="es-ES"/>
        </w:rPr>
        <w:t xml:space="preserve"> (para los ensayos de las características de eficacia y funcionalidad estipulados en los estándares de desempeño energétic</w:t>
      </w:r>
      <w:r w:rsidR="00252B17">
        <w:rPr>
          <w:rFonts w:eastAsia="Calibri"/>
          <w:color w:val="auto"/>
          <w:lang w:val="es-ES"/>
        </w:rPr>
        <w:t>o</w:t>
      </w:r>
      <w:r w:rsidR="00AD7657">
        <w:rPr>
          <w:rFonts w:eastAsia="Calibri"/>
          <w:color w:val="auto"/>
          <w:lang w:val="es-ES"/>
        </w:rPr>
        <w:t xml:space="preserve"> mínimo correspondientes)</w:t>
      </w:r>
      <w:r w:rsidR="005F0027">
        <w:rPr>
          <w:rFonts w:eastAsia="Calibri"/>
          <w:color w:val="auto"/>
          <w:lang w:val="es-ES"/>
        </w:rPr>
        <w:t xml:space="preserve">, los informes de certificación y la presentación de los datos de los ensayos. </w:t>
      </w:r>
      <w:r w:rsidR="00506FD6">
        <w:rPr>
          <w:rFonts w:eastAsia="Calibri"/>
          <w:color w:val="auto"/>
          <w:lang w:val="es-ES"/>
        </w:rPr>
        <w:t>Los informes de certificación deben incluir los resultados de los respectivos ensayos y deben someterse antes de comercializar un nuevo modelo y luego anualmente.</w:t>
      </w:r>
      <w:r w:rsidR="008700D9">
        <w:rPr>
          <w:rStyle w:val="FootnoteReference"/>
          <w:rFonts w:eastAsia="Calibri"/>
          <w:color w:val="auto"/>
        </w:rPr>
        <w:footnoteReference w:id="39"/>
      </w:r>
      <w:r w:rsidR="00506FD6">
        <w:rPr>
          <w:rFonts w:eastAsia="Calibri"/>
          <w:color w:val="auto"/>
          <w:lang w:val="es-ES"/>
        </w:rPr>
        <w:t xml:space="preserve"> </w:t>
      </w:r>
      <w:r w:rsidR="00473804">
        <w:rPr>
          <w:rFonts w:eastAsia="Calibri"/>
          <w:color w:val="auto"/>
          <w:lang w:val="es-ES"/>
        </w:rPr>
        <w:t>Los informes de certificación deben incluir el número de identificación ILAC del organismo de acreditación del laboratorio de prueba</w:t>
      </w:r>
      <w:r w:rsidR="00506FD6">
        <w:rPr>
          <w:rFonts w:eastAsia="Calibri"/>
          <w:color w:val="auto"/>
          <w:lang w:val="es-ES"/>
        </w:rPr>
        <w:t>.</w:t>
      </w:r>
      <w:r w:rsidR="008700D9">
        <w:rPr>
          <w:rFonts w:eastAsia="Calibri"/>
          <w:color w:val="auto"/>
          <w:lang w:val="es-ES"/>
        </w:rPr>
        <w:t xml:space="preserve"> DOE proporciona plantillas on-line para los informes de certificación.</w:t>
      </w:r>
      <w:r w:rsidR="008700D9">
        <w:rPr>
          <w:rStyle w:val="FootnoteReference"/>
          <w:rFonts w:eastAsia="Calibri"/>
          <w:color w:val="auto"/>
        </w:rPr>
        <w:footnoteReference w:id="40"/>
      </w:r>
      <w:r w:rsidR="00473804">
        <w:rPr>
          <w:rFonts w:eastAsia="Calibri"/>
          <w:color w:val="auto"/>
          <w:lang w:val="es-ES"/>
        </w:rPr>
        <w:t xml:space="preserve">  </w:t>
      </w:r>
    </w:p>
    <w:p w14:paraId="31221C8E" w14:textId="097326DB" w:rsidR="007C68E6" w:rsidRPr="007C68E6" w:rsidRDefault="007C68E6" w:rsidP="007C68E6">
      <w:pPr>
        <w:pStyle w:val="Heading3"/>
        <w:rPr>
          <w:lang w:val="es-ES"/>
        </w:rPr>
      </w:pPr>
      <w:bookmarkStart w:id="36" w:name="_Toc516146006"/>
      <w:r>
        <w:rPr>
          <w:lang w:val="es-ES"/>
        </w:rPr>
        <w:t>Reglamento de etiquetado</w:t>
      </w:r>
      <w:bookmarkEnd w:id="36"/>
    </w:p>
    <w:p w14:paraId="1A90ED01" w14:textId="6BA1EBD6" w:rsidR="007C68E6" w:rsidRPr="000C7C1A" w:rsidRDefault="000332B8" w:rsidP="007C68E6">
      <w:pPr>
        <w:suppressAutoHyphens w:val="0"/>
        <w:autoSpaceDN/>
        <w:spacing w:before="0" w:after="140"/>
        <w:textAlignment w:val="auto"/>
        <w:rPr>
          <w:rFonts w:eastAsia="Calibri"/>
          <w:color w:val="auto"/>
          <w:lang w:val="es-ES"/>
        </w:rPr>
      </w:pPr>
      <w:r w:rsidRPr="000C7C1A">
        <w:rPr>
          <w:rFonts w:eastAsia="Calibri"/>
          <w:color w:val="auto"/>
          <w:lang w:val="es-ES"/>
        </w:rPr>
        <w:t xml:space="preserve">El </w:t>
      </w:r>
      <w:r w:rsidRPr="000C7C1A">
        <w:rPr>
          <w:rFonts w:eastAsia="Calibri"/>
          <w:i/>
          <w:color w:val="auto"/>
          <w:lang w:val="es-ES"/>
        </w:rPr>
        <w:t>Appliance Labeling Rule</w:t>
      </w:r>
      <w:r w:rsidRPr="000C7C1A">
        <w:rPr>
          <w:rFonts w:eastAsia="Calibri"/>
          <w:color w:val="auto"/>
          <w:lang w:val="es-ES"/>
        </w:rPr>
        <w:t xml:space="preserve"> de FTC incluye las estipulaciones para el etiquetado de lámparas.</w:t>
      </w:r>
      <w:r w:rsidRPr="000C7C1A">
        <w:rPr>
          <w:rStyle w:val="FootnoteReference"/>
          <w:rFonts w:eastAsia="Calibri"/>
          <w:color w:val="auto"/>
        </w:rPr>
        <w:footnoteReference w:id="41"/>
      </w:r>
      <w:r w:rsidR="00BF1B4A" w:rsidRPr="000C7C1A">
        <w:rPr>
          <w:rFonts w:eastAsia="Calibri"/>
          <w:color w:val="auto"/>
          <w:lang w:val="es-ES"/>
        </w:rPr>
        <w:t xml:space="preserve"> El reglamento requiere que la siguiente información debe estar incluida en la etiqueta</w:t>
      </w:r>
      <w:r w:rsidR="008B32D2" w:rsidRPr="000C7C1A">
        <w:rPr>
          <w:rFonts w:eastAsia="Calibri"/>
          <w:color w:val="auto"/>
          <w:lang w:val="es-ES"/>
        </w:rPr>
        <w:t>, que debe aparecer en el embalaje de la lámpara</w:t>
      </w:r>
      <w:r w:rsidR="00BF1B4A" w:rsidRPr="000C7C1A">
        <w:rPr>
          <w:rFonts w:eastAsia="Calibri"/>
          <w:color w:val="auto"/>
          <w:lang w:val="es-ES"/>
        </w:rPr>
        <w:t xml:space="preserve">: </w:t>
      </w:r>
    </w:p>
    <w:p w14:paraId="2466934D" w14:textId="43004F93" w:rsidR="008B32D2" w:rsidRPr="000C7C1A" w:rsidRDefault="005275EE" w:rsidP="001404E7">
      <w:pPr>
        <w:pStyle w:val="ListParagraph"/>
        <w:numPr>
          <w:ilvl w:val="0"/>
          <w:numId w:val="29"/>
        </w:numPr>
        <w:suppressAutoHyphens w:val="0"/>
        <w:autoSpaceDN/>
        <w:spacing w:before="0" w:after="140"/>
        <w:textAlignment w:val="auto"/>
        <w:rPr>
          <w:rFonts w:eastAsia="Calibri"/>
          <w:color w:val="auto"/>
          <w:lang w:val="es-ES"/>
        </w:rPr>
      </w:pPr>
      <w:r w:rsidRPr="000C7C1A">
        <w:rPr>
          <w:rFonts w:eastAsia="Calibri"/>
          <w:color w:val="auto"/>
          <w:lang w:val="es-ES"/>
        </w:rPr>
        <w:t>La luminosidad de la lámpara incluida en el embalaje, expresada como "Brillo" (en lumen);</w:t>
      </w:r>
    </w:p>
    <w:p w14:paraId="590E75DD" w14:textId="0198DB07" w:rsidR="008B32D2" w:rsidRPr="000C7C1A" w:rsidRDefault="005275EE" w:rsidP="001404E7">
      <w:pPr>
        <w:pStyle w:val="ListParagraph"/>
        <w:numPr>
          <w:ilvl w:val="0"/>
          <w:numId w:val="29"/>
        </w:numPr>
        <w:suppressAutoHyphens w:val="0"/>
        <w:autoSpaceDN/>
        <w:spacing w:before="0" w:after="140"/>
        <w:textAlignment w:val="auto"/>
        <w:rPr>
          <w:rFonts w:eastAsia="Calibri"/>
          <w:color w:val="auto"/>
          <w:lang w:val="es-ES"/>
        </w:rPr>
      </w:pPr>
      <w:r w:rsidRPr="000C7C1A">
        <w:rPr>
          <w:rFonts w:eastAsia="Calibri"/>
          <w:color w:val="auto"/>
          <w:lang w:val="es-ES"/>
        </w:rPr>
        <w:t>El costo de energía anual estimado, expresado como "Costo de energía estimado" (basado en el uso de 3 horas por día y US $ 0,11 / kWh);</w:t>
      </w:r>
    </w:p>
    <w:p w14:paraId="43A4FC82" w14:textId="026D25E0" w:rsidR="008B32D2" w:rsidRPr="000C7C1A" w:rsidRDefault="005275EE" w:rsidP="001404E7">
      <w:pPr>
        <w:pStyle w:val="ListParagraph"/>
        <w:numPr>
          <w:ilvl w:val="0"/>
          <w:numId w:val="29"/>
        </w:numPr>
        <w:suppressAutoHyphens w:val="0"/>
        <w:autoSpaceDN/>
        <w:spacing w:before="0" w:after="140"/>
        <w:textAlignment w:val="auto"/>
        <w:rPr>
          <w:rFonts w:eastAsia="Calibri"/>
          <w:color w:val="auto"/>
          <w:lang w:val="es-ES"/>
        </w:rPr>
      </w:pPr>
      <w:r w:rsidRPr="000C7C1A">
        <w:rPr>
          <w:rFonts w:eastAsia="Calibri"/>
          <w:color w:val="auto"/>
          <w:lang w:val="es-ES"/>
        </w:rPr>
        <w:t>La vida útil de la lámpara, expresada en años (basada en 3 horas de operación por día);</w:t>
      </w:r>
    </w:p>
    <w:p w14:paraId="151B2795" w14:textId="77777777" w:rsidR="005C7727" w:rsidRPr="000C7C1A" w:rsidRDefault="008B32D2" w:rsidP="001404E7">
      <w:pPr>
        <w:pStyle w:val="ListParagraph"/>
        <w:numPr>
          <w:ilvl w:val="0"/>
          <w:numId w:val="29"/>
        </w:numPr>
        <w:suppressAutoHyphens w:val="0"/>
        <w:autoSpaceDN/>
        <w:spacing w:before="0" w:after="140"/>
        <w:textAlignment w:val="auto"/>
        <w:rPr>
          <w:rFonts w:eastAsia="Calibri"/>
          <w:color w:val="auto"/>
          <w:lang w:val="es-ES"/>
        </w:rPr>
      </w:pPr>
      <w:r w:rsidRPr="000C7C1A">
        <w:rPr>
          <w:rFonts w:eastAsia="Calibri"/>
          <w:color w:val="auto"/>
          <w:lang w:val="es-ES"/>
        </w:rPr>
        <w:t xml:space="preserve">La indicación de contenido de mercurio de la lámpara </w:t>
      </w:r>
      <w:r w:rsidR="005C7727" w:rsidRPr="000C7C1A">
        <w:rPr>
          <w:rFonts w:eastAsia="Calibri"/>
          <w:color w:val="auto"/>
          <w:lang w:val="es-ES"/>
        </w:rPr>
        <w:t>y el enlace a epa.gov.cfl que contiene información sobre el reciclaje y la eliminación del mercurio.</w:t>
      </w:r>
    </w:p>
    <w:p w14:paraId="67ED8032" w14:textId="6CB6212D" w:rsidR="008B32D2" w:rsidRPr="000C7C1A" w:rsidRDefault="005C7727" w:rsidP="007C68E6">
      <w:pPr>
        <w:suppressAutoHyphens w:val="0"/>
        <w:autoSpaceDN/>
        <w:spacing w:before="0" w:after="140"/>
        <w:textAlignment w:val="auto"/>
        <w:rPr>
          <w:rFonts w:eastAsia="Calibri"/>
          <w:color w:val="auto"/>
          <w:lang w:val="es-ES"/>
        </w:rPr>
      </w:pPr>
      <w:r w:rsidRPr="000C7C1A">
        <w:rPr>
          <w:rFonts w:eastAsia="Calibri"/>
          <w:color w:val="auto"/>
          <w:lang w:val="es-ES"/>
        </w:rPr>
        <w:t xml:space="preserve">La figura </w:t>
      </w:r>
      <w:r w:rsidR="00E94210" w:rsidRPr="000C7C1A">
        <w:rPr>
          <w:rFonts w:eastAsia="Calibri"/>
          <w:color w:val="auto"/>
          <w:lang w:val="es-ES"/>
        </w:rPr>
        <w:t>4</w:t>
      </w:r>
      <w:r w:rsidRPr="000C7C1A">
        <w:rPr>
          <w:rFonts w:eastAsia="Calibri"/>
          <w:color w:val="auto"/>
          <w:lang w:val="es-ES"/>
        </w:rPr>
        <w:t xml:space="preserve"> muestra la etiqueta "</w:t>
      </w:r>
      <w:r w:rsidRPr="000C7C1A">
        <w:rPr>
          <w:rFonts w:eastAsia="Calibri"/>
          <w:i/>
          <w:color w:val="auto"/>
          <w:lang w:val="es-ES"/>
        </w:rPr>
        <w:t>Lighting facts</w:t>
      </w:r>
      <w:r w:rsidRPr="000C7C1A">
        <w:rPr>
          <w:rFonts w:eastAsia="Calibri"/>
          <w:color w:val="auto"/>
          <w:lang w:val="es-ES"/>
        </w:rPr>
        <w:t xml:space="preserve">" que incluye además información </w:t>
      </w:r>
      <w:r w:rsidR="00E94210" w:rsidRPr="000C7C1A">
        <w:rPr>
          <w:rFonts w:eastAsia="Calibri"/>
          <w:color w:val="auto"/>
          <w:lang w:val="es-ES"/>
        </w:rPr>
        <w:t xml:space="preserve">sobre la </w:t>
      </w:r>
      <w:r w:rsidR="0098135A">
        <w:rPr>
          <w:rFonts w:eastAsia="Calibri"/>
          <w:color w:val="auto"/>
          <w:lang w:val="es-ES"/>
        </w:rPr>
        <w:t>"</w:t>
      </w:r>
      <w:r w:rsidR="00E94210" w:rsidRPr="000C7C1A">
        <w:rPr>
          <w:rFonts w:eastAsia="Calibri"/>
          <w:color w:val="auto"/>
          <w:lang w:val="es-ES"/>
        </w:rPr>
        <w:t>ap</w:t>
      </w:r>
      <w:r w:rsidR="00A63946" w:rsidRPr="000C7C1A">
        <w:rPr>
          <w:rFonts w:eastAsia="Calibri"/>
          <w:color w:val="auto"/>
          <w:lang w:val="es-ES"/>
        </w:rPr>
        <w:t>a</w:t>
      </w:r>
      <w:r w:rsidR="00E94210" w:rsidRPr="000C7C1A">
        <w:rPr>
          <w:rFonts w:eastAsia="Calibri"/>
          <w:color w:val="auto"/>
          <w:lang w:val="es-ES"/>
        </w:rPr>
        <w:t>riencia de iluminación</w:t>
      </w:r>
      <w:r w:rsidR="0098135A">
        <w:rPr>
          <w:rFonts w:eastAsia="Calibri"/>
          <w:color w:val="auto"/>
          <w:lang w:val="es-ES"/>
        </w:rPr>
        <w:t>"</w:t>
      </w:r>
      <w:r w:rsidR="00E94210" w:rsidRPr="000C7C1A">
        <w:rPr>
          <w:rFonts w:eastAsia="Calibri"/>
          <w:color w:val="auto"/>
          <w:lang w:val="es-ES"/>
        </w:rPr>
        <w:t xml:space="preserve"> (temperatura de color)</w:t>
      </w:r>
      <w:r w:rsidRPr="000C7C1A">
        <w:rPr>
          <w:rFonts w:eastAsia="Calibri"/>
          <w:color w:val="auto"/>
          <w:lang w:val="es-ES"/>
        </w:rPr>
        <w:t>. Se permite también una etiqueta adicional en un segundo idioma o una etiqueta biling</w:t>
      </w:r>
      <w:r w:rsidR="004F0EF9" w:rsidRPr="000C7C1A">
        <w:rPr>
          <w:rFonts w:eastAsia="Calibri"/>
          <w:color w:val="auto"/>
          <w:lang w:val="es-ES"/>
        </w:rPr>
        <w:t>üe</w:t>
      </w:r>
      <w:r w:rsidRPr="000C7C1A">
        <w:rPr>
          <w:rFonts w:eastAsia="Calibri"/>
          <w:color w:val="auto"/>
          <w:lang w:val="es-ES"/>
        </w:rPr>
        <w:t xml:space="preserve">. </w:t>
      </w:r>
      <w:r w:rsidR="00E21CB6" w:rsidRPr="000C7C1A">
        <w:rPr>
          <w:rFonts w:eastAsia="Calibri"/>
          <w:color w:val="auto"/>
          <w:lang w:val="es-ES"/>
        </w:rPr>
        <w:t xml:space="preserve">Los productos calificados para </w:t>
      </w:r>
      <w:r w:rsidR="00E2467A">
        <w:rPr>
          <w:rFonts w:eastAsia="Calibri"/>
          <w:color w:val="auto"/>
          <w:lang w:val="es-ES"/>
        </w:rPr>
        <w:t>la marca</w:t>
      </w:r>
      <w:r w:rsidR="00E21CB6" w:rsidRPr="000C7C1A">
        <w:rPr>
          <w:rFonts w:eastAsia="Calibri"/>
          <w:color w:val="auto"/>
          <w:lang w:val="es-ES"/>
        </w:rPr>
        <w:t xml:space="preserve"> Energy Star</w:t>
      </w:r>
      <w:r w:rsidR="00E21CB6" w:rsidRPr="000C7C1A">
        <w:rPr>
          <w:rFonts w:eastAsia="Calibri" w:cs="Calibri"/>
          <w:color w:val="auto"/>
          <w:lang w:val="es-ES"/>
        </w:rPr>
        <w:t>®</w:t>
      </w:r>
      <w:r w:rsidR="00E21CB6" w:rsidRPr="000C7C1A">
        <w:rPr>
          <w:rFonts w:eastAsia="Calibri"/>
          <w:color w:val="auto"/>
          <w:lang w:val="es-ES"/>
        </w:rPr>
        <w:t xml:space="preserve"> pueden incluir este logo en la etiqueta. </w:t>
      </w:r>
      <w:r w:rsidRPr="000C7C1A">
        <w:rPr>
          <w:rFonts w:eastAsia="Calibri"/>
          <w:color w:val="auto"/>
          <w:lang w:val="es-ES"/>
        </w:rPr>
        <w:t xml:space="preserve">Para embalajes con dimensiones divergentes se permiten etiquetas alternativas que se muestran en el Anexo </w:t>
      </w:r>
      <w:r w:rsidR="004F0EF9" w:rsidRPr="000C7C1A">
        <w:rPr>
          <w:rFonts w:eastAsia="Calibri"/>
          <w:color w:val="auto"/>
          <w:lang w:val="es-ES"/>
        </w:rPr>
        <w:t xml:space="preserve">4, que </w:t>
      </w:r>
      <w:r w:rsidRPr="000C7C1A">
        <w:rPr>
          <w:rFonts w:eastAsia="Calibri"/>
          <w:color w:val="auto"/>
          <w:lang w:val="es-ES"/>
        </w:rPr>
        <w:t xml:space="preserve">incluye también el icono </w:t>
      </w:r>
      <w:r w:rsidR="00E21CB6" w:rsidRPr="000C7C1A">
        <w:rPr>
          <w:rFonts w:eastAsia="Calibri"/>
          <w:color w:val="auto"/>
          <w:lang w:val="es-ES"/>
        </w:rPr>
        <w:t>"</w:t>
      </w:r>
      <w:r w:rsidR="00E21CB6" w:rsidRPr="000C7C1A">
        <w:rPr>
          <w:rFonts w:eastAsia="Calibri"/>
          <w:i/>
          <w:color w:val="auto"/>
          <w:lang w:val="es-ES"/>
        </w:rPr>
        <w:t>Lighting facts</w:t>
      </w:r>
      <w:r w:rsidR="00E21CB6" w:rsidRPr="000C7C1A">
        <w:rPr>
          <w:rFonts w:eastAsia="Calibri"/>
          <w:color w:val="auto"/>
          <w:lang w:val="es-ES"/>
        </w:rPr>
        <w:t xml:space="preserve">" </w:t>
      </w:r>
      <w:r w:rsidRPr="000C7C1A">
        <w:rPr>
          <w:rFonts w:eastAsia="Calibri"/>
          <w:color w:val="auto"/>
          <w:lang w:val="es-ES"/>
        </w:rPr>
        <w:t xml:space="preserve">que debe estar incluido en </w:t>
      </w:r>
      <w:r w:rsidR="00E94210" w:rsidRPr="000C7C1A">
        <w:rPr>
          <w:rFonts w:eastAsia="Calibri"/>
          <w:color w:val="auto"/>
          <w:lang w:val="es-ES"/>
        </w:rPr>
        <w:t>sitios web comerciales.</w:t>
      </w:r>
      <w:r w:rsidRPr="000C7C1A">
        <w:rPr>
          <w:rFonts w:eastAsia="Calibri"/>
          <w:color w:val="auto"/>
          <w:lang w:val="es-ES"/>
        </w:rPr>
        <w:t xml:space="preserve"> </w:t>
      </w:r>
    </w:p>
    <w:p w14:paraId="3FAC7F54" w14:textId="4A4CCCFE" w:rsidR="00E94210" w:rsidRDefault="00E94210" w:rsidP="00E94210">
      <w:pPr>
        <w:pStyle w:val="Caption"/>
        <w:spacing w:after="0"/>
        <w:rPr>
          <w:lang w:val="es-ES"/>
        </w:rPr>
      </w:pPr>
      <w:r w:rsidRPr="00A96F74">
        <w:rPr>
          <w:lang w:val="es-ES"/>
        </w:rPr>
        <w:t xml:space="preserve">Figura </w:t>
      </w:r>
      <w:r w:rsidRPr="00A96F74">
        <w:rPr>
          <w:lang w:val="es-ES"/>
        </w:rPr>
        <w:fldChar w:fldCharType="begin"/>
      </w:r>
      <w:r w:rsidRPr="00A96F74">
        <w:rPr>
          <w:lang w:val="es-ES"/>
        </w:rPr>
        <w:instrText xml:space="preserve"> SEQ Figura \* ARABIC </w:instrText>
      </w:r>
      <w:r w:rsidRPr="00A96F74">
        <w:rPr>
          <w:lang w:val="es-ES"/>
        </w:rPr>
        <w:fldChar w:fldCharType="separate"/>
      </w:r>
      <w:r w:rsidR="005E6430">
        <w:rPr>
          <w:noProof/>
          <w:lang w:val="es-ES"/>
        </w:rPr>
        <w:t>4</w:t>
      </w:r>
      <w:r w:rsidRPr="00A96F74">
        <w:rPr>
          <w:noProof/>
          <w:lang w:val="es-ES"/>
        </w:rPr>
        <w:fldChar w:fldCharType="end"/>
      </w:r>
      <w:r w:rsidRPr="00A96F74">
        <w:rPr>
          <w:lang w:val="es-ES"/>
        </w:rPr>
        <w:t xml:space="preserve"> – </w:t>
      </w:r>
      <w:r>
        <w:rPr>
          <w:lang w:val="es-ES"/>
        </w:rPr>
        <w:t>E</w:t>
      </w:r>
      <w:r w:rsidR="005275EE">
        <w:rPr>
          <w:lang w:val="es-ES"/>
        </w:rPr>
        <w:t>ti</w:t>
      </w:r>
      <w:r>
        <w:rPr>
          <w:lang w:val="es-ES"/>
        </w:rPr>
        <w:t>queta "</w:t>
      </w:r>
      <w:r w:rsidRPr="005275EE">
        <w:rPr>
          <w:i/>
          <w:lang w:val="es-ES"/>
        </w:rPr>
        <w:t>Lighting Facts</w:t>
      </w:r>
      <w:r>
        <w:rPr>
          <w:lang w:val="es-ES"/>
        </w:rPr>
        <w:t>"</w:t>
      </w:r>
      <w:r w:rsidR="005275EE">
        <w:rPr>
          <w:lang w:val="es-ES"/>
        </w:rPr>
        <w:t xml:space="preserve"> de EE.UU. </w:t>
      </w:r>
      <w:r w:rsidRPr="00E2630F">
        <w:rPr>
          <w:lang w:val="es-ES"/>
        </w:rPr>
        <w:t xml:space="preserve">– </w:t>
      </w:r>
      <w:r w:rsidR="005275EE" w:rsidRPr="005275EE">
        <w:rPr>
          <w:lang w:val="es-ES"/>
        </w:rPr>
        <w:t>Versiones</w:t>
      </w:r>
      <w:r w:rsidR="005275EE">
        <w:rPr>
          <w:lang w:val="es-ES"/>
        </w:rPr>
        <w:t xml:space="preserve"> en inglés y bilingual</w:t>
      </w:r>
    </w:p>
    <w:p w14:paraId="579D8411" w14:textId="76384FEB" w:rsidR="00E94210" w:rsidRPr="005275EE" w:rsidRDefault="00E94210" w:rsidP="00E94210">
      <w:pPr>
        <w:spacing w:before="0" w:after="140"/>
        <w:jc w:val="center"/>
        <w:rPr>
          <w:color w:val="002B7F"/>
        </w:rPr>
      </w:pPr>
      <w:r w:rsidRPr="005275EE">
        <w:rPr>
          <w:i/>
          <w:color w:val="002B7F"/>
          <w:sz w:val="18"/>
        </w:rPr>
        <w:t>Fuente</w:t>
      </w:r>
      <w:r w:rsidRPr="005275EE">
        <w:rPr>
          <w:i/>
          <w:color w:val="002B7F"/>
        </w:rPr>
        <w:t>:</w:t>
      </w:r>
      <w:r w:rsidRPr="005275EE">
        <w:rPr>
          <w:color w:val="002B7F"/>
        </w:rPr>
        <w:t xml:space="preserve"> </w:t>
      </w:r>
      <w:r w:rsidR="005275EE" w:rsidRPr="005275EE">
        <w:rPr>
          <w:color w:val="002B7F"/>
          <w:sz w:val="18"/>
          <w:szCs w:val="18"/>
        </w:rPr>
        <w:t>e-CFR, Title 16, Chapter 1, Subchapter C, Subpart PART 305—Energy and Water Use Labeling for Consumer Products under the Energy Policy and Conservation Act (“Energy Labeling Rule”</w:t>
      </w:r>
      <w:r w:rsidR="00195F25">
        <w:rPr>
          <w:color w:val="002B7F"/>
          <w:sz w:val="18"/>
          <w:szCs w:val="18"/>
        </w:rPr>
        <w:t>, Appendix L</w:t>
      </w:r>
    </w:p>
    <w:p w14:paraId="6AEEFD33" w14:textId="105675CE" w:rsidR="00E94210" w:rsidRDefault="00E94210" w:rsidP="00E94210">
      <w:pPr>
        <w:suppressAutoHyphens w:val="0"/>
        <w:autoSpaceDN/>
        <w:spacing w:before="0" w:after="140"/>
        <w:jc w:val="center"/>
        <w:textAlignment w:val="auto"/>
        <w:rPr>
          <w:rFonts w:eastAsia="Calibri"/>
          <w:color w:val="auto"/>
          <w:lang w:val="es-ES"/>
        </w:rPr>
      </w:pPr>
      <w:r w:rsidRPr="00E94210">
        <w:rPr>
          <w:rFonts w:eastAsia="Calibri"/>
          <w:noProof/>
          <w:color w:val="auto"/>
          <w:lang w:val="en-US"/>
        </w:rPr>
        <w:lastRenderedPageBreak/>
        <w:drawing>
          <wp:inline distT="0" distB="0" distL="0" distR="0" wp14:anchorId="6B34E637" wp14:editId="4722468D">
            <wp:extent cx="2024862" cy="196145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0087" cy="2014950"/>
                    </a:xfrm>
                    <a:prstGeom prst="rect">
                      <a:avLst/>
                    </a:prstGeom>
                    <a:noFill/>
                    <a:ln>
                      <a:noFill/>
                    </a:ln>
                  </pic:spPr>
                </pic:pic>
              </a:graphicData>
            </a:graphic>
          </wp:inline>
        </w:drawing>
      </w:r>
      <w:r w:rsidRPr="00E94210">
        <w:rPr>
          <w:rFonts w:eastAsia="Calibri"/>
          <w:noProof/>
          <w:color w:val="auto"/>
          <w:lang w:val="en-US"/>
        </w:rPr>
        <w:drawing>
          <wp:inline distT="0" distB="0" distL="0" distR="0" wp14:anchorId="5FF22C30" wp14:editId="263E41B9">
            <wp:extent cx="2190750" cy="276200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7128" cy="2807873"/>
                    </a:xfrm>
                    <a:prstGeom prst="rect">
                      <a:avLst/>
                    </a:prstGeom>
                    <a:noFill/>
                    <a:ln>
                      <a:noFill/>
                    </a:ln>
                  </pic:spPr>
                </pic:pic>
              </a:graphicData>
            </a:graphic>
          </wp:inline>
        </w:drawing>
      </w:r>
    </w:p>
    <w:p w14:paraId="7F9D9137" w14:textId="1FDCD420" w:rsidR="00E5518A" w:rsidRDefault="004205D7" w:rsidP="00E5518A">
      <w:pPr>
        <w:pStyle w:val="Heading2"/>
        <w:rPr>
          <w:lang w:val="es-ES"/>
        </w:rPr>
      </w:pPr>
      <w:bookmarkStart w:id="37" w:name="_Toc516146007"/>
      <w:r>
        <w:rPr>
          <w:lang w:val="es-ES"/>
        </w:rPr>
        <w:t>Unión Europea</w:t>
      </w:r>
      <w:bookmarkEnd w:id="37"/>
    </w:p>
    <w:p w14:paraId="4C26B853" w14:textId="2223B782" w:rsidR="00BA0535" w:rsidRPr="00BA0535" w:rsidRDefault="00BA0535" w:rsidP="00BA0535">
      <w:pPr>
        <w:pStyle w:val="BodyText"/>
        <w:rPr>
          <w:lang w:val="es-ES"/>
        </w:rPr>
      </w:pPr>
      <w:r w:rsidRPr="00BA0535">
        <w:rPr>
          <w:lang w:val="es-ES"/>
        </w:rPr>
        <w:t>Los límites de desempeño energético mínimo para productos relacionados con la energía son definidos en los reglamentos de diseño e</w:t>
      </w:r>
      <w:r w:rsidR="00DF1DBE">
        <w:rPr>
          <w:lang w:val="es-ES"/>
        </w:rPr>
        <w:t>cológico</w:t>
      </w:r>
      <w:r w:rsidRPr="00BA0535">
        <w:rPr>
          <w:lang w:val="es-ES"/>
        </w:rPr>
        <w:t xml:space="preserve"> que son elaborados bajo la Directiva Europea de Diseño Ecológico 2009/125/CE.</w:t>
      </w:r>
      <w:r w:rsidR="00DF1DBE">
        <w:rPr>
          <w:rStyle w:val="FootnoteReference"/>
        </w:rPr>
        <w:footnoteReference w:id="42"/>
      </w:r>
      <w:r w:rsidRPr="00BA0535">
        <w:rPr>
          <w:lang w:val="es-ES"/>
        </w:rPr>
        <w:t xml:space="preserve"> La Directiva define el marco para el diseño ecológico de estos productos, definiendo su ámbito de aplicación, las reglas de introducción en el mercado o puesta en servicio, la designación de autoridades responsables de la vigilancia del mercado, las obligaciones de los importadores, las declaraciones de conformidad, los procedimientos de evaluación de conformidad, la preparación y la aplicación de Normas Europeas armonizadas, la cooperación administrativa y el intercambio de información entre las autoridades de los Estados Miembros, la información al consumidor, entre otras</w:t>
      </w:r>
      <w:r w:rsidR="00DF1DBE">
        <w:rPr>
          <w:lang w:val="es-ES"/>
        </w:rPr>
        <w:t xml:space="preserve"> estipulaciones</w:t>
      </w:r>
      <w:r w:rsidRPr="00BA0535">
        <w:rPr>
          <w:lang w:val="es-ES"/>
        </w:rPr>
        <w:t>. También define los criterios para la elaboración de reglamentos específicos para ciertos productos, llamados "medidas de ejecución".</w:t>
      </w:r>
      <w:r w:rsidR="00FA6DC4">
        <w:rPr>
          <w:lang w:val="es-ES"/>
        </w:rPr>
        <w:t xml:space="preserve"> </w:t>
      </w:r>
      <w:r w:rsidRPr="00BA0535">
        <w:rPr>
          <w:lang w:val="es-ES"/>
        </w:rPr>
        <w:t xml:space="preserve">En la actualidad, existen reglamentos específicos para </w:t>
      </w:r>
      <w:r w:rsidR="00FA6DC4">
        <w:rPr>
          <w:lang w:val="es-ES"/>
        </w:rPr>
        <w:t>cerca de</w:t>
      </w:r>
      <w:r w:rsidRPr="00BA0535">
        <w:rPr>
          <w:lang w:val="es-ES"/>
        </w:rPr>
        <w:t xml:space="preserve"> 30 productos.</w:t>
      </w:r>
      <w:r w:rsidR="00DF1DBE">
        <w:rPr>
          <w:rStyle w:val="FootnoteReference"/>
        </w:rPr>
        <w:footnoteReference w:id="43"/>
      </w:r>
    </w:p>
    <w:p w14:paraId="047A26A4" w14:textId="4FD95A35" w:rsidR="00BA0535" w:rsidRPr="00BA0535" w:rsidRDefault="00BA0535" w:rsidP="00B575AA">
      <w:pPr>
        <w:pStyle w:val="BodyText"/>
        <w:rPr>
          <w:lang w:val="es-ES"/>
        </w:rPr>
      </w:pPr>
      <w:r w:rsidRPr="00BA0535">
        <w:rPr>
          <w:lang w:val="es-ES"/>
        </w:rPr>
        <w:t xml:space="preserve">El alcance de la Directiva incluye no solamente productos </w:t>
      </w:r>
      <w:r w:rsidRPr="00FA6DC4">
        <w:rPr>
          <w:i/>
          <w:lang w:val="es-ES"/>
        </w:rPr>
        <w:t>consumidores</w:t>
      </w:r>
      <w:r w:rsidRPr="00BA0535">
        <w:rPr>
          <w:lang w:val="es-ES"/>
        </w:rPr>
        <w:t xml:space="preserve"> de energía, sino también productos </w:t>
      </w:r>
      <w:r w:rsidRPr="00FA6DC4">
        <w:rPr>
          <w:i/>
          <w:lang w:val="es-ES"/>
        </w:rPr>
        <w:t>relacionados al consumo</w:t>
      </w:r>
      <w:r w:rsidRPr="00BA0535">
        <w:rPr>
          <w:lang w:val="es-ES"/>
        </w:rPr>
        <w:t xml:space="preserve"> de la energía, como por ejemplo llantas</w:t>
      </w:r>
      <w:r w:rsidR="00FA6DC4">
        <w:rPr>
          <w:lang w:val="es-ES"/>
        </w:rPr>
        <w:t xml:space="preserve"> y </w:t>
      </w:r>
      <w:r w:rsidR="00FA6DC4" w:rsidRPr="00FA6DC4">
        <w:rPr>
          <w:lang w:val="es-ES"/>
        </w:rPr>
        <w:t>–</w:t>
      </w:r>
      <w:r w:rsidR="00FA6DC4">
        <w:rPr>
          <w:lang w:val="es-ES"/>
        </w:rPr>
        <w:t xml:space="preserve"> en el futuro </w:t>
      </w:r>
      <w:r w:rsidR="00FA6DC4" w:rsidRPr="00FA6DC4">
        <w:rPr>
          <w:lang w:val="es-ES"/>
        </w:rPr>
        <w:t>–</w:t>
      </w:r>
      <w:r w:rsidR="00FA6DC4">
        <w:rPr>
          <w:lang w:val="es-ES"/>
        </w:rPr>
        <w:t xml:space="preserve"> ventanas y grifos</w:t>
      </w:r>
      <w:r w:rsidRPr="00BA0535">
        <w:rPr>
          <w:lang w:val="es-ES"/>
        </w:rPr>
        <w:t>. Los reglamentos específicos para productos incluyen no solamente límites de desempeño energético, sino también otros requisitos ambientales, tal como: consumo de agua, emisiones de ruido, reciclabilidad, o – en el caso de los reglamentos para lámparas – características de calidad de la luz y otros parámetros de funcionalidad, así como requisitos ambientales (p.ej. límites de contenido de mercurio en el caso de las LFC), además de requisitos de información destinada a los usuarios finales.</w:t>
      </w:r>
      <w:r w:rsidR="00BC114F">
        <w:rPr>
          <w:lang w:val="es-ES"/>
        </w:rPr>
        <w:t xml:space="preserve"> Cada reglamento debe ser revisado de forma periódica, </w:t>
      </w:r>
      <w:r w:rsidR="00B575AA">
        <w:rPr>
          <w:lang w:val="es-ES"/>
        </w:rPr>
        <w:t xml:space="preserve">por lo general </w:t>
      </w:r>
      <w:r w:rsidR="00BC114F">
        <w:rPr>
          <w:lang w:val="es-ES"/>
        </w:rPr>
        <w:t xml:space="preserve">cinco años </w:t>
      </w:r>
      <w:r w:rsidR="00B575AA" w:rsidRPr="00B575AA">
        <w:rPr>
          <w:lang w:val="es-ES"/>
        </w:rPr>
        <w:t>después de su entrada en</w:t>
      </w:r>
      <w:r w:rsidR="00B575AA">
        <w:rPr>
          <w:lang w:val="es-ES"/>
        </w:rPr>
        <w:t xml:space="preserve"> </w:t>
      </w:r>
      <w:r w:rsidR="00B575AA" w:rsidRPr="00B575AA">
        <w:rPr>
          <w:lang w:val="es-ES"/>
        </w:rPr>
        <w:t>vigor</w:t>
      </w:r>
      <w:r w:rsidR="00B575AA">
        <w:rPr>
          <w:lang w:val="es-ES"/>
        </w:rPr>
        <w:t xml:space="preserve">. Varios reglamentos se encuentran bajo revisión en este momento. Además, se están preparando reglamentos para varios productos adicionales, en el marco del Plan de Trabajo de Diseño Ecológico </w:t>
      </w:r>
      <w:r w:rsidR="00571C61">
        <w:rPr>
          <w:lang w:val="es-ES"/>
        </w:rPr>
        <w:t>2016</w:t>
      </w:r>
      <w:r w:rsidR="00571C61" w:rsidRPr="00571C61">
        <w:rPr>
          <w:lang w:val="es-ES"/>
        </w:rPr>
        <w:t>–</w:t>
      </w:r>
      <w:r w:rsidR="00571C61">
        <w:rPr>
          <w:lang w:val="es-ES"/>
        </w:rPr>
        <w:t xml:space="preserve">2019 </w:t>
      </w:r>
      <w:r w:rsidR="00B575AA">
        <w:rPr>
          <w:lang w:val="es-ES"/>
        </w:rPr>
        <w:t>de la Comisión Europea.</w:t>
      </w:r>
      <w:r w:rsidR="00571C61">
        <w:rPr>
          <w:rStyle w:val="FootnoteReference"/>
        </w:rPr>
        <w:footnoteReference w:id="44"/>
      </w:r>
      <w:r w:rsidR="00B575AA">
        <w:rPr>
          <w:lang w:val="es-ES"/>
        </w:rPr>
        <w:t xml:space="preserve"> </w:t>
      </w:r>
      <w:r w:rsidR="00BC114F">
        <w:rPr>
          <w:lang w:val="es-ES"/>
        </w:rPr>
        <w:t xml:space="preserve"> </w:t>
      </w:r>
    </w:p>
    <w:p w14:paraId="264044C4" w14:textId="77777777" w:rsidR="00A25117" w:rsidRDefault="00BA0535" w:rsidP="00BA0535">
      <w:pPr>
        <w:pStyle w:val="BodyText"/>
        <w:rPr>
          <w:lang w:val="es-ES"/>
        </w:rPr>
      </w:pPr>
      <w:r w:rsidRPr="00BA0535">
        <w:rPr>
          <w:lang w:val="es-ES"/>
        </w:rPr>
        <w:t>De acuerdo</w:t>
      </w:r>
      <w:r w:rsidR="00FA6DC4">
        <w:rPr>
          <w:lang w:val="es-ES"/>
        </w:rPr>
        <w:t xml:space="preserve"> al Artículo 10 de la Directiva</w:t>
      </w:r>
      <w:r w:rsidR="00D24C6E">
        <w:rPr>
          <w:rStyle w:val="FootnoteReference"/>
        </w:rPr>
        <w:footnoteReference w:id="45"/>
      </w:r>
      <w:r w:rsidRPr="00BA0535">
        <w:rPr>
          <w:lang w:val="es-ES"/>
        </w:rPr>
        <w:t xml:space="preserve">, la </w:t>
      </w:r>
      <w:r w:rsidR="00FA6DC4">
        <w:rPr>
          <w:lang w:val="es-ES"/>
        </w:rPr>
        <w:t xml:space="preserve">Comisión Europea ha expedida </w:t>
      </w:r>
      <w:r w:rsidR="00D24C6E">
        <w:rPr>
          <w:lang w:val="es-ES"/>
        </w:rPr>
        <w:t>"mandatos" a los organismos europeos de normalización</w:t>
      </w:r>
      <w:r w:rsidRPr="00BA0535">
        <w:rPr>
          <w:lang w:val="es-ES"/>
        </w:rPr>
        <w:t xml:space="preserve"> CEN, CENELEC</w:t>
      </w:r>
      <w:r w:rsidR="00D24C6E">
        <w:rPr>
          <w:lang w:val="es-ES"/>
        </w:rPr>
        <w:t xml:space="preserve"> </w:t>
      </w:r>
      <w:r w:rsidR="00D24C6E" w:rsidRPr="00D24C6E">
        <w:rPr>
          <w:lang w:val="es-ES"/>
        </w:rPr>
        <w:t xml:space="preserve">y ETSU de elaborar normas europeas </w:t>
      </w:r>
      <w:r w:rsidR="00D24C6E" w:rsidRPr="00D24C6E">
        <w:rPr>
          <w:lang w:val="es-ES"/>
        </w:rPr>
        <w:lastRenderedPageBreak/>
        <w:t>armonizados para los productos regulados</w:t>
      </w:r>
      <w:r w:rsidR="00D24C6E">
        <w:rPr>
          <w:lang w:val="es-ES"/>
        </w:rPr>
        <w:t>. La elaboración de estas normas ha sido necesario para poder medir todos parámetros técnicos definidos en los reglamentos.</w:t>
      </w:r>
      <w:r w:rsidR="00D24C6E">
        <w:rPr>
          <w:rStyle w:val="FootnoteReference"/>
        </w:rPr>
        <w:footnoteReference w:id="46"/>
      </w:r>
      <w:r w:rsidR="00D24C6E">
        <w:rPr>
          <w:lang w:val="es-ES"/>
        </w:rPr>
        <w:t xml:space="preserve"> </w:t>
      </w:r>
      <w:r w:rsidRPr="00BA0535">
        <w:rPr>
          <w:lang w:val="es-ES"/>
        </w:rPr>
        <w:t xml:space="preserve"> </w:t>
      </w:r>
    </w:p>
    <w:p w14:paraId="53CD6CFB" w14:textId="2DE9C259" w:rsidR="00BA0535" w:rsidRDefault="00A25117" w:rsidP="00F26701">
      <w:pPr>
        <w:pStyle w:val="BodyText"/>
        <w:rPr>
          <w:lang w:val="es-ES"/>
        </w:rPr>
      </w:pPr>
      <w:r>
        <w:rPr>
          <w:lang w:val="es-ES"/>
        </w:rPr>
        <w:t xml:space="preserve">Mientras que la Directiva </w:t>
      </w:r>
      <w:r w:rsidRPr="00A25117">
        <w:rPr>
          <w:lang w:val="es-ES"/>
        </w:rPr>
        <w:t xml:space="preserve">Europea de Diseño Ecológico 2009/125/CE define el marco para </w:t>
      </w:r>
      <w:r>
        <w:rPr>
          <w:lang w:val="es-ES"/>
        </w:rPr>
        <w:t xml:space="preserve">los requisitos de </w:t>
      </w:r>
      <w:r w:rsidRPr="00A25117">
        <w:rPr>
          <w:lang w:val="es-ES"/>
        </w:rPr>
        <w:t xml:space="preserve">diseño ecológico </w:t>
      </w:r>
      <w:r>
        <w:rPr>
          <w:lang w:val="es-ES"/>
        </w:rPr>
        <w:t xml:space="preserve">de los productos relacionados </w:t>
      </w:r>
      <w:r w:rsidR="006C09AC">
        <w:rPr>
          <w:lang w:val="es-ES"/>
        </w:rPr>
        <w:t>con</w:t>
      </w:r>
      <w:r>
        <w:rPr>
          <w:lang w:val="es-ES"/>
        </w:rPr>
        <w:t xml:space="preserve"> la energía, la Directiva de Etiquetado</w:t>
      </w:r>
      <w:r w:rsidR="00291534">
        <w:rPr>
          <w:lang w:val="es-ES"/>
        </w:rPr>
        <w:t xml:space="preserve"> Energético 2010/30/UE</w:t>
      </w:r>
      <w:r w:rsidR="00291534">
        <w:rPr>
          <w:rStyle w:val="FootnoteReference"/>
        </w:rPr>
        <w:footnoteReference w:id="47"/>
      </w:r>
      <w:r>
        <w:rPr>
          <w:lang w:val="es-ES"/>
        </w:rPr>
        <w:t xml:space="preserve"> </w:t>
      </w:r>
      <w:r w:rsidR="0034543C">
        <w:rPr>
          <w:lang w:val="es-ES"/>
        </w:rPr>
        <w:t>(</w:t>
      </w:r>
      <w:r>
        <w:rPr>
          <w:lang w:val="es-ES"/>
        </w:rPr>
        <w:t>que</w:t>
      </w:r>
      <w:r w:rsidR="00586140">
        <w:rPr>
          <w:lang w:val="es-ES"/>
        </w:rPr>
        <w:t xml:space="preserve"> </w:t>
      </w:r>
      <w:r w:rsidR="0068223A">
        <w:rPr>
          <w:lang w:val="es-ES"/>
        </w:rPr>
        <w:t>estuvo</w:t>
      </w:r>
      <w:r w:rsidR="00586140">
        <w:rPr>
          <w:lang w:val="es-ES"/>
        </w:rPr>
        <w:t xml:space="preserve"> </w:t>
      </w:r>
      <w:r w:rsidR="0068223A">
        <w:rPr>
          <w:lang w:val="es-ES"/>
        </w:rPr>
        <w:t>en vigor</w:t>
      </w:r>
      <w:r w:rsidR="00586140">
        <w:rPr>
          <w:lang w:val="es-ES"/>
        </w:rPr>
        <w:t xml:space="preserve"> hasta el 1 de agosto de 2017</w:t>
      </w:r>
      <w:r w:rsidR="0034543C">
        <w:rPr>
          <w:rStyle w:val="FootnoteReference"/>
        </w:rPr>
        <w:footnoteReference w:id="48"/>
      </w:r>
      <w:r w:rsidR="0034543C">
        <w:rPr>
          <w:lang w:val="es-ES"/>
        </w:rPr>
        <w:t>)</w:t>
      </w:r>
      <w:r w:rsidR="00586140">
        <w:rPr>
          <w:lang w:val="es-ES"/>
        </w:rPr>
        <w:t xml:space="preserve">, ha </w:t>
      </w:r>
      <w:r>
        <w:rPr>
          <w:lang w:val="es-ES"/>
        </w:rPr>
        <w:t>defin</w:t>
      </w:r>
      <w:r w:rsidR="00586140">
        <w:rPr>
          <w:lang w:val="es-ES"/>
        </w:rPr>
        <w:t>ido</w:t>
      </w:r>
      <w:r>
        <w:rPr>
          <w:lang w:val="es-ES"/>
        </w:rPr>
        <w:t xml:space="preserve"> los requisitos marco de etiquetado</w:t>
      </w:r>
      <w:r w:rsidR="00BA0535" w:rsidRPr="00BA0535">
        <w:rPr>
          <w:lang w:val="es-ES"/>
        </w:rPr>
        <w:t xml:space="preserve"> </w:t>
      </w:r>
      <w:r>
        <w:rPr>
          <w:lang w:val="es-ES"/>
        </w:rPr>
        <w:t>energétic</w:t>
      </w:r>
      <w:r w:rsidR="001728C0">
        <w:rPr>
          <w:lang w:val="es-ES"/>
        </w:rPr>
        <w:t>o</w:t>
      </w:r>
      <w:r>
        <w:rPr>
          <w:lang w:val="es-ES"/>
        </w:rPr>
        <w:t>. Similar al diseño ecológico, existen reglamentos de etiquetado específicos para varios productos.</w:t>
      </w:r>
      <w:r w:rsidR="00291534">
        <w:rPr>
          <w:rStyle w:val="FootnoteReference"/>
        </w:rPr>
        <w:footnoteReference w:id="49"/>
      </w:r>
      <w:r w:rsidR="00BA0535" w:rsidRPr="00BA0535">
        <w:rPr>
          <w:lang w:val="es-ES"/>
        </w:rPr>
        <w:t xml:space="preserve"> </w:t>
      </w:r>
      <w:r w:rsidR="00B4298E">
        <w:rPr>
          <w:lang w:val="es-ES"/>
        </w:rPr>
        <w:t>El reglamento delegado (UE) 874/2012</w:t>
      </w:r>
      <w:r w:rsidR="00B84B59">
        <w:rPr>
          <w:lang w:val="es-ES"/>
        </w:rPr>
        <w:t xml:space="preserve"> (</w:t>
      </w:r>
      <w:r w:rsidR="0068223A">
        <w:rPr>
          <w:lang w:val="es-ES"/>
        </w:rPr>
        <w:t>que todavía está en vigor</w:t>
      </w:r>
      <w:r w:rsidR="00B84B59">
        <w:rPr>
          <w:lang w:val="es-ES"/>
        </w:rPr>
        <w:t>)</w:t>
      </w:r>
      <w:r w:rsidR="00B4298E">
        <w:rPr>
          <w:lang w:val="es-ES"/>
        </w:rPr>
        <w:t xml:space="preserve"> define el etiquetado para lámparas y luminarias.</w:t>
      </w:r>
      <w:r w:rsidR="00B4298E">
        <w:rPr>
          <w:rStyle w:val="FootnoteReference"/>
        </w:rPr>
        <w:footnoteReference w:id="50"/>
      </w:r>
      <w:r w:rsidR="00F26701">
        <w:rPr>
          <w:lang w:val="es-ES"/>
        </w:rPr>
        <w:t xml:space="preserve"> </w:t>
      </w:r>
      <w:r w:rsidR="00F26701" w:rsidRPr="00F26701">
        <w:rPr>
          <w:lang w:val="es-ES"/>
        </w:rPr>
        <w:t xml:space="preserve">Se prevé una modificación de </w:t>
      </w:r>
      <w:r w:rsidR="0068223A">
        <w:rPr>
          <w:lang w:val="es-ES"/>
        </w:rPr>
        <w:t>este reglamento delegado,</w:t>
      </w:r>
      <w:r w:rsidR="00F26701" w:rsidRPr="00F26701">
        <w:rPr>
          <w:lang w:val="es-ES"/>
        </w:rPr>
        <w:t xml:space="preserve"> </w:t>
      </w:r>
      <w:r w:rsidR="00586140">
        <w:rPr>
          <w:lang w:val="es-ES"/>
        </w:rPr>
        <w:t>de acuerdo</w:t>
      </w:r>
      <w:r w:rsidR="00F26701" w:rsidRPr="00F26701">
        <w:rPr>
          <w:lang w:val="es-ES"/>
        </w:rPr>
        <w:t xml:space="preserve"> </w:t>
      </w:r>
      <w:r w:rsidR="00586140">
        <w:rPr>
          <w:lang w:val="es-ES"/>
        </w:rPr>
        <w:t>a</w:t>
      </w:r>
      <w:r w:rsidR="0068223A">
        <w:rPr>
          <w:lang w:val="es-ES"/>
        </w:rPr>
        <w:t xml:space="preserve"> </w:t>
      </w:r>
      <w:r w:rsidR="00F26701" w:rsidRPr="00F26701">
        <w:rPr>
          <w:lang w:val="es-ES"/>
        </w:rPr>
        <w:t>l</w:t>
      </w:r>
      <w:r w:rsidR="0068223A">
        <w:rPr>
          <w:lang w:val="es-ES"/>
        </w:rPr>
        <w:t>as estipulaciones del</w:t>
      </w:r>
      <w:r w:rsidR="00F26701" w:rsidRPr="00F26701">
        <w:rPr>
          <w:lang w:val="es-ES"/>
        </w:rPr>
        <w:t xml:space="preserve"> </w:t>
      </w:r>
      <w:r w:rsidR="00586140">
        <w:rPr>
          <w:lang w:val="es-ES"/>
        </w:rPr>
        <w:t>nuevo Reglamento marco (</w:t>
      </w:r>
      <w:r w:rsidR="00586140" w:rsidRPr="00586140">
        <w:rPr>
          <w:lang w:val="es-ES"/>
        </w:rPr>
        <w:t>UE) 2017/1369</w:t>
      </w:r>
      <w:r w:rsidR="00F26701">
        <w:rPr>
          <w:lang w:val="es-ES"/>
        </w:rPr>
        <w:t xml:space="preserve"> de etiquetado energético.</w:t>
      </w:r>
      <w:r w:rsidR="00F26701">
        <w:rPr>
          <w:rStyle w:val="FootnoteReference"/>
        </w:rPr>
        <w:footnoteReference w:id="51"/>
      </w:r>
      <w:r w:rsidR="00F26701">
        <w:rPr>
          <w:lang w:val="es-ES"/>
        </w:rPr>
        <w:t xml:space="preserve"> En el marco de</w:t>
      </w:r>
      <w:r w:rsidR="00586140">
        <w:rPr>
          <w:lang w:val="es-ES"/>
        </w:rPr>
        <w:t>l nuevo reglamento para lámparas</w:t>
      </w:r>
      <w:r w:rsidR="001D62B6">
        <w:rPr>
          <w:lang w:val="es-ES"/>
        </w:rPr>
        <w:t xml:space="preserve">, que debe estar adoptado </w:t>
      </w:r>
      <w:r w:rsidR="00B84B59">
        <w:rPr>
          <w:lang w:val="es-ES"/>
        </w:rPr>
        <w:t>ha</w:t>
      </w:r>
      <w:r w:rsidR="00517BB2">
        <w:rPr>
          <w:lang w:val="es-ES"/>
        </w:rPr>
        <w:t>sta</w:t>
      </w:r>
      <w:r w:rsidR="00B84B59">
        <w:rPr>
          <w:lang w:val="es-ES"/>
        </w:rPr>
        <w:t xml:space="preserve"> el</w:t>
      </w:r>
      <w:r w:rsidR="001D62B6">
        <w:rPr>
          <w:lang w:val="es-ES"/>
        </w:rPr>
        <w:t xml:space="preserve"> 2 de noviembre de 2018,</w:t>
      </w:r>
      <w:r w:rsidR="00F26701">
        <w:rPr>
          <w:lang w:val="es-ES"/>
        </w:rPr>
        <w:t xml:space="preserve"> se reajustarán las clases de eficiencia energética en la etiqueta, eliminando las clases </w:t>
      </w:r>
      <w:bookmarkStart w:id="38" w:name="_Toc454792329"/>
      <w:r w:rsidR="00F26701">
        <w:rPr>
          <w:lang w:val="es-ES"/>
        </w:rPr>
        <w:t xml:space="preserve">A+ y A++, y se prevé la inclusión de un </w:t>
      </w:r>
      <w:r w:rsidR="00543D1A">
        <w:rPr>
          <w:lang w:val="es-ES"/>
        </w:rPr>
        <w:t>código QR.</w:t>
      </w:r>
      <w:r w:rsidR="00543D1A">
        <w:rPr>
          <w:rStyle w:val="FootnoteReference"/>
        </w:rPr>
        <w:footnoteReference w:id="52"/>
      </w:r>
    </w:p>
    <w:p w14:paraId="582987E9" w14:textId="5CFD26CF" w:rsidR="005330B9" w:rsidRPr="00A45A21" w:rsidRDefault="005330B9" w:rsidP="005330B9">
      <w:pPr>
        <w:pStyle w:val="Heading3"/>
        <w:rPr>
          <w:lang w:val="es-ES"/>
        </w:rPr>
      </w:pPr>
      <w:bookmarkStart w:id="39" w:name="_Toc516146008"/>
      <w:r>
        <w:rPr>
          <w:lang w:val="es-ES"/>
        </w:rPr>
        <w:t>Reglamentos de diseño ecológico</w:t>
      </w:r>
      <w:bookmarkEnd w:id="39"/>
    </w:p>
    <w:p w14:paraId="2DD949D0" w14:textId="0277CB2E" w:rsidR="003779CB" w:rsidRDefault="00AF5200" w:rsidP="00F26701">
      <w:pPr>
        <w:pStyle w:val="BodyText"/>
        <w:rPr>
          <w:lang w:val="es-ES"/>
        </w:rPr>
      </w:pPr>
      <w:r>
        <w:rPr>
          <w:lang w:val="es-ES"/>
        </w:rPr>
        <w:t xml:space="preserve">En la actualidad existen tres reglamentos de diseño ecológico para productos de iluminación (véase </w:t>
      </w:r>
      <w:r w:rsidR="00394B3B">
        <w:rPr>
          <w:lang w:val="es-ES"/>
        </w:rPr>
        <w:t xml:space="preserve">la </w:t>
      </w:r>
      <w:r>
        <w:rPr>
          <w:lang w:val="es-ES"/>
        </w:rPr>
        <w:t>tabla 2).</w:t>
      </w:r>
    </w:p>
    <w:p w14:paraId="7952653B" w14:textId="6567F7EA" w:rsidR="00E74A32" w:rsidRPr="00566934" w:rsidRDefault="00E74A32" w:rsidP="00E74A32">
      <w:pPr>
        <w:keepNext/>
        <w:keepLines/>
        <w:spacing w:before="0" w:after="0"/>
        <w:jc w:val="center"/>
        <w:rPr>
          <w:iCs/>
          <w:color w:val="002B7F"/>
          <w:szCs w:val="18"/>
          <w:lang w:val="es-ES"/>
        </w:rPr>
      </w:pPr>
      <w:r w:rsidRPr="00566934">
        <w:rPr>
          <w:iCs/>
          <w:color w:val="002B7F"/>
          <w:szCs w:val="18"/>
          <w:lang w:val="es-ES"/>
        </w:rPr>
        <w:t xml:space="preserve">Tabla </w:t>
      </w:r>
      <w:r w:rsidRPr="00566934">
        <w:rPr>
          <w:iCs/>
          <w:color w:val="002B7F"/>
          <w:szCs w:val="18"/>
          <w:lang w:val="es-ES"/>
        </w:rPr>
        <w:fldChar w:fldCharType="begin"/>
      </w:r>
      <w:r w:rsidRPr="00566934">
        <w:rPr>
          <w:iCs/>
          <w:color w:val="002B7F"/>
          <w:szCs w:val="18"/>
          <w:lang w:val="es-ES"/>
        </w:rPr>
        <w:instrText xml:space="preserve"> SEQ Tabla \* ARABIC </w:instrText>
      </w:r>
      <w:r w:rsidRPr="00566934">
        <w:rPr>
          <w:iCs/>
          <w:color w:val="002B7F"/>
          <w:szCs w:val="18"/>
          <w:lang w:val="es-ES"/>
        </w:rPr>
        <w:fldChar w:fldCharType="separate"/>
      </w:r>
      <w:r w:rsidR="005E6430">
        <w:rPr>
          <w:iCs/>
          <w:noProof/>
          <w:color w:val="002B7F"/>
          <w:szCs w:val="18"/>
          <w:lang w:val="es-ES"/>
        </w:rPr>
        <w:t>2</w:t>
      </w:r>
      <w:r w:rsidRPr="00566934">
        <w:rPr>
          <w:iCs/>
          <w:noProof/>
          <w:color w:val="002B7F"/>
          <w:szCs w:val="18"/>
          <w:lang w:val="es-ES"/>
        </w:rPr>
        <w:fldChar w:fldCharType="end"/>
      </w:r>
      <w:r w:rsidRPr="00566934">
        <w:rPr>
          <w:iCs/>
          <w:color w:val="002B7F"/>
          <w:szCs w:val="18"/>
          <w:lang w:val="es-ES"/>
        </w:rPr>
        <w:t xml:space="preserve"> – </w:t>
      </w:r>
      <w:r>
        <w:rPr>
          <w:iCs/>
          <w:color w:val="002B7F"/>
          <w:szCs w:val="18"/>
          <w:lang w:val="es-ES"/>
        </w:rPr>
        <w:t>Reglamentos</w:t>
      </w:r>
      <w:r w:rsidRPr="000B1B71">
        <w:rPr>
          <w:iCs/>
          <w:color w:val="002B7F"/>
          <w:szCs w:val="18"/>
          <w:lang w:val="es-ES"/>
        </w:rPr>
        <w:t xml:space="preserve"> de </w:t>
      </w:r>
      <w:r>
        <w:rPr>
          <w:iCs/>
          <w:color w:val="002B7F"/>
          <w:szCs w:val="18"/>
          <w:lang w:val="es-ES"/>
        </w:rPr>
        <w:t xml:space="preserve">diseño ecológico </w:t>
      </w:r>
      <w:r w:rsidRPr="000B1B71">
        <w:rPr>
          <w:iCs/>
          <w:color w:val="002B7F"/>
          <w:szCs w:val="18"/>
          <w:lang w:val="es-ES"/>
        </w:rPr>
        <w:t xml:space="preserve">para productos de iluminación – </w:t>
      </w:r>
      <w:r>
        <w:rPr>
          <w:iCs/>
          <w:color w:val="002B7F"/>
          <w:szCs w:val="18"/>
          <w:lang w:val="es-ES"/>
        </w:rPr>
        <w:t>Unión Europea</w:t>
      </w:r>
    </w:p>
    <w:p w14:paraId="69027BBF" w14:textId="3496D675" w:rsidR="00E74A32" w:rsidRPr="00AD6CDA" w:rsidRDefault="00E74A32" w:rsidP="00E74A32">
      <w:pPr>
        <w:suppressAutoHyphens w:val="0"/>
        <w:autoSpaceDN/>
        <w:spacing w:before="0" w:after="140"/>
        <w:jc w:val="center"/>
        <w:textAlignment w:val="auto"/>
        <w:rPr>
          <w:rFonts w:asciiTheme="minorHAnsi" w:eastAsia="Calibri" w:hAnsiTheme="minorHAnsi" w:cstheme="minorHAnsi"/>
          <w:color w:val="002B7F"/>
          <w:lang w:val="es-ES"/>
        </w:rPr>
      </w:pPr>
      <w:r w:rsidRPr="00AD6CDA">
        <w:rPr>
          <w:i/>
          <w:color w:val="002B7F"/>
          <w:sz w:val="18"/>
          <w:lang w:val="es-ES"/>
        </w:rPr>
        <w:t xml:space="preserve">Fuente: </w:t>
      </w:r>
      <w:r w:rsidRPr="00AD6CDA">
        <w:rPr>
          <w:rFonts w:cstheme="minorHAnsi"/>
          <w:color w:val="002B7F"/>
          <w:sz w:val="18"/>
          <w:lang w:val="es-PA"/>
        </w:rPr>
        <w:t>Elaboración propia</w:t>
      </w:r>
      <w:r>
        <w:rPr>
          <w:rFonts w:cstheme="minorHAnsi"/>
          <w:color w:val="002B7F"/>
          <w:sz w:val="18"/>
          <w:lang w:val="es-PA"/>
        </w:rPr>
        <w:t xml:space="preserve"> en base de los reglamentos mencionados</w:t>
      </w:r>
    </w:p>
    <w:tbl>
      <w:tblPr>
        <w:tblW w:w="5000" w:type="pct"/>
        <w:tblCellMar>
          <w:left w:w="10" w:type="dxa"/>
          <w:right w:w="10" w:type="dxa"/>
        </w:tblCellMar>
        <w:tblLook w:val="0000" w:firstRow="0" w:lastRow="0" w:firstColumn="0" w:lastColumn="0" w:noHBand="0" w:noVBand="0"/>
      </w:tblPr>
      <w:tblGrid>
        <w:gridCol w:w="3253"/>
        <w:gridCol w:w="5243"/>
      </w:tblGrid>
      <w:tr w:rsidR="00E74A32" w:rsidRPr="000D360C" w14:paraId="5752C5CC" w14:textId="77777777" w:rsidTr="00BC114F">
        <w:tc>
          <w:tcPr>
            <w:tcW w:w="3253"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1F523D35" w14:textId="00EEB8FB" w:rsidR="00E74A32" w:rsidRPr="00CC334B" w:rsidRDefault="00BC114F" w:rsidP="00BC114F">
            <w:pPr>
              <w:suppressAutoHyphens w:val="0"/>
              <w:spacing w:before="0" w:after="0"/>
              <w:jc w:val="center"/>
              <w:textAlignment w:val="auto"/>
              <w:rPr>
                <w:rFonts w:eastAsia="Times New Roman"/>
                <w:b/>
                <w:color w:val="FFFFFF" w:themeColor="background1"/>
                <w:lang w:val="es-ES"/>
              </w:rPr>
            </w:pPr>
            <w:r w:rsidRPr="00BC114F">
              <w:rPr>
                <w:rFonts w:eastAsia="Times New Roman"/>
                <w:b/>
                <w:color w:val="FFFFFF" w:themeColor="background1"/>
                <w:lang w:val="es-ES"/>
              </w:rPr>
              <w:t>Reglamentos para productos de iluminación bajo Directiva 2009/125/CE (Diseño ecológico)</w:t>
            </w:r>
          </w:p>
        </w:tc>
        <w:tc>
          <w:tcPr>
            <w:tcW w:w="5243" w:type="dxa"/>
            <w:tcBorders>
              <w:top w:val="single" w:sz="6" w:space="0" w:color="5B9BD5"/>
              <w:bottom w:val="single" w:sz="6" w:space="0" w:color="5B9BD5"/>
            </w:tcBorders>
            <w:shd w:val="clear" w:color="auto" w:fill="5B9BD5"/>
            <w:tcMar>
              <w:top w:w="0" w:type="dxa"/>
              <w:left w:w="108" w:type="dxa"/>
              <w:bottom w:w="0" w:type="dxa"/>
              <w:right w:w="108" w:type="dxa"/>
            </w:tcMar>
          </w:tcPr>
          <w:p w14:paraId="3102E688" w14:textId="77777777" w:rsidR="00E74A32" w:rsidRPr="00B56A15" w:rsidRDefault="00E74A32" w:rsidP="00BC114F">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Alcance</w:t>
            </w:r>
          </w:p>
        </w:tc>
      </w:tr>
      <w:tr w:rsidR="00E74A32" w:rsidRPr="00914127" w14:paraId="385C4129" w14:textId="77777777" w:rsidTr="00BC114F">
        <w:tc>
          <w:tcPr>
            <w:tcW w:w="325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838D63A" w14:textId="77777777" w:rsidR="00BC114F" w:rsidRPr="00BC114F" w:rsidRDefault="00BC114F" w:rsidP="00BC114F">
            <w:pPr>
              <w:suppressAutoHyphens w:val="0"/>
              <w:spacing w:before="0" w:after="0"/>
              <w:jc w:val="left"/>
              <w:textAlignment w:val="auto"/>
              <w:rPr>
                <w:rFonts w:eastAsia="Times New Roman"/>
                <w:lang w:val="es-ES"/>
              </w:rPr>
            </w:pPr>
            <w:r w:rsidRPr="00BC114F">
              <w:rPr>
                <w:rFonts w:eastAsia="Times New Roman"/>
                <w:lang w:val="es-ES"/>
              </w:rPr>
              <w:t>(CE) 244/2009</w:t>
            </w:r>
          </w:p>
          <w:p w14:paraId="177F538D" w14:textId="77777777" w:rsidR="00BC114F" w:rsidRPr="00BC114F" w:rsidRDefault="00BC114F" w:rsidP="00BC114F">
            <w:pPr>
              <w:suppressAutoHyphens w:val="0"/>
              <w:spacing w:before="0" w:after="0"/>
              <w:jc w:val="left"/>
              <w:textAlignment w:val="auto"/>
              <w:rPr>
                <w:rFonts w:eastAsia="Times New Roman"/>
                <w:lang w:val="es-ES"/>
              </w:rPr>
            </w:pPr>
            <w:r w:rsidRPr="00BC114F">
              <w:rPr>
                <w:rFonts w:eastAsia="Times New Roman"/>
                <w:lang w:val="es-ES"/>
              </w:rPr>
              <w:t>Lámparas de uso doméstico</w:t>
            </w:r>
          </w:p>
          <w:p w14:paraId="14C20B5F" w14:textId="21CD2ABC" w:rsidR="00E74A32" w:rsidRDefault="00BC114F" w:rsidP="00BC114F">
            <w:pPr>
              <w:suppressAutoHyphens w:val="0"/>
              <w:spacing w:before="0" w:after="0"/>
              <w:jc w:val="left"/>
              <w:textAlignment w:val="auto"/>
              <w:rPr>
                <w:rFonts w:eastAsia="Times New Roman"/>
                <w:lang w:val="es-ES"/>
              </w:rPr>
            </w:pPr>
            <w:r w:rsidRPr="00BC114F">
              <w:rPr>
                <w:rFonts w:eastAsia="Times New Roman"/>
                <w:lang w:val="es-ES"/>
              </w:rPr>
              <w:t>no direccionales</w:t>
            </w:r>
          </w:p>
        </w:tc>
        <w:tc>
          <w:tcPr>
            <w:tcW w:w="524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33AF880" w14:textId="7B0268F4" w:rsidR="00E74A32" w:rsidRPr="00316DB7" w:rsidRDefault="00BC114F" w:rsidP="00F56AD6">
            <w:pPr>
              <w:suppressAutoHyphens w:val="0"/>
              <w:spacing w:before="0" w:after="0"/>
              <w:jc w:val="left"/>
              <w:textAlignment w:val="auto"/>
              <w:rPr>
                <w:rFonts w:eastAsia="Times New Roman"/>
                <w:lang w:val="es-ES"/>
              </w:rPr>
            </w:pPr>
            <w:r w:rsidRPr="00BC114F">
              <w:rPr>
                <w:rFonts w:eastAsia="Times New Roman"/>
                <w:lang w:val="es-ES"/>
              </w:rPr>
              <w:t>Lámparas para uso doméstico no direccionales</w:t>
            </w:r>
            <w:r w:rsidR="00F56AD6">
              <w:rPr>
                <w:rFonts w:eastAsia="Times New Roman"/>
                <w:lang w:val="es-ES"/>
              </w:rPr>
              <w:t xml:space="preserve"> (lámparas incandescentes, LFC)</w:t>
            </w:r>
          </w:p>
        </w:tc>
      </w:tr>
      <w:tr w:rsidR="00E74A32" w:rsidRPr="00DF1DBE" w14:paraId="0632E761" w14:textId="77777777" w:rsidTr="00BC114F">
        <w:tc>
          <w:tcPr>
            <w:tcW w:w="325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76C01BF" w14:textId="77777777" w:rsidR="00BC114F" w:rsidRPr="00BC114F" w:rsidRDefault="00BC114F" w:rsidP="00BC114F">
            <w:pPr>
              <w:suppressAutoHyphens w:val="0"/>
              <w:spacing w:before="0" w:after="0"/>
              <w:jc w:val="left"/>
              <w:textAlignment w:val="auto"/>
              <w:rPr>
                <w:rFonts w:eastAsia="Times New Roman"/>
                <w:lang w:val="es-ES"/>
              </w:rPr>
            </w:pPr>
            <w:r w:rsidRPr="00BC114F">
              <w:rPr>
                <w:rFonts w:eastAsia="Times New Roman"/>
                <w:lang w:val="es-ES"/>
              </w:rPr>
              <w:t>(CE) 245/2009</w:t>
            </w:r>
          </w:p>
          <w:p w14:paraId="058BEBA9" w14:textId="77777777" w:rsidR="00BC114F" w:rsidRPr="00BC114F" w:rsidRDefault="00BC114F" w:rsidP="00BC114F">
            <w:pPr>
              <w:suppressAutoHyphens w:val="0"/>
              <w:spacing w:before="0" w:after="0"/>
              <w:jc w:val="left"/>
              <w:textAlignment w:val="auto"/>
              <w:rPr>
                <w:rFonts w:eastAsia="Times New Roman"/>
                <w:lang w:val="es-ES"/>
              </w:rPr>
            </w:pPr>
            <w:r w:rsidRPr="00BC114F">
              <w:rPr>
                <w:rFonts w:eastAsia="Times New Roman"/>
                <w:lang w:val="es-ES"/>
              </w:rPr>
              <w:t>Lámparas fluorescentes sin</w:t>
            </w:r>
          </w:p>
          <w:p w14:paraId="63DC5BD4" w14:textId="77777777" w:rsidR="00BC114F" w:rsidRPr="00BC114F" w:rsidRDefault="00BC114F" w:rsidP="00BC114F">
            <w:pPr>
              <w:suppressAutoHyphens w:val="0"/>
              <w:spacing w:before="0" w:after="0"/>
              <w:jc w:val="left"/>
              <w:textAlignment w:val="auto"/>
              <w:rPr>
                <w:rFonts w:eastAsia="Times New Roman"/>
                <w:lang w:val="es-ES"/>
              </w:rPr>
            </w:pPr>
            <w:r w:rsidRPr="00BC114F">
              <w:rPr>
                <w:rFonts w:eastAsia="Times New Roman"/>
                <w:lang w:val="es-ES"/>
              </w:rPr>
              <w:t>balastos integrados</w:t>
            </w:r>
          </w:p>
          <w:p w14:paraId="17BBBF04" w14:textId="0999B321" w:rsidR="00BC114F" w:rsidRPr="00BC114F" w:rsidRDefault="00BC114F" w:rsidP="00BC114F">
            <w:pPr>
              <w:suppressAutoHyphens w:val="0"/>
              <w:spacing w:before="0" w:after="0"/>
              <w:jc w:val="left"/>
              <w:textAlignment w:val="auto"/>
              <w:rPr>
                <w:rFonts w:eastAsia="Times New Roman"/>
                <w:lang w:val="es-ES"/>
              </w:rPr>
            </w:pPr>
            <w:r w:rsidRPr="00BC114F">
              <w:rPr>
                <w:rFonts w:eastAsia="Times New Roman"/>
                <w:lang w:val="es-ES"/>
              </w:rPr>
              <w:t>Lámparas de descarg</w:t>
            </w:r>
            <w:r w:rsidR="00685009">
              <w:rPr>
                <w:rFonts w:eastAsia="Times New Roman"/>
                <w:lang w:val="es-ES"/>
              </w:rPr>
              <w:t>a</w:t>
            </w:r>
            <w:r w:rsidRPr="00BC114F">
              <w:rPr>
                <w:rFonts w:eastAsia="Times New Roman"/>
                <w:lang w:val="es-ES"/>
              </w:rPr>
              <w:t xml:space="preserve"> de</w:t>
            </w:r>
          </w:p>
          <w:p w14:paraId="189BBE9E" w14:textId="77777777" w:rsidR="00BC114F" w:rsidRPr="00BC114F" w:rsidRDefault="00BC114F" w:rsidP="00BC114F">
            <w:pPr>
              <w:suppressAutoHyphens w:val="0"/>
              <w:spacing w:before="0" w:after="0"/>
              <w:jc w:val="left"/>
              <w:textAlignment w:val="auto"/>
              <w:rPr>
                <w:rFonts w:eastAsia="Times New Roman"/>
                <w:lang w:val="es-ES"/>
              </w:rPr>
            </w:pPr>
            <w:r w:rsidRPr="00BC114F">
              <w:rPr>
                <w:rFonts w:eastAsia="Times New Roman"/>
                <w:lang w:val="es-ES"/>
              </w:rPr>
              <w:t>alta intensidad</w:t>
            </w:r>
          </w:p>
          <w:p w14:paraId="37CA7801" w14:textId="21A0FB1A" w:rsidR="00E74A32" w:rsidRPr="000C68E2" w:rsidRDefault="00BC114F" w:rsidP="00BC114F">
            <w:pPr>
              <w:suppressAutoHyphens w:val="0"/>
              <w:spacing w:before="0" w:after="0"/>
              <w:jc w:val="left"/>
              <w:textAlignment w:val="auto"/>
              <w:rPr>
                <w:rFonts w:eastAsia="Times New Roman"/>
                <w:lang w:val="es-ES"/>
              </w:rPr>
            </w:pPr>
            <w:r w:rsidRPr="00BC114F">
              <w:rPr>
                <w:rFonts w:eastAsia="Times New Roman"/>
                <w:lang w:val="es-ES"/>
              </w:rPr>
              <w:lastRenderedPageBreak/>
              <w:t>Balastos y luminarias relacionadas</w:t>
            </w:r>
          </w:p>
        </w:tc>
        <w:tc>
          <w:tcPr>
            <w:tcW w:w="524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95D186B" w14:textId="2E228DAC" w:rsidR="00BC114F" w:rsidRPr="00BC114F" w:rsidRDefault="00BC114F" w:rsidP="00BC114F">
            <w:pPr>
              <w:suppressAutoHyphens w:val="0"/>
              <w:spacing w:before="0" w:after="0"/>
              <w:jc w:val="left"/>
              <w:textAlignment w:val="auto"/>
              <w:rPr>
                <w:rFonts w:eastAsia="Times New Roman"/>
                <w:lang w:val="es-ES"/>
              </w:rPr>
            </w:pPr>
            <w:r w:rsidRPr="00BC114F">
              <w:rPr>
                <w:rFonts w:eastAsia="Times New Roman"/>
                <w:lang w:val="es-ES"/>
              </w:rPr>
              <w:lastRenderedPageBreak/>
              <w:t>Lámparas fluorescentes sin balastos integrados,</w:t>
            </w:r>
            <w:r w:rsidR="00F56AD6">
              <w:rPr>
                <w:rFonts w:eastAsia="Times New Roman"/>
                <w:lang w:val="es-ES"/>
              </w:rPr>
              <w:t xml:space="preserve"> </w:t>
            </w:r>
            <w:r w:rsidRPr="00BC114F">
              <w:rPr>
                <w:rFonts w:eastAsia="Times New Roman"/>
                <w:lang w:val="es-ES"/>
              </w:rPr>
              <w:t>lámparas</w:t>
            </w:r>
            <w:r w:rsidR="00F56AD6">
              <w:rPr>
                <w:rFonts w:eastAsia="Times New Roman"/>
                <w:lang w:val="es-ES"/>
              </w:rPr>
              <w:t xml:space="preserve"> </w:t>
            </w:r>
            <w:r w:rsidRPr="00BC114F">
              <w:rPr>
                <w:rFonts w:eastAsia="Times New Roman"/>
                <w:lang w:val="es-ES"/>
              </w:rPr>
              <w:t>de descarga de alta intensidad, balastos y luminarias que puedan funcionar con dichas</w:t>
            </w:r>
          </w:p>
          <w:p w14:paraId="2A1F19F0" w14:textId="00B6EC34" w:rsidR="00E74A32" w:rsidRPr="00316DB7" w:rsidRDefault="00BC114F" w:rsidP="00BC114F">
            <w:pPr>
              <w:suppressAutoHyphens w:val="0"/>
              <w:spacing w:before="0" w:after="0"/>
              <w:jc w:val="left"/>
              <w:textAlignment w:val="auto"/>
              <w:rPr>
                <w:rFonts w:eastAsia="Times New Roman"/>
                <w:lang w:val="es-ES"/>
              </w:rPr>
            </w:pPr>
            <w:r w:rsidRPr="00BC114F">
              <w:rPr>
                <w:rFonts w:eastAsia="Times New Roman"/>
                <w:lang w:val="es-ES"/>
              </w:rPr>
              <w:t>lámparas</w:t>
            </w:r>
          </w:p>
        </w:tc>
      </w:tr>
      <w:tr w:rsidR="00E74A32" w:rsidRPr="00BC092A" w14:paraId="0E1E100F" w14:textId="77777777" w:rsidTr="00BC114F">
        <w:trPr>
          <w:trHeight w:val="659"/>
        </w:trPr>
        <w:tc>
          <w:tcPr>
            <w:tcW w:w="3253"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65437D09" w14:textId="77777777" w:rsidR="00BC114F" w:rsidRPr="00BC114F" w:rsidRDefault="00BC114F" w:rsidP="00BC114F">
            <w:pPr>
              <w:suppressAutoHyphens w:val="0"/>
              <w:spacing w:before="0" w:after="0"/>
              <w:jc w:val="left"/>
              <w:textAlignment w:val="auto"/>
              <w:rPr>
                <w:rFonts w:eastAsia="Times New Roman"/>
                <w:lang w:val="es-ES"/>
              </w:rPr>
            </w:pPr>
            <w:r w:rsidRPr="00BC114F">
              <w:rPr>
                <w:rFonts w:eastAsia="Times New Roman"/>
                <w:lang w:val="es-ES"/>
              </w:rPr>
              <w:t>(CE) 1194/2012</w:t>
            </w:r>
          </w:p>
          <w:p w14:paraId="6920A40C" w14:textId="77777777" w:rsidR="00BC114F" w:rsidRPr="00BC114F" w:rsidRDefault="00BC114F" w:rsidP="00BC114F">
            <w:pPr>
              <w:suppressAutoHyphens w:val="0"/>
              <w:spacing w:before="0" w:after="0"/>
              <w:jc w:val="left"/>
              <w:textAlignment w:val="auto"/>
              <w:rPr>
                <w:rFonts w:eastAsia="Times New Roman"/>
                <w:lang w:val="es-ES"/>
              </w:rPr>
            </w:pPr>
            <w:r w:rsidRPr="00BC114F">
              <w:rPr>
                <w:rFonts w:eastAsia="Times New Roman"/>
                <w:lang w:val="es-ES"/>
              </w:rPr>
              <w:t>Lámparas direccionales</w:t>
            </w:r>
          </w:p>
          <w:p w14:paraId="4ACAC567" w14:textId="36FD987A" w:rsidR="00E74A32" w:rsidRPr="00316DB7" w:rsidRDefault="00BC114F" w:rsidP="00BC114F">
            <w:pPr>
              <w:suppressAutoHyphens w:val="0"/>
              <w:spacing w:before="0" w:after="0"/>
              <w:jc w:val="left"/>
              <w:textAlignment w:val="auto"/>
              <w:rPr>
                <w:rFonts w:eastAsia="Times New Roman"/>
                <w:lang w:val="es-ES"/>
              </w:rPr>
            </w:pPr>
            <w:r w:rsidRPr="00BC114F">
              <w:rPr>
                <w:rFonts w:eastAsia="Times New Roman"/>
                <w:lang w:val="es-ES"/>
              </w:rPr>
              <w:t>Lámpara</w:t>
            </w:r>
            <w:r w:rsidR="001E73C1">
              <w:rPr>
                <w:rFonts w:eastAsia="Times New Roman"/>
                <w:lang w:val="es-ES"/>
              </w:rPr>
              <w:t>s</w:t>
            </w:r>
            <w:r w:rsidRPr="00BC114F">
              <w:rPr>
                <w:rFonts w:eastAsia="Times New Roman"/>
                <w:lang w:val="es-ES"/>
              </w:rPr>
              <w:t xml:space="preserve"> LED y sus equipos</w:t>
            </w:r>
          </w:p>
        </w:tc>
        <w:tc>
          <w:tcPr>
            <w:tcW w:w="5243"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6003D563" w14:textId="14D20FFB" w:rsidR="00E74A32" w:rsidRPr="00316DB7" w:rsidRDefault="00BC114F" w:rsidP="00BC114F">
            <w:pPr>
              <w:suppressAutoHyphens w:val="0"/>
              <w:spacing w:before="0" w:after="0"/>
              <w:jc w:val="left"/>
              <w:textAlignment w:val="auto"/>
              <w:rPr>
                <w:rFonts w:eastAsia="Times New Roman"/>
                <w:lang w:val="es-ES"/>
              </w:rPr>
            </w:pPr>
            <w:r w:rsidRPr="00BC114F">
              <w:rPr>
                <w:rFonts w:eastAsia="Times New Roman"/>
                <w:lang w:val="es-ES"/>
              </w:rPr>
              <w:t>Lámparas direccionales</w:t>
            </w:r>
            <w:r w:rsidR="00F56AD6">
              <w:rPr>
                <w:rFonts w:eastAsia="Times New Roman"/>
                <w:lang w:val="es-ES"/>
              </w:rPr>
              <w:t xml:space="preserve"> (lámparas incandescentes, LFC)</w:t>
            </w:r>
            <w:r w:rsidRPr="00BC114F">
              <w:rPr>
                <w:rFonts w:eastAsia="Times New Roman"/>
                <w:lang w:val="es-ES"/>
              </w:rPr>
              <w:t xml:space="preserve">, lámparas LED </w:t>
            </w:r>
            <w:r w:rsidR="008661C2">
              <w:rPr>
                <w:rFonts w:eastAsia="Times New Roman"/>
                <w:lang w:val="es-ES"/>
              </w:rPr>
              <w:t xml:space="preserve">(no direccionales y direccionales) </w:t>
            </w:r>
            <w:r w:rsidRPr="00BC114F">
              <w:rPr>
                <w:rFonts w:eastAsia="Times New Roman"/>
                <w:lang w:val="es-ES"/>
              </w:rPr>
              <w:t>y sus equipos</w:t>
            </w:r>
          </w:p>
        </w:tc>
      </w:tr>
    </w:tbl>
    <w:p w14:paraId="698E2EB9" w14:textId="77777777" w:rsidR="00E74A32" w:rsidRPr="00BC092A" w:rsidRDefault="00E74A32" w:rsidP="00E74A32">
      <w:pPr>
        <w:suppressAutoHyphens w:val="0"/>
        <w:rPr>
          <w:lang w:val="es-PA"/>
        </w:rPr>
      </w:pPr>
    </w:p>
    <w:p w14:paraId="54801270" w14:textId="6F663BDB" w:rsidR="00E74A32" w:rsidRDefault="00BC114F" w:rsidP="004205D7">
      <w:pPr>
        <w:pStyle w:val="BodyText"/>
        <w:rPr>
          <w:lang w:val="es-ES"/>
        </w:rPr>
      </w:pPr>
      <w:r>
        <w:rPr>
          <w:lang w:val="es-ES"/>
        </w:rPr>
        <w:t>Estos tres reglamentos</w:t>
      </w:r>
      <w:r w:rsidR="008661C2">
        <w:rPr>
          <w:lang w:val="es-ES"/>
        </w:rPr>
        <w:t>,</w:t>
      </w:r>
      <w:r>
        <w:rPr>
          <w:lang w:val="es-ES"/>
        </w:rPr>
        <w:t xml:space="preserve"> que serán reemplazados</w:t>
      </w:r>
      <w:r w:rsidR="008661C2">
        <w:rPr>
          <w:lang w:val="es-ES"/>
        </w:rPr>
        <w:t xml:space="preserve"> por un solo reglamento para productos de iluminación, definen para cada tipo de lámpara los límites de desempeño energético mínimo (para varias etapas de aplicación) y los requisitos de funcionalidad.</w:t>
      </w:r>
      <w:r w:rsidR="008661C2">
        <w:rPr>
          <w:rStyle w:val="FootnoteReference"/>
        </w:rPr>
        <w:footnoteReference w:id="53"/>
      </w:r>
      <w:r w:rsidR="008661C2">
        <w:rPr>
          <w:lang w:val="es-ES"/>
        </w:rPr>
        <w:t xml:space="preserve"> Este enfoque específico en cada tipo de lámpara resulta en un gran abanico de requisitos específicos. La</w:t>
      </w:r>
      <w:r w:rsidR="004D37EF">
        <w:rPr>
          <w:lang w:val="es-ES"/>
        </w:rPr>
        <w:t>s</w:t>
      </w:r>
      <w:r w:rsidR="008661C2">
        <w:rPr>
          <w:lang w:val="es-ES"/>
        </w:rPr>
        <w:t xml:space="preserve"> figura</w:t>
      </w:r>
      <w:r w:rsidR="000F3098">
        <w:rPr>
          <w:lang w:val="es-ES"/>
        </w:rPr>
        <w:t xml:space="preserve">s en el Anexo </w:t>
      </w:r>
      <w:r w:rsidR="00E21CB6">
        <w:rPr>
          <w:lang w:val="es-ES"/>
        </w:rPr>
        <w:t>5</w:t>
      </w:r>
      <w:r w:rsidR="008661C2">
        <w:rPr>
          <w:lang w:val="es-ES"/>
        </w:rPr>
        <w:t xml:space="preserve"> muestra</w:t>
      </w:r>
      <w:r w:rsidR="000F3098">
        <w:rPr>
          <w:lang w:val="es-ES"/>
        </w:rPr>
        <w:t>n</w:t>
      </w:r>
      <w:r w:rsidR="008661C2">
        <w:rPr>
          <w:lang w:val="es-ES"/>
        </w:rPr>
        <w:t xml:space="preserve"> los límites de desempeño energético para varios tipos de lámparas.</w:t>
      </w:r>
    </w:p>
    <w:p w14:paraId="34C83BFB" w14:textId="62288CA7" w:rsidR="003779CB" w:rsidRDefault="00685009" w:rsidP="004205D7">
      <w:pPr>
        <w:pStyle w:val="BodyText"/>
        <w:rPr>
          <w:lang w:val="es-ES"/>
        </w:rPr>
      </w:pPr>
      <w:r>
        <w:rPr>
          <w:lang w:val="es-ES"/>
        </w:rPr>
        <w:t xml:space="preserve">Con el objetivo de unificar los tres reglamentos existentes, y de reemplazar el enfoque específico en varias tecnologías de iluminación por un enfoque </w:t>
      </w:r>
      <w:r w:rsidR="00E42977">
        <w:rPr>
          <w:lang w:val="es-ES"/>
        </w:rPr>
        <w:t>tecnológicamente neutral</w:t>
      </w:r>
      <w:r w:rsidR="00E42977">
        <w:rPr>
          <w:rStyle w:val="FootnoteReference"/>
        </w:rPr>
        <w:footnoteReference w:id="54"/>
      </w:r>
      <w:r w:rsidR="00E42977" w:rsidRPr="00E42977">
        <w:rPr>
          <w:lang w:val="es-ES"/>
        </w:rPr>
        <w:t>, la Comisi</w:t>
      </w:r>
      <w:r w:rsidR="00E42977">
        <w:rPr>
          <w:lang w:val="es-ES"/>
        </w:rPr>
        <w:t>ón Europea ha propuesto, en</w:t>
      </w:r>
      <w:r w:rsidR="006E1CB8">
        <w:rPr>
          <w:lang w:val="es-ES"/>
        </w:rPr>
        <w:t xml:space="preserve"> </w:t>
      </w:r>
      <w:r w:rsidR="00A74BF2">
        <w:rPr>
          <w:lang w:val="es-ES"/>
        </w:rPr>
        <w:t>2015, un reglamento único para todos tipos de lámparas (dentro del alcance anterior)</w:t>
      </w:r>
      <w:r w:rsidR="006D771F">
        <w:rPr>
          <w:lang w:val="es-ES"/>
        </w:rPr>
        <w:t>, en tres etapas: (i) etapa 1 a partir del 1 de septiembre de 2018, (ii) etapa 2 a partir del 1 de septiembre de 2020, y (iii) etapa 3 a partir del 1 de septiembre de 2024, de acuerdo a las fórmulas incluidas en la tabla 3.</w:t>
      </w:r>
      <w:r w:rsidR="00A74BF2">
        <w:rPr>
          <w:rStyle w:val="FootnoteReference"/>
        </w:rPr>
        <w:footnoteReference w:id="55"/>
      </w:r>
      <w:r w:rsidR="006D771F">
        <w:rPr>
          <w:lang w:val="es-ES"/>
        </w:rPr>
        <w:t xml:space="preserve"> </w:t>
      </w:r>
      <w:r w:rsidR="00A22315">
        <w:rPr>
          <w:lang w:val="es-ES"/>
        </w:rPr>
        <w:t xml:space="preserve">Por su acercamiento a los valores 60, 80 y 120 lm/W esta propuesta se denomina también "Escenario </w:t>
      </w:r>
      <w:r w:rsidR="00A22315" w:rsidRPr="00A22315">
        <w:rPr>
          <w:lang w:val="es-ES"/>
        </w:rPr>
        <w:t>ECO</w:t>
      </w:r>
      <w:r w:rsidR="00A22315">
        <w:rPr>
          <w:lang w:val="es-ES"/>
        </w:rPr>
        <w:t>60+</w:t>
      </w:r>
      <w:r w:rsidR="00A22315" w:rsidRPr="00A22315">
        <w:rPr>
          <w:lang w:val="es-ES"/>
        </w:rPr>
        <w:t>80+120</w:t>
      </w:r>
      <w:r w:rsidR="00A22315">
        <w:rPr>
          <w:lang w:val="es-ES"/>
        </w:rPr>
        <w:t>".</w:t>
      </w:r>
      <w:r w:rsidR="00A22315" w:rsidRPr="00A22315">
        <w:rPr>
          <w:lang w:val="es-ES"/>
        </w:rPr>
        <w:t xml:space="preserve"> </w:t>
      </w:r>
      <w:r w:rsidR="006D771F">
        <w:rPr>
          <w:lang w:val="es-ES"/>
        </w:rPr>
        <w:t xml:space="preserve">Los gráficos correspondientes </w:t>
      </w:r>
      <w:r w:rsidR="00A22315">
        <w:rPr>
          <w:lang w:val="es-ES"/>
        </w:rPr>
        <w:t xml:space="preserve">están incluidos </w:t>
      </w:r>
      <w:r w:rsidR="006D771F">
        <w:rPr>
          <w:lang w:val="es-ES"/>
        </w:rPr>
        <w:t>en el Anexo 2.</w:t>
      </w:r>
    </w:p>
    <w:p w14:paraId="07BDA509" w14:textId="3A757A76" w:rsidR="006D771F" w:rsidRPr="00566934" w:rsidRDefault="006D771F" w:rsidP="006D771F">
      <w:pPr>
        <w:keepNext/>
        <w:keepLines/>
        <w:spacing w:before="0" w:after="0"/>
        <w:jc w:val="center"/>
        <w:rPr>
          <w:iCs/>
          <w:color w:val="002B7F"/>
          <w:szCs w:val="18"/>
          <w:lang w:val="es-ES"/>
        </w:rPr>
      </w:pPr>
      <w:r w:rsidRPr="00566934">
        <w:rPr>
          <w:iCs/>
          <w:color w:val="002B7F"/>
          <w:szCs w:val="18"/>
          <w:lang w:val="es-ES"/>
        </w:rPr>
        <w:t xml:space="preserve">Tabla </w:t>
      </w:r>
      <w:r w:rsidRPr="00566934">
        <w:rPr>
          <w:iCs/>
          <w:color w:val="002B7F"/>
          <w:szCs w:val="18"/>
          <w:lang w:val="es-ES"/>
        </w:rPr>
        <w:fldChar w:fldCharType="begin"/>
      </w:r>
      <w:r w:rsidRPr="00566934">
        <w:rPr>
          <w:iCs/>
          <w:color w:val="002B7F"/>
          <w:szCs w:val="18"/>
          <w:lang w:val="es-ES"/>
        </w:rPr>
        <w:instrText xml:space="preserve"> SEQ Tabla \* ARABIC </w:instrText>
      </w:r>
      <w:r w:rsidRPr="00566934">
        <w:rPr>
          <w:iCs/>
          <w:color w:val="002B7F"/>
          <w:szCs w:val="18"/>
          <w:lang w:val="es-ES"/>
        </w:rPr>
        <w:fldChar w:fldCharType="separate"/>
      </w:r>
      <w:r w:rsidR="005E6430">
        <w:rPr>
          <w:iCs/>
          <w:noProof/>
          <w:color w:val="002B7F"/>
          <w:szCs w:val="18"/>
          <w:lang w:val="es-ES"/>
        </w:rPr>
        <w:t>3</w:t>
      </w:r>
      <w:r w:rsidRPr="00566934">
        <w:rPr>
          <w:iCs/>
          <w:noProof/>
          <w:color w:val="002B7F"/>
          <w:szCs w:val="18"/>
          <w:lang w:val="es-ES"/>
        </w:rPr>
        <w:fldChar w:fldCharType="end"/>
      </w:r>
      <w:r w:rsidRPr="00566934">
        <w:rPr>
          <w:iCs/>
          <w:color w:val="002B7F"/>
          <w:szCs w:val="18"/>
          <w:lang w:val="es-ES"/>
        </w:rPr>
        <w:t xml:space="preserve"> – </w:t>
      </w:r>
      <w:r w:rsidR="00A22315">
        <w:rPr>
          <w:iCs/>
          <w:color w:val="002B7F"/>
          <w:szCs w:val="18"/>
          <w:lang w:val="es-ES"/>
        </w:rPr>
        <w:t>P</w:t>
      </w:r>
      <w:r w:rsidR="00A22315" w:rsidRPr="00A22315">
        <w:rPr>
          <w:iCs/>
          <w:color w:val="002B7F"/>
          <w:szCs w:val="18"/>
          <w:lang w:val="es-ES"/>
        </w:rPr>
        <w:t>ropuest</w:t>
      </w:r>
      <w:r w:rsidR="00A22315">
        <w:rPr>
          <w:iCs/>
          <w:color w:val="002B7F"/>
          <w:szCs w:val="18"/>
          <w:lang w:val="es-ES"/>
        </w:rPr>
        <w:t xml:space="preserve">a de la Comisión Europea de límites de desempeño energético </w:t>
      </w:r>
      <w:r w:rsidR="00EA0D8C">
        <w:rPr>
          <w:iCs/>
          <w:color w:val="002B7F"/>
          <w:szCs w:val="18"/>
          <w:lang w:val="es-ES"/>
        </w:rPr>
        <w:t>para productos de iluminación (2015)</w:t>
      </w:r>
    </w:p>
    <w:p w14:paraId="5B56BF46" w14:textId="20112E1C" w:rsidR="006D771F" w:rsidRDefault="006D771F" w:rsidP="006D771F">
      <w:pPr>
        <w:pStyle w:val="BodyText"/>
        <w:jc w:val="center"/>
        <w:rPr>
          <w:lang w:val="es-ES"/>
        </w:rPr>
      </w:pPr>
      <w:r w:rsidRPr="00AD6CDA">
        <w:rPr>
          <w:i/>
          <w:color w:val="002B7F"/>
          <w:sz w:val="18"/>
          <w:lang w:val="es-ES"/>
        </w:rPr>
        <w:t xml:space="preserve">Fuente: </w:t>
      </w:r>
      <w:r w:rsidRPr="00AD6CDA">
        <w:rPr>
          <w:rFonts w:cstheme="minorHAnsi"/>
          <w:color w:val="002B7F"/>
          <w:sz w:val="18"/>
          <w:lang w:val="es-PA"/>
        </w:rPr>
        <w:t>Elaboración propia</w:t>
      </w:r>
      <w:r>
        <w:rPr>
          <w:rFonts w:cstheme="minorHAnsi"/>
          <w:color w:val="002B7F"/>
          <w:sz w:val="18"/>
          <w:lang w:val="es-PA"/>
        </w:rPr>
        <w:t xml:space="preserve"> en base de</w:t>
      </w:r>
      <w:r w:rsidR="00EA0D8C">
        <w:rPr>
          <w:rFonts w:cstheme="minorHAnsi"/>
          <w:color w:val="002B7F"/>
          <w:sz w:val="18"/>
          <w:lang w:val="es-PA"/>
        </w:rPr>
        <w:t xml:space="preserve"> CE, 2015</w:t>
      </w:r>
    </w:p>
    <w:tbl>
      <w:tblPr>
        <w:tblW w:w="3917" w:type="pct"/>
        <w:jc w:val="center"/>
        <w:tblCellMar>
          <w:left w:w="10" w:type="dxa"/>
          <w:right w:w="10" w:type="dxa"/>
        </w:tblCellMar>
        <w:tblLook w:val="0000" w:firstRow="0" w:lastRow="0" w:firstColumn="0" w:lastColumn="0" w:noHBand="0" w:noVBand="0"/>
      </w:tblPr>
      <w:tblGrid>
        <w:gridCol w:w="843"/>
        <w:gridCol w:w="4253"/>
        <w:gridCol w:w="1560"/>
      </w:tblGrid>
      <w:tr w:rsidR="00FE398C" w:rsidRPr="006C6495" w14:paraId="26FD0839" w14:textId="77777777" w:rsidTr="00FE398C">
        <w:trPr>
          <w:jc w:val="center"/>
        </w:trPr>
        <w:tc>
          <w:tcPr>
            <w:tcW w:w="843"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05D397B9" w14:textId="16A4496C" w:rsidR="00FE398C" w:rsidRPr="00F87425" w:rsidRDefault="00FE398C" w:rsidP="00EA0D8C">
            <w:pPr>
              <w:suppressAutoHyphens w:val="0"/>
              <w:spacing w:before="0" w:after="0"/>
              <w:jc w:val="left"/>
              <w:textAlignment w:val="auto"/>
              <w:rPr>
                <w:rFonts w:eastAsia="Times New Roman"/>
                <w:b/>
                <w:color w:val="FFFFFF" w:themeColor="background1"/>
                <w:lang w:val="es-ES"/>
              </w:rPr>
            </w:pPr>
            <w:r>
              <w:rPr>
                <w:rFonts w:eastAsia="Times New Roman"/>
                <w:b/>
                <w:color w:val="FFFFFF" w:themeColor="background1"/>
                <w:lang w:val="es-ES"/>
              </w:rPr>
              <w:t>Etapa</w:t>
            </w:r>
          </w:p>
        </w:tc>
        <w:tc>
          <w:tcPr>
            <w:tcW w:w="4252" w:type="dxa"/>
            <w:tcBorders>
              <w:top w:val="single" w:sz="6" w:space="0" w:color="5B9BD5"/>
              <w:bottom w:val="single" w:sz="6" w:space="0" w:color="5B9BD5"/>
            </w:tcBorders>
            <w:shd w:val="clear" w:color="auto" w:fill="5B9BD5"/>
            <w:tcMar>
              <w:top w:w="0" w:type="dxa"/>
              <w:left w:w="108" w:type="dxa"/>
              <w:bottom w:w="0" w:type="dxa"/>
              <w:right w:w="108" w:type="dxa"/>
            </w:tcMar>
          </w:tcPr>
          <w:p w14:paraId="2170582B" w14:textId="5BE48D16" w:rsidR="00FE398C" w:rsidRPr="00F87425" w:rsidRDefault="00FE398C" w:rsidP="00FE398C">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Requisito mínimo (lm/W)</w:t>
            </w:r>
          </w:p>
        </w:tc>
        <w:tc>
          <w:tcPr>
            <w:tcW w:w="1560" w:type="dxa"/>
            <w:tcBorders>
              <w:top w:val="single" w:sz="6" w:space="0" w:color="5B9BD5"/>
              <w:bottom w:val="single" w:sz="6" w:space="0" w:color="5B9BD5"/>
            </w:tcBorders>
            <w:shd w:val="clear" w:color="auto" w:fill="5B9BD5"/>
            <w:tcMar>
              <w:top w:w="0" w:type="dxa"/>
              <w:left w:w="108" w:type="dxa"/>
              <w:bottom w:w="0" w:type="dxa"/>
              <w:right w:w="108" w:type="dxa"/>
            </w:tcMar>
          </w:tcPr>
          <w:p w14:paraId="7486F7B9" w14:textId="74D32CEE" w:rsidR="00FE398C" w:rsidRDefault="00FE398C" w:rsidP="00FE398C">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Escenario (lm/W)</w:t>
            </w:r>
          </w:p>
        </w:tc>
      </w:tr>
      <w:tr w:rsidR="00FE398C" w:rsidRPr="00F87425" w14:paraId="44659F4B" w14:textId="77777777" w:rsidTr="00FE398C">
        <w:trPr>
          <w:jc w:val="center"/>
        </w:trPr>
        <w:tc>
          <w:tcPr>
            <w:tcW w:w="84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vAlign w:val="center"/>
          </w:tcPr>
          <w:p w14:paraId="08EF7C10" w14:textId="03E62D2F" w:rsidR="00FE398C" w:rsidRPr="00F87425" w:rsidRDefault="00FE398C" w:rsidP="00FE398C">
            <w:pPr>
              <w:suppressAutoHyphens w:val="0"/>
              <w:spacing w:before="0" w:after="0"/>
              <w:jc w:val="center"/>
              <w:textAlignment w:val="auto"/>
              <w:rPr>
                <w:rFonts w:eastAsia="Times New Roman"/>
                <w:lang w:val="es-ES"/>
              </w:rPr>
            </w:pPr>
            <w:r>
              <w:rPr>
                <w:rFonts w:eastAsia="Times New Roman"/>
                <w:lang w:val="es-ES"/>
              </w:rPr>
              <w:t>1</w:t>
            </w:r>
          </w:p>
        </w:tc>
        <w:tc>
          <w:tcPr>
            <w:tcW w:w="425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6161004" w14:textId="5D6239EB" w:rsidR="00FE398C" w:rsidRPr="00F87425" w:rsidRDefault="00FE398C" w:rsidP="00C21981">
            <w:pPr>
              <w:suppressAutoHyphens w:val="0"/>
              <w:spacing w:before="0" w:after="0"/>
              <w:jc w:val="center"/>
              <w:textAlignment w:val="auto"/>
              <w:rPr>
                <w:rFonts w:eastAsia="Times New Roman"/>
                <w:lang w:val="es-ES"/>
              </w:rPr>
            </w:pPr>
            <w:r w:rsidRPr="00FE398C">
              <w:rPr>
                <w:rFonts w:eastAsia="Times New Roman"/>
                <w:noProof/>
                <w:lang w:val="en-US"/>
              </w:rPr>
              <w:drawing>
                <wp:inline distT="0" distB="0" distL="0" distR="0" wp14:anchorId="48A9BF5A" wp14:editId="23C0F779">
                  <wp:extent cx="1952625" cy="364583"/>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stretch>
                            <a:fillRect/>
                          </a:stretch>
                        </pic:blipFill>
                        <pic:spPr>
                          <a:xfrm>
                            <a:off x="0" y="0"/>
                            <a:ext cx="2038270" cy="380574"/>
                          </a:xfrm>
                          <a:prstGeom prst="rect">
                            <a:avLst/>
                          </a:prstGeom>
                        </pic:spPr>
                      </pic:pic>
                    </a:graphicData>
                  </a:graphic>
                </wp:inline>
              </w:drawing>
            </w:r>
          </w:p>
        </w:tc>
        <w:tc>
          <w:tcPr>
            <w:tcW w:w="156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vAlign w:val="center"/>
          </w:tcPr>
          <w:p w14:paraId="6AFF3627" w14:textId="49A0DB80" w:rsidR="00FE398C" w:rsidRPr="00F87425" w:rsidRDefault="00FE398C" w:rsidP="00053B3F">
            <w:pPr>
              <w:suppressAutoHyphens w:val="0"/>
              <w:spacing w:before="0" w:after="0"/>
              <w:jc w:val="center"/>
              <w:textAlignment w:val="auto"/>
              <w:rPr>
                <w:rFonts w:eastAsia="Times New Roman"/>
                <w:lang w:val="es-ES"/>
              </w:rPr>
            </w:pPr>
            <w:r>
              <w:rPr>
                <w:rFonts w:eastAsia="Times New Roman"/>
                <w:lang w:val="es-ES"/>
              </w:rPr>
              <w:t>60</w:t>
            </w:r>
          </w:p>
        </w:tc>
      </w:tr>
      <w:tr w:rsidR="00FE398C" w:rsidRPr="00F87425" w14:paraId="439D73D4" w14:textId="77777777" w:rsidTr="00FE398C">
        <w:trPr>
          <w:jc w:val="center"/>
        </w:trPr>
        <w:tc>
          <w:tcPr>
            <w:tcW w:w="84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vAlign w:val="center"/>
          </w:tcPr>
          <w:p w14:paraId="099CD97D" w14:textId="17069F8F" w:rsidR="00FE398C" w:rsidRPr="00F87425" w:rsidRDefault="00FE398C" w:rsidP="00FE398C">
            <w:pPr>
              <w:suppressAutoHyphens w:val="0"/>
              <w:spacing w:before="0" w:after="0"/>
              <w:jc w:val="center"/>
              <w:textAlignment w:val="auto"/>
              <w:rPr>
                <w:rFonts w:eastAsia="Times New Roman"/>
                <w:lang w:val="es-ES"/>
              </w:rPr>
            </w:pPr>
            <w:r>
              <w:rPr>
                <w:rFonts w:eastAsia="Times New Roman"/>
                <w:lang w:val="es-ES"/>
              </w:rPr>
              <w:t>2</w:t>
            </w:r>
          </w:p>
        </w:tc>
        <w:tc>
          <w:tcPr>
            <w:tcW w:w="425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134B705" w14:textId="4AED81CB" w:rsidR="00FE398C" w:rsidRPr="00F87425" w:rsidRDefault="00FE398C" w:rsidP="00C21981">
            <w:pPr>
              <w:suppressAutoHyphens w:val="0"/>
              <w:spacing w:before="0" w:after="0"/>
              <w:jc w:val="center"/>
              <w:textAlignment w:val="auto"/>
              <w:rPr>
                <w:rFonts w:eastAsia="Times New Roman"/>
                <w:lang w:val="es-ES"/>
              </w:rPr>
            </w:pPr>
            <w:r w:rsidRPr="00FE398C">
              <w:rPr>
                <w:rFonts w:eastAsia="Times New Roman"/>
                <w:noProof/>
                <w:lang w:val="en-US"/>
              </w:rPr>
              <w:drawing>
                <wp:inline distT="0" distB="0" distL="0" distR="0" wp14:anchorId="14991E2B" wp14:editId="4E2D669C">
                  <wp:extent cx="1962150" cy="423351"/>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0"/>
                          <a:stretch>
                            <a:fillRect/>
                          </a:stretch>
                        </pic:blipFill>
                        <pic:spPr>
                          <a:xfrm>
                            <a:off x="0" y="0"/>
                            <a:ext cx="2027541" cy="437460"/>
                          </a:xfrm>
                          <a:prstGeom prst="rect">
                            <a:avLst/>
                          </a:prstGeom>
                        </pic:spPr>
                      </pic:pic>
                    </a:graphicData>
                  </a:graphic>
                </wp:inline>
              </w:drawing>
            </w:r>
          </w:p>
        </w:tc>
        <w:tc>
          <w:tcPr>
            <w:tcW w:w="156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vAlign w:val="center"/>
          </w:tcPr>
          <w:p w14:paraId="3DDA79B5" w14:textId="32F4C428" w:rsidR="00FE398C" w:rsidRPr="00F87425" w:rsidRDefault="00FE398C" w:rsidP="00053B3F">
            <w:pPr>
              <w:suppressAutoHyphens w:val="0"/>
              <w:spacing w:before="0" w:after="0"/>
              <w:jc w:val="center"/>
              <w:textAlignment w:val="auto"/>
              <w:rPr>
                <w:rFonts w:eastAsia="Times New Roman"/>
                <w:lang w:val="es-ES"/>
              </w:rPr>
            </w:pPr>
            <w:r>
              <w:rPr>
                <w:rFonts w:eastAsia="Times New Roman"/>
                <w:lang w:val="es-ES"/>
              </w:rPr>
              <w:t>80</w:t>
            </w:r>
          </w:p>
        </w:tc>
      </w:tr>
      <w:tr w:rsidR="00FE398C" w:rsidRPr="00F87425" w14:paraId="600485C0" w14:textId="77777777" w:rsidTr="00FE398C">
        <w:trPr>
          <w:trHeight w:val="242"/>
          <w:jc w:val="center"/>
        </w:trPr>
        <w:tc>
          <w:tcPr>
            <w:tcW w:w="843"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vAlign w:val="center"/>
          </w:tcPr>
          <w:p w14:paraId="0A715962" w14:textId="3F121F82" w:rsidR="00FE398C" w:rsidRPr="00F87425" w:rsidRDefault="00FE398C" w:rsidP="00FE398C">
            <w:pPr>
              <w:suppressAutoHyphens w:val="0"/>
              <w:spacing w:before="0" w:after="0"/>
              <w:jc w:val="center"/>
              <w:textAlignment w:val="auto"/>
              <w:rPr>
                <w:rFonts w:eastAsia="Times New Roman"/>
                <w:lang w:val="es-ES"/>
              </w:rPr>
            </w:pPr>
            <w:r>
              <w:rPr>
                <w:rFonts w:eastAsia="Times New Roman"/>
                <w:lang w:val="es-ES"/>
              </w:rPr>
              <w:t>3</w:t>
            </w:r>
          </w:p>
        </w:tc>
        <w:tc>
          <w:tcPr>
            <w:tcW w:w="4252"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4DAAC5F6" w14:textId="5D9AAF97" w:rsidR="00FE398C" w:rsidRPr="00F87425" w:rsidRDefault="00FE398C" w:rsidP="00C21981">
            <w:pPr>
              <w:suppressAutoHyphens w:val="0"/>
              <w:spacing w:before="0" w:after="0"/>
              <w:jc w:val="center"/>
              <w:textAlignment w:val="auto"/>
              <w:rPr>
                <w:rFonts w:eastAsia="Times New Roman"/>
                <w:lang w:val="es-ES"/>
              </w:rPr>
            </w:pPr>
            <w:r w:rsidRPr="00FE398C">
              <w:rPr>
                <w:rFonts w:eastAsia="Times New Roman"/>
                <w:noProof/>
                <w:lang w:val="en-US"/>
              </w:rPr>
              <w:drawing>
                <wp:inline distT="0" distB="0" distL="0" distR="0" wp14:anchorId="2787ECA7" wp14:editId="43327F06">
                  <wp:extent cx="1924050" cy="409669"/>
                  <wp:effectExtent l="0" t="0" r="0"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1"/>
                          <a:stretch>
                            <a:fillRect/>
                          </a:stretch>
                        </pic:blipFill>
                        <pic:spPr>
                          <a:xfrm>
                            <a:off x="0" y="0"/>
                            <a:ext cx="1991250" cy="423977"/>
                          </a:xfrm>
                          <a:prstGeom prst="rect">
                            <a:avLst/>
                          </a:prstGeom>
                        </pic:spPr>
                      </pic:pic>
                    </a:graphicData>
                  </a:graphic>
                </wp:inline>
              </w:drawing>
            </w:r>
          </w:p>
        </w:tc>
        <w:tc>
          <w:tcPr>
            <w:tcW w:w="1560"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vAlign w:val="center"/>
          </w:tcPr>
          <w:p w14:paraId="69CDA8A7" w14:textId="0586868A" w:rsidR="00FE398C" w:rsidRPr="00F87425" w:rsidRDefault="00FE398C" w:rsidP="00053B3F">
            <w:pPr>
              <w:suppressAutoHyphens w:val="0"/>
              <w:spacing w:before="0" w:after="0"/>
              <w:jc w:val="center"/>
              <w:textAlignment w:val="auto"/>
              <w:rPr>
                <w:rFonts w:eastAsia="Times New Roman"/>
                <w:lang w:val="es-ES"/>
              </w:rPr>
            </w:pPr>
            <w:r>
              <w:rPr>
                <w:rFonts w:eastAsia="Times New Roman"/>
                <w:lang w:val="es-ES"/>
              </w:rPr>
              <w:t>120</w:t>
            </w:r>
          </w:p>
        </w:tc>
      </w:tr>
    </w:tbl>
    <w:p w14:paraId="3799BAC5" w14:textId="0CA60D12" w:rsidR="006D771F" w:rsidRPr="008B6B1B" w:rsidRDefault="008B6B1B" w:rsidP="004205D7">
      <w:pPr>
        <w:pStyle w:val="BodyText"/>
        <w:rPr>
          <w:sz w:val="20"/>
          <w:szCs w:val="20"/>
          <w:lang w:val="es-ES"/>
        </w:rPr>
      </w:pPr>
      <w:r>
        <w:rPr>
          <w:lang w:val="es-ES"/>
        </w:rPr>
        <w:tab/>
        <w:t xml:space="preserve">    </w:t>
      </w:r>
      <w:r w:rsidRPr="008B6B1B">
        <w:rPr>
          <w:sz w:val="20"/>
          <w:szCs w:val="20"/>
          <w:lang w:val="es-ES"/>
        </w:rPr>
        <w:t xml:space="preserve">Leyenda: </w:t>
      </w:r>
      <w:r w:rsidRPr="008B6B1B">
        <w:rPr>
          <w:rFonts w:cs="Calibri"/>
          <w:sz w:val="20"/>
          <w:szCs w:val="20"/>
          <w:lang w:val="es-ES"/>
        </w:rPr>
        <w:t>φ</w:t>
      </w:r>
      <w:r w:rsidRPr="008B6B1B">
        <w:rPr>
          <w:sz w:val="20"/>
          <w:szCs w:val="20"/>
          <w:lang w:val="es-ES"/>
        </w:rPr>
        <w:t xml:space="preserve"> = flujo luminoso, CRI = Índice de rendimiento de color</w:t>
      </w:r>
    </w:p>
    <w:p w14:paraId="7CD814E7" w14:textId="77777777" w:rsidR="008B6B1B" w:rsidRDefault="008B6B1B" w:rsidP="004205D7">
      <w:pPr>
        <w:pStyle w:val="BodyText"/>
        <w:rPr>
          <w:lang w:val="es-ES"/>
        </w:rPr>
      </w:pPr>
    </w:p>
    <w:p w14:paraId="1D640C0F" w14:textId="7BD1A645" w:rsidR="00A74BF2" w:rsidRDefault="008B6B1B" w:rsidP="004205D7">
      <w:pPr>
        <w:pStyle w:val="BodyText"/>
        <w:rPr>
          <w:lang w:val="es-ES"/>
        </w:rPr>
      </w:pPr>
      <w:r>
        <w:rPr>
          <w:lang w:val="es-ES"/>
        </w:rPr>
        <w:t>Luego de consulta</w:t>
      </w:r>
      <w:r w:rsidR="000C7F25">
        <w:rPr>
          <w:lang w:val="es-ES"/>
        </w:rPr>
        <w:t>s</w:t>
      </w:r>
      <w:r>
        <w:rPr>
          <w:lang w:val="es-ES"/>
        </w:rPr>
        <w:t xml:space="preserve"> con las partes de interés entre 2015 y 2017, </w:t>
      </w:r>
      <w:r w:rsidR="00A74BF2">
        <w:rPr>
          <w:lang w:val="es-ES"/>
        </w:rPr>
        <w:t>la Comisión Europea sometió</w:t>
      </w:r>
      <w:r>
        <w:rPr>
          <w:lang w:val="es-ES"/>
        </w:rPr>
        <w:t>, a finales de 2017</w:t>
      </w:r>
      <w:r w:rsidR="00760A9B">
        <w:rPr>
          <w:lang w:val="es-ES"/>
        </w:rPr>
        <w:t>,</w:t>
      </w:r>
      <w:r w:rsidR="00A74BF2">
        <w:rPr>
          <w:lang w:val="es-ES"/>
        </w:rPr>
        <w:t xml:space="preserve"> una propuesta modificada</w:t>
      </w:r>
      <w:r>
        <w:rPr>
          <w:lang w:val="es-ES"/>
        </w:rPr>
        <w:t>.</w:t>
      </w:r>
      <w:r w:rsidR="00A74BF2">
        <w:rPr>
          <w:rStyle w:val="FootnoteReference"/>
        </w:rPr>
        <w:footnoteReference w:id="56"/>
      </w:r>
      <w:r w:rsidR="00760A9B">
        <w:rPr>
          <w:lang w:val="es-ES"/>
        </w:rPr>
        <w:t xml:space="preserve">  Esta nueva propuesta </w:t>
      </w:r>
      <w:r w:rsidR="00760A9B" w:rsidRPr="00760A9B">
        <w:rPr>
          <w:lang w:val="es-ES"/>
        </w:rPr>
        <w:t>prevé una sola fecha de aplicación (septiembre de 2020, en lugar de tres etapas)</w:t>
      </w:r>
      <w:r w:rsidR="00760A9B">
        <w:rPr>
          <w:lang w:val="es-ES"/>
        </w:rPr>
        <w:t xml:space="preserve"> y toma en consideración las características específicas de distintos tipos de lámparas, a través de </w:t>
      </w:r>
      <w:r w:rsidR="00850CB5">
        <w:rPr>
          <w:lang w:val="es-ES"/>
        </w:rPr>
        <w:t xml:space="preserve">varios coeficientes </w:t>
      </w:r>
      <w:r w:rsidR="00850CB5">
        <w:rPr>
          <w:lang w:val="es-ES"/>
        </w:rPr>
        <w:lastRenderedPageBreak/>
        <w:t>incluid</w:t>
      </w:r>
      <w:r w:rsidR="001F005F">
        <w:rPr>
          <w:lang w:val="es-ES"/>
        </w:rPr>
        <w:t>o</w:t>
      </w:r>
      <w:r w:rsidR="00850CB5">
        <w:rPr>
          <w:lang w:val="es-ES"/>
        </w:rPr>
        <w:t>s en la siguiente fórmula, que determina la potencia máxima permitida P</w:t>
      </w:r>
      <w:r w:rsidR="00850CB5" w:rsidRPr="00850CB5">
        <w:rPr>
          <w:vertAlign w:val="subscript"/>
          <w:lang w:val="es-ES"/>
        </w:rPr>
        <w:t>onmax</w:t>
      </w:r>
      <w:r w:rsidR="00850CB5">
        <w:rPr>
          <w:lang w:val="es-ES"/>
        </w:rPr>
        <w:t xml:space="preserve"> en función del flujo luminoso </w:t>
      </w:r>
      <w:r w:rsidR="00850CB5">
        <w:rPr>
          <w:rFonts w:cs="Calibri"/>
          <w:lang w:val="es-ES"/>
        </w:rPr>
        <w:t>φ</w:t>
      </w:r>
      <w:r w:rsidR="00850CB5" w:rsidRPr="00850CB5">
        <w:rPr>
          <w:vertAlign w:val="subscript"/>
          <w:lang w:val="es-ES"/>
        </w:rPr>
        <w:t>use</w:t>
      </w:r>
      <w:r w:rsidR="00850CB5">
        <w:rPr>
          <w:lang w:val="es-ES"/>
        </w:rPr>
        <w:t>:</w:t>
      </w:r>
    </w:p>
    <w:p w14:paraId="1EAD65F4" w14:textId="77777777" w:rsidR="00850CB5" w:rsidRPr="00BC092A" w:rsidRDefault="00850CB5" w:rsidP="00850CB5">
      <w:pPr>
        <w:pStyle w:val="BodyText"/>
        <w:jc w:val="center"/>
        <w:rPr>
          <w:sz w:val="26"/>
          <w:szCs w:val="26"/>
          <w:lang w:val="en-US"/>
        </w:rPr>
      </w:pPr>
      <w:r w:rsidRPr="00BC092A">
        <w:rPr>
          <w:sz w:val="26"/>
          <w:szCs w:val="26"/>
          <w:lang w:val="en-US"/>
        </w:rPr>
        <w:t>P</w:t>
      </w:r>
      <w:r w:rsidRPr="00BC092A">
        <w:rPr>
          <w:sz w:val="26"/>
          <w:szCs w:val="26"/>
          <w:vertAlign w:val="subscript"/>
          <w:lang w:val="en-US"/>
        </w:rPr>
        <w:t>onmax</w:t>
      </w:r>
      <w:r w:rsidRPr="00BC092A">
        <w:rPr>
          <w:sz w:val="26"/>
          <w:szCs w:val="26"/>
          <w:lang w:val="en-US"/>
        </w:rPr>
        <w:t xml:space="preserve"> = C * (L + </w:t>
      </w:r>
      <w:r w:rsidRPr="00C21981">
        <w:rPr>
          <w:sz w:val="26"/>
          <w:szCs w:val="26"/>
          <w:lang w:val="es-ES"/>
        </w:rPr>
        <w:t>Φ</w:t>
      </w:r>
      <w:r w:rsidRPr="00BC092A">
        <w:rPr>
          <w:sz w:val="26"/>
          <w:szCs w:val="26"/>
          <w:vertAlign w:val="subscript"/>
          <w:lang w:val="en-US"/>
        </w:rPr>
        <w:t>use</w:t>
      </w:r>
      <w:r w:rsidRPr="00BC092A">
        <w:rPr>
          <w:sz w:val="26"/>
          <w:szCs w:val="26"/>
          <w:lang w:val="en-US"/>
        </w:rPr>
        <w:t xml:space="preserve"> / (F*</w:t>
      </w:r>
      <w:r w:rsidRPr="00C21981">
        <w:rPr>
          <w:sz w:val="26"/>
          <w:szCs w:val="26"/>
          <w:lang w:val="es-ES"/>
        </w:rPr>
        <w:t>η</w:t>
      </w:r>
      <w:r w:rsidRPr="00BC092A">
        <w:rPr>
          <w:sz w:val="26"/>
          <w:szCs w:val="26"/>
          <w:lang w:val="en-US"/>
        </w:rPr>
        <w:t>)) * R</w:t>
      </w:r>
    </w:p>
    <w:p w14:paraId="7D2CFC75" w14:textId="19743130" w:rsidR="00850CB5" w:rsidRDefault="00850CB5" w:rsidP="00850CB5">
      <w:pPr>
        <w:pStyle w:val="BodyText"/>
        <w:rPr>
          <w:lang w:val="es-ES"/>
        </w:rPr>
      </w:pPr>
      <w:r>
        <w:rPr>
          <w:lang w:val="es-ES"/>
        </w:rPr>
        <w:t xml:space="preserve">Los coeficientes </w:t>
      </w:r>
      <w:r w:rsidRPr="00850CB5">
        <w:rPr>
          <w:lang w:val="es-ES"/>
        </w:rPr>
        <w:t>η</w:t>
      </w:r>
      <w:r>
        <w:rPr>
          <w:lang w:val="es-ES"/>
        </w:rPr>
        <w:t xml:space="preserve">, L, C, F y R </w:t>
      </w:r>
      <w:r w:rsidR="00847A21">
        <w:rPr>
          <w:lang w:val="es-ES"/>
        </w:rPr>
        <w:t xml:space="preserve">se explicitan en el Anexo </w:t>
      </w:r>
      <w:r w:rsidR="00E21CB6">
        <w:rPr>
          <w:lang w:val="es-ES"/>
        </w:rPr>
        <w:t>6</w:t>
      </w:r>
      <w:r w:rsidR="00847A21">
        <w:rPr>
          <w:lang w:val="es-ES"/>
        </w:rPr>
        <w:t>.</w:t>
      </w:r>
      <w:r>
        <w:rPr>
          <w:lang w:val="es-ES"/>
        </w:rPr>
        <w:t xml:space="preserve"> </w:t>
      </w:r>
    </w:p>
    <w:p w14:paraId="0331EC9A" w14:textId="0B7162B3" w:rsidR="00CD5F26" w:rsidRDefault="00CD5F26" w:rsidP="00850CB5">
      <w:pPr>
        <w:pStyle w:val="BodyText"/>
        <w:rPr>
          <w:lang w:val="es-ES"/>
        </w:rPr>
      </w:pPr>
      <w:r w:rsidRPr="00CD5F26">
        <w:rPr>
          <w:lang w:val="es-ES"/>
        </w:rPr>
        <w:t xml:space="preserve">La figura </w:t>
      </w:r>
      <w:r w:rsidR="00A63946">
        <w:rPr>
          <w:lang w:val="es-ES"/>
        </w:rPr>
        <w:t>5</w:t>
      </w:r>
      <w:r w:rsidRPr="00CD5F26">
        <w:rPr>
          <w:lang w:val="es-ES"/>
        </w:rPr>
        <w:t xml:space="preserve"> muestra los valores límites para algunos tipos de lámparas </w:t>
      </w:r>
      <w:r>
        <w:rPr>
          <w:lang w:val="es-ES"/>
        </w:rPr>
        <w:t>de acuerdo a esta propuesta.</w:t>
      </w:r>
      <w:r w:rsidR="00D3252C">
        <w:rPr>
          <w:lang w:val="es-ES"/>
        </w:rPr>
        <w:t xml:space="preserve"> Cabe mencionar que el reglamento propuesto </w:t>
      </w:r>
      <w:r w:rsidR="009613A0">
        <w:rPr>
          <w:lang w:val="es-ES"/>
        </w:rPr>
        <w:t>incluye un espectro ampli</w:t>
      </w:r>
      <w:r w:rsidR="001A10C2">
        <w:rPr>
          <w:lang w:val="es-ES"/>
        </w:rPr>
        <w:t>o</w:t>
      </w:r>
      <w:r w:rsidR="009613A0">
        <w:rPr>
          <w:lang w:val="es-ES"/>
        </w:rPr>
        <w:t xml:space="preserve"> de lámparas, incluidas lámparas de uso general, LFC, lámparas LED</w:t>
      </w:r>
      <w:r w:rsidR="00C21981">
        <w:rPr>
          <w:lang w:val="es-ES"/>
        </w:rPr>
        <w:t xml:space="preserve"> y OLED</w:t>
      </w:r>
      <w:r w:rsidR="009613A0">
        <w:rPr>
          <w:lang w:val="es-ES"/>
        </w:rPr>
        <w:t>, lámparas fluorescentes lineales</w:t>
      </w:r>
      <w:r w:rsidR="00C21981">
        <w:rPr>
          <w:lang w:val="es-ES"/>
        </w:rPr>
        <w:t xml:space="preserve"> y</w:t>
      </w:r>
      <w:r w:rsidR="009613A0">
        <w:rPr>
          <w:lang w:val="es-ES"/>
        </w:rPr>
        <w:t xml:space="preserve"> lámparas </w:t>
      </w:r>
      <w:r w:rsidR="00C21981" w:rsidRPr="00C21981">
        <w:rPr>
          <w:lang w:val="es-ES"/>
        </w:rPr>
        <w:t>de descarga de alta intensidad</w:t>
      </w:r>
      <w:r w:rsidR="00C21981">
        <w:rPr>
          <w:lang w:val="es-ES"/>
        </w:rPr>
        <w:t>.</w:t>
      </w:r>
    </w:p>
    <w:p w14:paraId="57BA4E6D" w14:textId="17DFC802" w:rsidR="003779CB" w:rsidRDefault="003779CB">
      <w:pPr>
        <w:suppressAutoHyphens w:val="0"/>
        <w:rPr>
          <w:lang w:val="es-ES"/>
        </w:rPr>
      </w:pPr>
      <w:r>
        <w:rPr>
          <w:lang w:val="es-ES"/>
        </w:rPr>
        <w:br w:type="page"/>
      </w:r>
    </w:p>
    <w:p w14:paraId="4F5ECB13" w14:textId="02B24F39" w:rsidR="00CD5F26" w:rsidRDefault="00CD5F26" w:rsidP="00CD5F26">
      <w:pPr>
        <w:pStyle w:val="Caption"/>
        <w:spacing w:after="0"/>
        <w:rPr>
          <w:lang w:val="es-ES"/>
        </w:rPr>
      </w:pPr>
      <w:r w:rsidRPr="00A96F74">
        <w:rPr>
          <w:lang w:val="es-ES"/>
        </w:rPr>
        <w:lastRenderedPageBreak/>
        <w:t xml:space="preserve">Figura </w:t>
      </w:r>
      <w:r w:rsidRPr="00A96F74">
        <w:rPr>
          <w:lang w:val="es-ES"/>
        </w:rPr>
        <w:fldChar w:fldCharType="begin"/>
      </w:r>
      <w:r w:rsidRPr="00A96F74">
        <w:rPr>
          <w:lang w:val="es-ES"/>
        </w:rPr>
        <w:instrText xml:space="preserve"> SEQ Figura \* ARABIC </w:instrText>
      </w:r>
      <w:r w:rsidRPr="00A96F74">
        <w:rPr>
          <w:lang w:val="es-ES"/>
        </w:rPr>
        <w:fldChar w:fldCharType="separate"/>
      </w:r>
      <w:r w:rsidR="005E6430">
        <w:rPr>
          <w:noProof/>
          <w:lang w:val="es-ES"/>
        </w:rPr>
        <w:t>5</w:t>
      </w:r>
      <w:r w:rsidRPr="00A96F74">
        <w:rPr>
          <w:noProof/>
          <w:lang w:val="es-ES"/>
        </w:rPr>
        <w:fldChar w:fldCharType="end"/>
      </w:r>
      <w:r w:rsidRPr="00A96F74">
        <w:rPr>
          <w:lang w:val="es-ES"/>
        </w:rPr>
        <w:t xml:space="preserve"> – </w:t>
      </w:r>
      <w:r>
        <w:rPr>
          <w:lang w:val="es-ES"/>
        </w:rPr>
        <w:t xml:space="preserve">Índices de eficacia luminosa mínima para tipos de lámparas seleccionadas </w:t>
      </w:r>
      <w:r w:rsidRPr="00E2630F">
        <w:rPr>
          <w:lang w:val="es-ES"/>
        </w:rPr>
        <w:t xml:space="preserve">– </w:t>
      </w:r>
      <w:r>
        <w:rPr>
          <w:lang w:val="es-ES"/>
        </w:rPr>
        <w:t>Propuesta de la Comisión Europea</w:t>
      </w:r>
    </w:p>
    <w:p w14:paraId="02A182D4" w14:textId="64B5F43F" w:rsidR="00CD5F26" w:rsidRPr="00A96F74" w:rsidRDefault="00CD5F26" w:rsidP="00CD5F26">
      <w:pPr>
        <w:spacing w:before="0" w:after="140"/>
        <w:jc w:val="center"/>
        <w:rPr>
          <w:color w:val="002B7F"/>
          <w:lang w:val="es-ES"/>
        </w:rPr>
      </w:pPr>
      <w:r w:rsidRPr="00A96F74">
        <w:rPr>
          <w:i/>
          <w:color w:val="002B7F"/>
          <w:sz w:val="18"/>
          <w:lang w:val="es-ES"/>
        </w:rPr>
        <w:t>Fuente:</w:t>
      </w:r>
      <w:r w:rsidRPr="00E2630F">
        <w:rPr>
          <w:lang w:val="es-ES"/>
        </w:rPr>
        <w:t xml:space="preserve"> </w:t>
      </w:r>
      <w:r w:rsidRPr="00E2630F">
        <w:rPr>
          <w:rFonts w:cstheme="minorHAnsi"/>
          <w:color w:val="002B7F"/>
          <w:sz w:val="18"/>
          <w:lang w:val="es-PA"/>
        </w:rPr>
        <w:t xml:space="preserve">Elaboración propia en base </w:t>
      </w:r>
      <w:r>
        <w:rPr>
          <w:rFonts w:cstheme="minorHAnsi"/>
          <w:color w:val="002B7F"/>
          <w:sz w:val="18"/>
          <w:lang w:val="es-PA"/>
        </w:rPr>
        <w:t>CE, 2017</w:t>
      </w:r>
    </w:p>
    <w:p w14:paraId="5678738A" w14:textId="1A28317B" w:rsidR="00CD5F26" w:rsidRDefault="00CD5F26" w:rsidP="00850CB5">
      <w:pPr>
        <w:pStyle w:val="BodyText"/>
        <w:rPr>
          <w:lang w:val="es-ES"/>
        </w:rPr>
      </w:pPr>
      <w:r>
        <w:rPr>
          <w:noProof/>
          <w:lang w:val="en-US"/>
        </w:rPr>
        <w:drawing>
          <wp:inline distT="0" distB="0" distL="0" distR="0" wp14:anchorId="12FF04BE" wp14:editId="1A5CD937">
            <wp:extent cx="5400040" cy="3194685"/>
            <wp:effectExtent l="0" t="0" r="10160" b="571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CB394F" w14:textId="3651AF40" w:rsidR="00CD5F26" w:rsidRPr="00CD5F26" w:rsidRDefault="00CD5F26" w:rsidP="00850CB5">
      <w:pPr>
        <w:pStyle w:val="BodyText"/>
        <w:rPr>
          <w:sz w:val="20"/>
          <w:szCs w:val="20"/>
          <w:lang w:val="es-ES"/>
        </w:rPr>
      </w:pPr>
      <w:r w:rsidRPr="00CD5F26">
        <w:rPr>
          <w:sz w:val="20"/>
          <w:szCs w:val="20"/>
          <w:lang w:val="es-ES"/>
        </w:rPr>
        <w:t xml:space="preserve">Nota: </w:t>
      </w:r>
      <w:r w:rsidR="003B2AA5">
        <w:rPr>
          <w:sz w:val="20"/>
          <w:szCs w:val="20"/>
          <w:lang w:val="es-ES"/>
        </w:rPr>
        <w:t xml:space="preserve">Tipos de lámparas seleccionadas con coeficientes </w:t>
      </w:r>
      <w:r w:rsidR="003B2AA5" w:rsidRPr="003B2AA5">
        <w:rPr>
          <w:sz w:val="20"/>
          <w:szCs w:val="20"/>
          <w:lang w:val="es-ES"/>
        </w:rPr>
        <w:t>η</w:t>
      </w:r>
      <w:r w:rsidR="003B2AA5">
        <w:rPr>
          <w:sz w:val="20"/>
          <w:szCs w:val="20"/>
          <w:lang w:val="es-ES"/>
        </w:rPr>
        <w:t xml:space="preserve"> y</w:t>
      </w:r>
      <w:r w:rsidR="003B2AA5" w:rsidRPr="003B2AA5">
        <w:rPr>
          <w:sz w:val="20"/>
          <w:szCs w:val="20"/>
          <w:lang w:val="es-ES"/>
        </w:rPr>
        <w:t xml:space="preserve"> L </w:t>
      </w:r>
      <w:r w:rsidR="003B2AA5">
        <w:rPr>
          <w:sz w:val="20"/>
          <w:szCs w:val="20"/>
          <w:lang w:val="es-ES"/>
        </w:rPr>
        <w:t xml:space="preserve">de acuerdo a la tabla 1 del Anexo </w:t>
      </w:r>
      <w:r w:rsidR="00E21CB6">
        <w:rPr>
          <w:sz w:val="20"/>
          <w:szCs w:val="20"/>
          <w:lang w:val="es-ES"/>
        </w:rPr>
        <w:t>6</w:t>
      </w:r>
      <w:r w:rsidR="003B2AA5">
        <w:rPr>
          <w:sz w:val="20"/>
          <w:szCs w:val="20"/>
          <w:lang w:val="es-ES"/>
        </w:rPr>
        <w:t xml:space="preserve">. </w:t>
      </w:r>
      <w:r w:rsidR="00C533D4">
        <w:rPr>
          <w:sz w:val="20"/>
          <w:szCs w:val="20"/>
          <w:lang w:val="es-ES"/>
        </w:rPr>
        <w:t>(R = 1,00 (</w:t>
      </w:r>
      <w:r w:rsidR="003B2AA5">
        <w:rPr>
          <w:sz w:val="20"/>
          <w:szCs w:val="20"/>
          <w:lang w:val="es-ES"/>
        </w:rPr>
        <w:t>CRI = 80</w:t>
      </w:r>
      <w:r w:rsidR="00C533D4">
        <w:rPr>
          <w:sz w:val="20"/>
          <w:szCs w:val="20"/>
          <w:lang w:val="es-ES"/>
        </w:rPr>
        <w:t>)</w:t>
      </w:r>
      <w:r w:rsidR="003B2AA5">
        <w:rPr>
          <w:sz w:val="20"/>
          <w:szCs w:val="20"/>
          <w:lang w:val="es-ES"/>
        </w:rPr>
        <w:t>, F = 1,00</w:t>
      </w:r>
      <w:r w:rsidR="00C533D4">
        <w:rPr>
          <w:sz w:val="20"/>
          <w:szCs w:val="20"/>
          <w:lang w:val="es-ES"/>
        </w:rPr>
        <w:t xml:space="preserve">, C = 1,08 </w:t>
      </w:r>
      <w:r w:rsidR="003B2AA5">
        <w:rPr>
          <w:sz w:val="20"/>
          <w:szCs w:val="20"/>
          <w:lang w:val="es-ES"/>
        </w:rPr>
        <w:t xml:space="preserve"> (lámpara no direccional</w:t>
      </w:r>
      <w:r w:rsidR="004E608F">
        <w:rPr>
          <w:sz w:val="20"/>
          <w:szCs w:val="20"/>
          <w:lang w:val="es-ES"/>
        </w:rPr>
        <w:t xml:space="preserve"> </w:t>
      </w:r>
      <w:r w:rsidR="004E608F" w:rsidRPr="004E608F">
        <w:rPr>
          <w:sz w:val="20"/>
          <w:szCs w:val="20"/>
          <w:lang w:val="es-ES"/>
        </w:rPr>
        <w:t>que funciona en la red</w:t>
      </w:r>
      <w:r w:rsidR="00C533D4">
        <w:rPr>
          <w:sz w:val="20"/>
          <w:szCs w:val="20"/>
          <w:lang w:val="es-ES"/>
        </w:rPr>
        <w:t>).</w:t>
      </w:r>
      <w:r w:rsidRPr="00CD5F26">
        <w:rPr>
          <w:sz w:val="20"/>
          <w:szCs w:val="20"/>
          <w:lang w:val="es-ES"/>
        </w:rPr>
        <w:t xml:space="preserve">  </w:t>
      </w:r>
    </w:p>
    <w:p w14:paraId="783D8E51" w14:textId="63FB2837" w:rsidR="00CD5F26" w:rsidRDefault="00CD5F26" w:rsidP="00850CB5">
      <w:pPr>
        <w:pStyle w:val="BodyText"/>
        <w:rPr>
          <w:lang w:val="es-ES"/>
        </w:rPr>
      </w:pPr>
    </w:p>
    <w:p w14:paraId="3542BAB8" w14:textId="11590537" w:rsidR="008A3889" w:rsidRDefault="008A3889" w:rsidP="00850CB5">
      <w:pPr>
        <w:pStyle w:val="BodyText"/>
        <w:rPr>
          <w:lang w:val="es-ES"/>
        </w:rPr>
      </w:pPr>
      <w:r>
        <w:rPr>
          <w:lang w:val="es-ES"/>
        </w:rPr>
        <w:t>Como se puede apreciar del gráfico, los límites de desempeño energético para lámparas de uso general, LFC y LED son cerca de los valores de la etapa 3 de la propuesta anterior de la CE</w:t>
      </w:r>
      <w:r w:rsidR="00D3252C">
        <w:rPr>
          <w:lang w:val="es-ES"/>
        </w:rPr>
        <w:t xml:space="preserve">, mientras que los límites para lámparas fluorescentes lineales son cerca de la etapa 2 de la propuesta anterior. Cabe mencionar que la propuesta de la CE de 2017 </w:t>
      </w:r>
      <w:r w:rsidR="006E1CB8">
        <w:rPr>
          <w:lang w:val="es-ES"/>
        </w:rPr>
        <w:t xml:space="preserve">se encuentra en este momento en consulta pública, </w:t>
      </w:r>
      <w:r w:rsidR="00FE2CDB" w:rsidRPr="00FE2CDB">
        <w:rPr>
          <w:lang w:val="es-ES"/>
        </w:rPr>
        <w:t>tras concluir las discusiones con las partes de interés en el  "Foro consultivo"</w:t>
      </w:r>
      <w:r w:rsidR="00FE2CDB">
        <w:rPr>
          <w:lang w:val="es-ES"/>
        </w:rPr>
        <w:t xml:space="preserve"> convocado por la CE.</w:t>
      </w:r>
      <w:r w:rsidR="00D3252C">
        <w:rPr>
          <w:lang w:val="es-ES"/>
        </w:rPr>
        <w:t xml:space="preserve"> </w:t>
      </w:r>
      <w:r w:rsidR="00FE2CDB">
        <w:rPr>
          <w:lang w:val="es-ES"/>
        </w:rPr>
        <w:t>Ello</w:t>
      </w:r>
      <w:r w:rsidR="00D3252C">
        <w:rPr>
          <w:lang w:val="es-ES"/>
        </w:rPr>
        <w:t xml:space="preserve"> significa que el nuevo reglamento para productos de iluminación podría diferir de esta propuesta.</w:t>
      </w:r>
    </w:p>
    <w:p w14:paraId="620302F4" w14:textId="4E046F82" w:rsidR="00A45A21" w:rsidRPr="00A45A21" w:rsidRDefault="004205D7" w:rsidP="00842463">
      <w:pPr>
        <w:pStyle w:val="Heading3"/>
        <w:rPr>
          <w:lang w:val="es-ES"/>
        </w:rPr>
      </w:pPr>
      <w:bookmarkStart w:id="40" w:name="_Toc516146009"/>
      <w:r>
        <w:rPr>
          <w:lang w:val="es-ES"/>
        </w:rPr>
        <w:t>Métodos de prueba</w:t>
      </w:r>
      <w:bookmarkEnd w:id="40"/>
    </w:p>
    <w:bookmarkEnd w:id="6"/>
    <w:bookmarkEnd w:id="7"/>
    <w:bookmarkEnd w:id="38"/>
    <w:p w14:paraId="4F2F6BB8" w14:textId="1FA5B7A2" w:rsidR="00053B3F" w:rsidRDefault="00053B3F">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 xml:space="preserve">Paralelo a la publicación de los reglamentos (CE) 244/2009, (CE) 245/2009 y (CE) 1194/2009, la Comisión Europea ha encomendado a </w:t>
      </w:r>
      <w:r w:rsidR="002511A6">
        <w:rPr>
          <w:rFonts w:asciiTheme="minorHAnsi" w:eastAsia="Calibri" w:hAnsiTheme="minorHAnsi" w:cstheme="minorHAnsi"/>
          <w:color w:val="auto"/>
          <w:lang w:val="es-ES"/>
        </w:rPr>
        <w:t>los organismos de normalización europeos</w:t>
      </w:r>
      <w:r>
        <w:rPr>
          <w:rFonts w:asciiTheme="minorHAnsi" w:eastAsia="Calibri" w:hAnsiTheme="minorHAnsi" w:cstheme="minorHAnsi"/>
          <w:color w:val="auto"/>
          <w:lang w:val="es-ES"/>
        </w:rPr>
        <w:t xml:space="preserve"> la elaboración </w:t>
      </w:r>
      <w:r w:rsidR="000C7F25">
        <w:rPr>
          <w:rFonts w:asciiTheme="minorHAnsi" w:eastAsia="Calibri" w:hAnsiTheme="minorHAnsi" w:cstheme="minorHAnsi"/>
          <w:color w:val="auto"/>
          <w:lang w:val="es-ES"/>
        </w:rPr>
        <w:t xml:space="preserve">y </w:t>
      </w:r>
      <w:r>
        <w:rPr>
          <w:rFonts w:asciiTheme="minorHAnsi" w:eastAsia="Calibri" w:hAnsiTheme="minorHAnsi" w:cstheme="minorHAnsi"/>
          <w:color w:val="auto"/>
          <w:lang w:val="es-ES"/>
        </w:rPr>
        <w:t>revisión</w:t>
      </w:r>
      <w:r w:rsidR="000C7F25">
        <w:rPr>
          <w:rFonts w:asciiTheme="minorHAnsi" w:eastAsia="Calibri" w:hAnsiTheme="minorHAnsi" w:cstheme="minorHAnsi"/>
          <w:color w:val="auto"/>
          <w:lang w:val="es-ES"/>
        </w:rPr>
        <w:t>, respectivamente,</w:t>
      </w:r>
      <w:r>
        <w:rPr>
          <w:rFonts w:asciiTheme="minorHAnsi" w:eastAsia="Calibri" w:hAnsiTheme="minorHAnsi" w:cstheme="minorHAnsi"/>
          <w:color w:val="auto"/>
          <w:lang w:val="es-ES"/>
        </w:rPr>
        <w:t xml:space="preserve"> de normas europeas (EN) armonizadas para los tipos de lámparas regulados por los regl</w:t>
      </w:r>
      <w:r w:rsidR="00E04B07">
        <w:rPr>
          <w:rFonts w:asciiTheme="minorHAnsi" w:eastAsia="Calibri" w:hAnsiTheme="minorHAnsi" w:cstheme="minorHAnsi"/>
          <w:color w:val="auto"/>
          <w:lang w:val="es-ES"/>
        </w:rPr>
        <w:t>a</w:t>
      </w:r>
      <w:r>
        <w:rPr>
          <w:rFonts w:asciiTheme="minorHAnsi" w:eastAsia="Calibri" w:hAnsiTheme="minorHAnsi" w:cstheme="minorHAnsi"/>
          <w:color w:val="auto"/>
          <w:lang w:val="es-ES"/>
        </w:rPr>
        <w:t>mentos.</w:t>
      </w:r>
      <w:r w:rsidR="002511A6">
        <w:rPr>
          <w:rStyle w:val="FootnoteReference"/>
          <w:rFonts w:asciiTheme="minorHAnsi" w:eastAsia="Calibri" w:hAnsiTheme="minorHAnsi" w:cstheme="minorHAnsi"/>
          <w:color w:val="auto"/>
        </w:rPr>
        <w:footnoteReference w:id="57"/>
      </w:r>
      <w:r w:rsidR="00E04B07">
        <w:rPr>
          <w:rFonts w:asciiTheme="minorHAnsi" w:eastAsia="Calibri" w:hAnsiTheme="minorHAnsi" w:cstheme="minorHAnsi"/>
          <w:color w:val="auto"/>
          <w:lang w:val="es-ES"/>
        </w:rPr>
        <w:t xml:space="preserve"> Con el objetivo de asegurar una base normativa adecuada en </w:t>
      </w:r>
      <w:r w:rsidR="00E04B07">
        <w:rPr>
          <w:rFonts w:asciiTheme="minorHAnsi" w:eastAsia="Calibri" w:hAnsiTheme="minorHAnsi" w:cstheme="minorHAnsi"/>
          <w:color w:val="auto"/>
          <w:lang w:val="es-ES"/>
        </w:rPr>
        <w:lastRenderedPageBreak/>
        <w:t>el período transitorio hasta la publicación de las nuevas normas armonizadas, la Comisión publicó también</w:t>
      </w:r>
      <w:r w:rsidR="00983D72">
        <w:rPr>
          <w:rFonts w:asciiTheme="minorHAnsi" w:eastAsia="Calibri" w:hAnsiTheme="minorHAnsi" w:cstheme="minorHAnsi"/>
          <w:color w:val="auto"/>
          <w:lang w:val="es-ES"/>
        </w:rPr>
        <w:t xml:space="preserve"> métodos transitorios de medición.</w:t>
      </w:r>
      <w:r w:rsidR="00F008E4">
        <w:rPr>
          <w:rStyle w:val="FootnoteReference"/>
          <w:rFonts w:asciiTheme="minorHAnsi" w:eastAsia="Calibri" w:hAnsiTheme="minorHAnsi" w:cstheme="minorHAnsi"/>
          <w:color w:val="auto"/>
        </w:rPr>
        <w:footnoteReference w:id="58"/>
      </w:r>
      <w:r w:rsidR="00E04B07">
        <w:rPr>
          <w:rFonts w:asciiTheme="minorHAnsi" w:eastAsia="Calibri" w:hAnsiTheme="minorHAnsi" w:cstheme="minorHAnsi"/>
          <w:color w:val="auto"/>
          <w:lang w:val="es-ES"/>
        </w:rPr>
        <w:t xml:space="preserve"> </w:t>
      </w:r>
      <w:r>
        <w:rPr>
          <w:rFonts w:asciiTheme="minorHAnsi" w:eastAsia="Calibri" w:hAnsiTheme="minorHAnsi" w:cstheme="minorHAnsi"/>
          <w:color w:val="auto"/>
          <w:lang w:val="es-ES"/>
        </w:rPr>
        <w:t xml:space="preserve"> </w:t>
      </w:r>
    </w:p>
    <w:p w14:paraId="24486A26" w14:textId="33827388" w:rsidR="00F008E4" w:rsidRDefault="00F008E4">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 xml:space="preserve">El Anexo </w:t>
      </w:r>
      <w:r w:rsidR="00E21CB6">
        <w:rPr>
          <w:rFonts w:asciiTheme="minorHAnsi" w:eastAsia="Calibri" w:hAnsiTheme="minorHAnsi" w:cstheme="minorHAnsi"/>
          <w:color w:val="auto"/>
          <w:lang w:val="es-ES"/>
        </w:rPr>
        <w:t>9</w:t>
      </w:r>
      <w:r>
        <w:rPr>
          <w:rFonts w:asciiTheme="minorHAnsi" w:eastAsia="Calibri" w:hAnsiTheme="minorHAnsi" w:cstheme="minorHAnsi"/>
          <w:color w:val="auto"/>
          <w:lang w:val="es-ES"/>
        </w:rPr>
        <w:t xml:space="preserve"> muestra las normas europeas (EN) </w:t>
      </w:r>
      <w:r w:rsidR="00E610C0">
        <w:rPr>
          <w:rFonts w:asciiTheme="minorHAnsi" w:eastAsia="Calibri" w:hAnsiTheme="minorHAnsi" w:cstheme="minorHAnsi"/>
          <w:color w:val="auto"/>
          <w:lang w:val="es-ES"/>
        </w:rPr>
        <w:t>principales</w:t>
      </w:r>
      <w:r>
        <w:rPr>
          <w:rFonts w:asciiTheme="minorHAnsi" w:eastAsia="Calibri" w:hAnsiTheme="minorHAnsi" w:cstheme="minorHAnsi"/>
          <w:color w:val="auto"/>
          <w:lang w:val="es-ES"/>
        </w:rPr>
        <w:t xml:space="preserve"> publicad</w:t>
      </w:r>
      <w:r w:rsidR="00E610C0">
        <w:rPr>
          <w:rFonts w:asciiTheme="minorHAnsi" w:eastAsia="Calibri" w:hAnsiTheme="minorHAnsi" w:cstheme="minorHAnsi"/>
          <w:color w:val="auto"/>
          <w:lang w:val="es-ES"/>
        </w:rPr>
        <w:t>a</w:t>
      </w:r>
      <w:r>
        <w:rPr>
          <w:rFonts w:asciiTheme="minorHAnsi" w:eastAsia="Calibri" w:hAnsiTheme="minorHAnsi" w:cstheme="minorHAnsi"/>
          <w:color w:val="auto"/>
          <w:lang w:val="es-ES"/>
        </w:rPr>
        <w:t xml:space="preserve">s </w:t>
      </w:r>
      <w:r w:rsidR="004D37EF">
        <w:rPr>
          <w:rFonts w:asciiTheme="minorHAnsi" w:eastAsia="Calibri" w:hAnsiTheme="minorHAnsi" w:cstheme="minorHAnsi"/>
          <w:color w:val="auto"/>
          <w:lang w:val="es-ES"/>
        </w:rPr>
        <w:t xml:space="preserve">y </w:t>
      </w:r>
      <w:r w:rsidR="00B2227B">
        <w:rPr>
          <w:rFonts w:asciiTheme="minorHAnsi" w:eastAsia="Calibri" w:hAnsiTheme="minorHAnsi" w:cstheme="minorHAnsi"/>
          <w:color w:val="auto"/>
          <w:lang w:val="es-ES"/>
        </w:rPr>
        <w:t>vigentes, incluidas sus últimas modificaciones. La lista incluye tanto normas de funcionamiento (</w:t>
      </w:r>
      <w:r w:rsidR="00B2227B" w:rsidRPr="00B2227B">
        <w:rPr>
          <w:rFonts w:asciiTheme="minorHAnsi" w:eastAsia="Calibri" w:hAnsiTheme="minorHAnsi" w:cstheme="minorHAnsi"/>
          <w:i/>
          <w:color w:val="auto"/>
          <w:lang w:val="es-ES"/>
        </w:rPr>
        <w:t>performance requirements</w:t>
      </w:r>
      <w:r w:rsidR="00B2227B">
        <w:rPr>
          <w:rFonts w:asciiTheme="minorHAnsi" w:eastAsia="Calibri" w:hAnsiTheme="minorHAnsi" w:cstheme="minorHAnsi"/>
          <w:color w:val="auto"/>
          <w:lang w:val="es-ES"/>
        </w:rPr>
        <w:t>) como normas de seguridad. Además de las normas europeas se incluyen las normas españolas UNE-EN correspondientes homologadas</w:t>
      </w:r>
      <w:r w:rsidR="006F3C78">
        <w:rPr>
          <w:rStyle w:val="FootnoteReference"/>
          <w:rFonts w:asciiTheme="minorHAnsi" w:eastAsia="Calibri" w:hAnsiTheme="minorHAnsi" w:cstheme="minorHAnsi"/>
          <w:color w:val="auto"/>
        </w:rPr>
        <w:footnoteReference w:id="59"/>
      </w:r>
      <w:r w:rsidR="00531FE5">
        <w:rPr>
          <w:rFonts w:asciiTheme="minorHAnsi" w:eastAsia="Calibri" w:hAnsiTheme="minorHAnsi" w:cstheme="minorHAnsi"/>
          <w:color w:val="auto"/>
          <w:lang w:val="es-ES"/>
        </w:rPr>
        <w:t xml:space="preserve"> </w:t>
      </w:r>
      <w:r w:rsidR="00B2227B">
        <w:rPr>
          <w:rFonts w:asciiTheme="minorHAnsi" w:eastAsia="Calibri" w:hAnsiTheme="minorHAnsi" w:cstheme="minorHAnsi"/>
          <w:color w:val="auto"/>
          <w:lang w:val="es-ES"/>
        </w:rPr>
        <w:t>y las normas internacionales IEC correspondientes.</w:t>
      </w:r>
    </w:p>
    <w:p w14:paraId="5A6918BB" w14:textId="205EF239" w:rsidR="00B2227B" w:rsidRDefault="00717CBE">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 xml:space="preserve">La tabla 4 incluye de forma resumida las normas EN e IEC correspondientes de funcionamiento </w:t>
      </w:r>
      <w:r w:rsidR="005831B5">
        <w:rPr>
          <w:rFonts w:asciiTheme="minorHAnsi" w:eastAsia="Calibri" w:hAnsiTheme="minorHAnsi" w:cstheme="minorHAnsi"/>
          <w:color w:val="auto"/>
          <w:lang w:val="es-ES"/>
        </w:rPr>
        <w:t>principales</w:t>
      </w:r>
      <w:r>
        <w:rPr>
          <w:rFonts w:asciiTheme="minorHAnsi" w:eastAsia="Calibri" w:hAnsiTheme="minorHAnsi" w:cstheme="minorHAnsi"/>
          <w:color w:val="auto"/>
          <w:lang w:val="es-ES"/>
        </w:rPr>
        <w:t xml:space="preserve">. Como se puede apreciar de la tabla y del Anexo </w:t>
      </w:r>
      <w:r w:rsidR="00E21CB6">
        <w:rPr>
          <w:rFonts w:asciiTheme="minorHAnsi" w:eastAsia="Calibri" w:hAnsiTheme="minorHAnsi" w:cstheme="minorHAnsi"/>
          <w:color w:val="auto"/>
          <w:lang w:val="es-ES"/>
        </w:rPr>
        <w:t>9</w:t>
      </w:r>
      <w:r>
        <w:rPr>
          <w:rFonts w:asciiTheme="minorHAnsi" w:eastAsia="Calibri" w:hAnsiTheme="minorHAnsi" w:cstheme="minorHAnsi"/>
          <w:color w:val="auto"/>
          <w:lang w:val="es-ES"/>
        </w:rPr>
        <w:t xml:space="preserve">, existe en </w:t>
      </w:r>
      <w:r w:rsidR="003779CB">
        <w:rPr>
          <w:rFonts w:asciiTheme="minorHAnsi" w:eastAsia="Calibri" w:hAnsiTheme="minorHAnsi" w:cstheme="minorHAnsi"/>
          <w:color w:val="auto"/>
          <w:lang w:val="es-ES"/>
        </w:rPr>
        <w:t>general</w:t>
      </w:r>
      <w:r>
        <w:rPr>
          <w:rFonts w:asciiTheme="minorHAnsi" w:eastAsia="Calibri" w:hAnsiTheme="minorHAnsi" w:cstheme="minorHAnsi"/>
          <w:color w:val="auto"/>
          <w:lang w:val="es-ES"/>
        </w:rPr>
        <w:t xml:space="preserve"> equivalencia entre las normas EN e IEC correspondientes.</w:t>
      </w:r>
      <w:r w:rsidR="007438A5">
        <w:rPr>
          <w:rFonts w:asciiTheme="minorHAnsi" w:eastAsia="Calibri" w:hAnsiTheme="minorHAnsi" w:cstheme="minorHAnsi"/>
          <w:color w:val="auto"/>
          <w:lang w:val="es-ES"/>
        </w:rPr>
        <w:t xml:space="preserve"> </w:t>
      </w:r>
    </w:p>
    <w:p w14:paraId="6B78F78E" w14:textId="77499AE1" w:rsidR="00DA1F70" w:rsidRDefault="00DA1F70">
      <w:pPr>
        <w:suppressAutoHyphens w:val="0"/>
        <w:rPr>
          <w:color w:val="A6A6A6" w:themeColor="background1" w:themeShade="A6"/>
          <w:lang w:val="es-ES"/>
        </w:rPr>
      </w:pPr>
      <w:r>
        <w:rPr>
          <w:color w:val="A6A6A6" w:themeColor="background1" w:themeShade="A6"/>
          <w:lang w:val="es-ES"/>
        </w:rPr>
        <w:br w:type="page"/>
      </w:r>
    </w:p>
    <w:p w14:paraId="1ABDE26C" w14:textId="5FC2F768" w:rsidR="00E851D1" w:rsidRPr="00566934" w:rsidRDefault="00E851D1" w:rsidP="00E851D1">
      <w:pPr>
        <w:keepNext/>
        <w:keepLines/>
        <w:spacing w:before="0" w:after="0"/>
        <w:jc w:val="center"/>
        <w:rPr>
          <w:iCs/>
          <w:color w:val="002B7F"/>
          <w:szCs w:val="18"/>
          <w:lang w:val="es-ES"/>
        </w:rPr>
      </w:pPr>
      <w:r w:rsidRPr="00566934">
        <w:rPr>
          <w:iCs/>
          <w:color w:val="002B7F"/>
          <w:szCs w:val="18"/>
          <w:lang w:val="es-ES"/>
        </w:rPr>
        <w:lastRenderedPageBreak/>
        <w:t xml:space="preserve">Tabla </w:t>
      </w:r>
      <w:r w:rsidRPr="00566934">
        <w:rPr>
          <w:iCs/>
          <w:color w:val="002B7F"/>
          <w:szCs w:val="18"/>
          <w:lang w:val="es-ES"/>
        </w:rPr>
        <w:fldChar w:fldCharType="begin"/>
      </w:r>
      <w:r w:rsidRPr="00566934">
        <w:rPr>
          <w:iCs/>
          <w:color w:val="002B7F"/>
          <w:szCs w:val="18"/>
          <w:lang w:val="es-ES"/>
        </w:rPr>
        <w:instrText xml:space="preserve"> SEQ Tabla \* ARABIC </w:instrText>
      </w:r>
      <w:r w:rsidRPr="00566934">
        <w:rPr>
          <w:iCs/>
          <w:color w:val="002B7F"/>
          <w:szCs w:val="18"/>
          <w:lang w:val="es-ES"/>
        </w:rPr>
        <w:fldChar w:fldCharType="separate"/>
      </w:r>
      <w:r w:rsidR="005E6430">
        <w:rPr>
          <w:iCs/>
          <w:noProof/>
          <w:color w:val="002B7F"/>
          <w:szCs w:val="18"/>
          <w:lang w:val="es-ES"/>
        </w:rPr>
        <w:t>4</w:t>
      </w:r>
      <w:r w:rsidRPr="00566934">
        <w:rPr>
          <w:iCs/>
          <w:noProof/>
          <w:color w:val="002B7F"/>
          <w:szCs w:val="18"/>
          <w:lang w:val="es-ES"/>
        </w:rPr>
        <w:fldChar w:fldCharType="end"/>
      </w:r>
      <w:r w:rsidRPr="00566934">
        <w:rPr>
          <w:iCs/>
          <w:color w:val="002B7F"/>
          <w:szCs w:val="18"/>
          <w:lang w:val="es-ES"/>
        </w:rPr>
        <w:t xml:space="preserve"> – </w:t>
      </w:r>
      <w:r>
        <w:rPr>
          <w:iCs/>
          <w:color w:val="002B7F"/>
          <w:szCs w:val="18"/>
          <w:lang w:val="es-ES"/>
        </w:rPr>
        <w:t xml:space="preserve">Normas principales </w:t>
      </w:r>
      <w:r w:rsidR="00E95831">
        <w:rPr>
          <w:iCs/>
          <w:color w:val="002B7F"/>
          <w:szCs w:val="18"/>
          <w:lang w:val="es-ES"/>
        </w:rPr>
        <w:t>europeas e internacionales para productos de iluminación (requisitos de funcionamiento)</w:t>
      </w:r>
    </w:p>
    <w:p w14:paraId="01A40901" w14:textId="63856DAF" w:rsidR="00E851D1" w:rsidRDefault="00E851D1" w:rsidP="00E851D1">
      <w:pPr>
        <w:suppressAutoHyphens w:val="0"/>
        <w:autoSpaceDN/>
        <w:spacing w:before="0" w:after="140"/>
        <w:jc w:val="center"/>
        <w:textAlignment w:val="auto"/>
        <w:rPr>
          <w:rFonts w:cstheme="minorHAnsi"/>
          <w:color w:val="002B7F"/>
          <w:sz w:val="18"/>
          <w:lang w:val="es-PA"/>
        </w:rPr>
      </w:pPr>
      <w:r w:rsidRPr="00AD6CDA">
        <w:rPr>
          <w:i/>
          <w:color w:val="002B7F"/>
          <w:sz w:val="18"/>
          <w:lang w:val="es-ES"/>
        </w:rPr>
        <w:t xml:space="preserve">Fuente: </w:t>
      </w:r>
      <w:r w:rsidRPr="00AD6CDA">
        <w:rPr>
          <w:rFonts w:cstheme="minorHAnsi"/>
          <w:color w:val="002B7F"/>
          <w:sz w:val="18"/>
          <w:lang w:val="es-PA"/>
        </w:rPr>
        <w:t>Elaboración propia</w:t>
      </w:r>
      <w:r w:rsidR="00E95831">
        <w:rPr>
          <w:rFonts w:cstheme="minorHAnsi"/>
          <w:color w:val="002B7F"/>
          <w:sz w:val="18"/>
          <w:lang w:val="es-PA"/>
        </w:rPr>
        <w:t xml:space="preserve"> en base de Anexo </w:t>
      </w:r>
      <w:r w:rsidR="00E21CB6">
        <w:rPr>
          <w:rFonts w:cstheme="minorHAnsi"/>
          <w:color w:val="002B7F"/>
          <w:sz w:val="18"/>
          <w:lang w:val="es-PA"/>
        </w:rPr>
        <w:t>9</w:t>
      </w:r>
    </w:p>
    <w:tbl>
      <w:tblPr>
        <w:tblW w:w="5000" w:type="pct"/>
        <w:jc w:val="center"/>
        <w:tblCellMar>
          <w:left w:w="10" w:type="dxa"/>
          <w:right w:w="10" w:type="dxa"/>
        </w:tblCellMar>
        <w:tblLook w:val="0000" w:firstRow="0" w:lastRow="0" w:firstColumn="0" w:lastColumn="0" w:noHBand="0" w:noVBand="0"/>
      </w:tblPr>
      <w:tblGrid>
        <w:gridCol w:w="1410"/>
        <w:gridCol w:w="2835"/>
        <w:gridCol w:w="1701"/>
        <w:gridCol w:w="2550"/>
      </w:tblGrid>
      <w:tr w:rsidR="00751A7C" w:rsidRPr="00130C34" w14:paraId="705B0E1F" w14:textId="77777777" w:rsidTr="005831B5">
        <w:trPr>
          <w:jc w:val="center"/>
        </w:trPr>
        <w:tc>
          <w:tcPr>
            <w:tcW w:w="4245" w:type="dxa"/>
            <w:gridSpan w:val="2"/>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0917D816" w14:textId="40F09220" w:rsidR="00751A7C" w:rsidRPr="00130C34" w:rsidRDefault="00751A7C" w:rsidP="005831B5">
            <w:pPr>
              <w:suppressAutoHyphens w:val="0"/>
              <w:spacing w:before="0" w:after="0"/>
              <w:jc w:val="center"/>
              <w:textAlignment w:val="auto"/>
              <w:rPr>
                <w:rFonts w:eastAsia="Times New Roman"/>
                <w:color w:val="FFFFFF" w:themeColor="background1"/>
                <w:lang w:val="es-ES"/>
              </w:rPr>
            </w:pPr>
            <w:r>
              <w:rPr>
                <w:rFonts w:eastAsia="Times New Roman"/>
                <w:b/>
                <w:color w:val="FFFFFF" w:themeColor="background1"/>
                <w:lang w:val="es-ES"/>
              </w:rPr>
              <w:t>Norma europea (EN)</w:t>
            </w:r>
          </w:p>
        </w:tc>
        <w:tc>
          <w:tcPr>
            <w:tcW w:w="4251" w:type="dxa"/>
            <w:gridSpan w:val="2"/>
            <w:tcBorders>
              <w:top w:val="single" w:sz="6" w:space="0" w:color="5B9BD5"/>
              <w:bottom w:val="single" w:sz="6" w:space="0" w:color="5B9BD5"/>
            </w:tcBorders>
            <w:shd w:val="clear" w:color="auto" w:fill="5B9BD5"/>
            <w:tcMar>
              <w:top w:w="0" w:type="dxa"/>
              <w:left w:w="108" w:type="dxa"/>
              <w:bottom w:w="0" w:type="dxa"/>
              <w:right w:w="108" w:type="dxa"/>
            </w:tcMar>
          </w:tcPr>
          <w:p w14:paraId="3809F078" w14:textId="6C1D4A10" w:rsidR="00751A7C" w:rsidRPr="00130C34" w:rsidRDefault="00751A7C" w:rsidP="005831B5">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Norma internacional (IEC)</w:t>
            </w:r>
          </w:p>
        </w:tc>
      </w:tr>
      <w:tr w:rsidR="00E90E9A" w:rsidRPr="001F1C6F" w14:paraId="5D47BC14" w14:textId="77777777" w:rsidTr="00E90E9A">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EDB8358" w14:textId="77777777" w:rsidR="00E90E9A" w:rsidRPr="00F12B62" w:rsidRDefault="00E95831" w:rsidP="00E90E9A">
            <w:pPr>
              <w:suppressAutoHyphens w:val="0"/>
              <w:spacing w:before="0" w:after="0"/>
              <w:jc w:val="left"/>
              <w:textAlignment w:val="auto"/>
              <w:rPr>
                <w:rFonts w:asciiTheme="minorHAnsi" w:eastAsia="Times New Roman" w:hAnsiTheme="minorHAnsi" w:cstheme="minorHAnsi"/>
                <w:sz w:val="20"/>
                <w:szCs w:val="20"/>
                <w:lang w:val="es-ES"/>
              </w:rPr>
            </w:pPr>
            <w:r w:rsidRPr="00F12B62">
              <w:rPr>
                <w:rFonts w:asciiTheme="minorHAnsi" w:eastAsia="Times New Roman" w:hAnsiTheme="minorHAnsi" w:cstheme="minorHAnsi"/>
                <w:sz w:val="20"/>
                <w:szCs w:val="20"/>
                <w:lang w:val="es-ES"/>
              </w:rPr>
              <w:t>EN 60064:1995/</w:t>
            </w:r>
          </w:p>
          <w:p w14:paraId="7039B5FE" w14:textId="6A1954DF" w:rsidR="00E95831" w:rsidRPr="00F12B62" w:rsidRDefault="00E95831" w:rsidP="00E90E9A">
            <w:pPr>
              <w:suppressAutoHyphens w:val="0"/>
              <w:spacing w:before="0" w:after="0"/>
              <w:jc w:val="left"/>
              <w:textAlignment w:val="auto"/>
              <w:rPr>
                <w:rFonts w:asciiTheme="minorHAnsi" w:eastAsia="Times New Roman" w:hAnsiTheme="minorHAnsi" w:cstheme="minorHAnsi"/>
                <w:sz w:val="20"/>
                <w:szCs w:val="20"/>
                <w:lang w:val="es-ES"/>
              </w:rPr>
            </w:pPr>
            <w:r w:rsidRPr="00F12B62">
              <w:rPr>
                <w:rFonts w:asciiTheme="minorHAnsi" w:eastAsia="Times New Roman" w:hAnsiTheme="minorHAnsi" w:cstheme="minorHAnsi"/>
                <w:sz w:val="20"/>
                <w:szCs w:val="20"/>
                <w:lang w:val="es-ES"/>
              </w:rPr>
              <w:t>A5:2009</w:t>
            </w: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107BF7E" w14:textId="2FBD089A" w:rsidR="00E95831" w:rsidRPr="00F12B62" w:rsidRDefault="00E95831"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Tungsten filament lamps for domestic and similar general lighting purposes - Performance requirements</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82C9A12" w14:textId="77777777" w:rsidR="00E90E9A" w:rsidRPr="00F12B62" w:rsidRDefault="00E95831"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IEC 60064:1993/</w:t>
            </w:r>
          </w:p>
          <w:p w14:paraId="514A261B" w14:textId="07813504" w:rsidR="00E95831" w:rsidRPr="00F12B62" w:rsidRDefault="00E95831"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A5:2009</w:t>
            </w:r>
          </w:p>
        </w:tc>
        <w:tc>
          <w:tcPr>
            <w:tcW w:w="2550" w:type="dxa"/>
            <w:tcBorders>
              <w:top w:val="single" w:sz="6" w:space="0" w:color="9CC2E5"/>
              <w:left w:val="single" w:sz="6" w:space="0" w:color="9CC2E5"/>
              <w:bottom w:val="single" w:sz="6" w:space="0" w:color="9CC2E5"/>
              <w:right w:val="single" w:sz="6" w:space="0" w:color="9CC2E5"/>
            </w:tcBorders>
          </w:tcPr>
          <w:p w14:paraId="24A4B1DA" w14:textId="333DE2BA" w:rsidR="00E95831" w:rsidRPr="00F12B62" w:rsidRDefault="00E95831"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Tungsten filament lamps for domestic and similar general lighting purposes - Performance requirements</w:t>
            </w:r>
          </w:p>
        </w:tc>
      </w:tr>
      <w:tr w:rsidR="00E90E9A" w:rsidRPr="00091BC1" w14:paraId="252B6FC0" w14:textId="77777777" w:rsidTr="00E90E9A">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7B84A3E" w14:textId="77777777" w:rsidR="00E90E9A" w:rsidRPr="00F12B62" w:rsidRDefault="006F468B" w:rsidP="00E90E9A">
            <w:pPr>
              <w:suppressAutoHyphens w:val="0"/>
              <w:spacing w:before="0" w:after="0"/>
              <w:jc w:val="left"/>
              <w:textAlignment w:val="auto"/>
              <w:rPr>
                <w:rFonts w:asciiTheme="minorHAnsi" w:eastAsia="Times New Roman" w:hAnsiTheme="minorHAnsi" w:cstheme="minorHAnsi"/>
                <w:sz w:val="20"/>
                <w:szCs w:val="20"/>
                <w:lang w:val="es-ES"/>
              </w:rPr>
            </w:pPr>
            <w:r w:rsidRPr="00F12B62">
              <w:rPr>
                <w:rFonts w:asciiTheme="minorHAnsi" w:eastAsia="Times New Roman" w:hAnsiTheme="minorHAnsi" w:cstheme="minorHAnsi"/>
                <w:sz w:val="20"/>
                <w:szCs w:val="20"/>
                <w:lang w:val="es-ES"/>
              </w:rPr>
              <w:t>EN 60357:2003/</w:t>
            </w:r>
          </w:p>
          <w:p w14:paraId="24073AD6" w14:textId="63119098" w:rsidR="00E95831" w:rsidRPr="00F12B62" w:rsidRDefault="006F468B" w:rsidP="00E90E9A">
            <w:pPr>
              <w:suppressAutoHyphens w:val="0"/>
              <w:spacing w:before="0" w:after="0"/>
              <w:jc w:val="left"/>
              <w:textAlignment w:val="auto"/>
              <w:rPr>
                <w:rFonts w:asciiTheme="minorHAnsi" w:eastAsia="Times New Roman" w:hAnsiTheme="minorHAnsi" w:cstheme="minorHAnsi"/>
                <w:sz w:val="20"/>
                <w:szCs w:val="20"/>
                <w:lang w:val="es-ES"/>
              </w:rPr>
            </w:pPr>
            <w:r w:rsidRPr="00F12B62">
              <w:rPr>
                <w:rFonts w:asciiTheme="minorHAnsi" w:eastAsia="Times New Roman" w:hAnsiTheme="minorHAnsi" w:cstheme="minorHAnsi"/>
                <w:sz w:val="20"/>
                <w:szCs w:val="20"/>
                <w:lang w:val="es-ES"/>
              </w:rPr>
              <w:t>A11:2016</w:t>
            </w: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468E8FA" w14:textId="0AFC5AC9" w:rsidR="00E95831" w:rsidRPr="00BF7375" w:rsidRDefault="006F468B" w:rsidP="00E90E9A">
            <w:pPr>
              <w:suppressAutoHyphens w:val="0"/>
              <w:spacing w:before="0" w:after="0"/>
              <w:jc w:val="left"/>
              <w:textAlignment w:val="auto"/>
              <w:rPr>
                <w:rFonts w:asciiTheme="minorHAnsi" w:eastAsia="Times New Roman" w:hAnsiTheme="minorHAnsi" w:cstheme="minorHAnsi"/>
                <w:sz w:val="20"/>
                <w:szCs w:val="20"/>
              </w:rPr>
            </w:pPr>
            <w:r w:rsidRPr="00BF7375">
              <w:rPr>
                <w:rFonts w:asciiTheme="minorHAnsi" w:eastAsia="Times New Roman" w:hAnsiTheme="minorHAnsi" w:cstheme="minorHAnsi"/>
                <w:sz w:val="20"/>
                <w:szCs w:val="20"/>
              </w:rPr>
              <w:t>Tungsten halogen lamps (non-vehicle) - Performance specifications</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7BE925E" w14:textId="161B4A69" w:rsidR="00E95831" w:rsidRPr="00F12B62" w:rsidRDefault="006F468B" w:rsidP="00E90E9A">
            <w:pPr>
              <w:suppressAutoHyphens w:val="0"/>
              <w:spacing w:before="0" w:after="0"/>
              <w:jc w:val="left"/>
              <w:textAlignment w:val="auto"/>
              <w:rPr>
                <w:rFonts w:asciiTheme="minorHAnsi" w:eastAsia="Times New Roman" w:hAnsiTheme="minorHAnsi" w:cstheme="minorHAnsi"/>
                <w:sz w:val="20"/>
                <w:szCs w:val="20"/>
                <w:lang w:val="es-ES"/>
              </w:rPr>
            </w:pPr>
            <w:r w:rsidRPr="00F12B62">
              <w:rPr>
                <w:rFonts w:asciiTheme="minorHAnsi" w:eastAsia="Times New Roman" w:hAnsiTheme="minorHAnsi" w:cstheme="minorHAnsi"/>
                <w:sz w:val="20"/>
                <w:szCs w:val="20"/>
                <w:lang w:val="es-ES"/>
              </w:rPr>
              <w:t>IEC 60357:2002</w:t>
            </w:r>
          </w:p>
        </w:tc>
        <w:tc>
          <w:tcPr>
            <w:tcW w:w="2550" w:type="dxa"/>
            <w:tcBorders>
              <w:top w:val="single" w:sz="6" w:space="0" w:color="9CC2E5"/>
              <w:left w:val="single" w:sz="6" w:space="0" w:color="9CC2E5"/>
              <w:bottom w:val="single" w:sz="6" w:space="0" w:color="9CC2E5"/>
              <w:right w:val="single" w:sz="6" w:space="0" w:color="9CC2E5"/>
            </w:tcBorders>
            <w:shd w:val="clear" w:color="auto" w:fill="DEEAF6"/>
          </w:tcPr>
          <w:p w14:paraId="3501E7EE" w14:textId="5CE1FCC9" w:rsidR="00E95831" w:rsidRPr="00BF7375" w:rsidRDefault="006F468B" w:rsidP="00E90E9A">
            <w:pPr>
              <w:suppressAutoHyphens w:val="0"/>
              <w:spacing w:before="0" w:after="0"/>
              <w:jc w:val="left"/>
              <w:textAlignment w:val="auto"/>
              <w:rPr>
                <w:rFonts w:asciiTheme="minorHAnsi" w:eastAsia="Times New Roman" w:hAnsiTheme="minorHAnsi" w:cstheme="minorHAnsi"/>
                <w:sz w:val="20"/>
                <w:szCs w:val="20"/>
              </w:rPr>
            </w:pPr>
            <w:r w:rsidRPr="00BF7375">
              <w:rPr>
                <w:rFonts w:asciiTheme="minorHAnsi" w:eastAsia="Times New Roman" w:hAnsiTheme="minorHAnsi" w:cstheme="minorHAnsi"/>
                <w:sz w:val="20"/>
                <w:szCs w:val="20"/>
              </w:rPr>
              <w:t>Tungsten halogen lamps (non vehicle) - Performance specifications</w:t>
            </w:r>
          </w:p>
        </w:tc>
      </w:tr>
      <w:tr w:rsidR="00E90E9A" w:rsidRPr="001F1C6F" w14:paraId="120A1CCE" w14:textId="77777777" w:rsidTr="00E90E9A">
        <w:trPr>
          <w:trHeight w:val="242"/>
          <w:jc w:val="center"/>
        </w:trPr>
        <w:tc>
          <w:tcPr>
            <w:tcW w:w="1410"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0D5B692C" w14:textId="77777777" w:rsidR="00E90E9A" w:rsidRPr="00F12B62" w:rsidRDefault="006F468B" w:rsidP="00E90E9A">
            <w:pPr>
              <w:suppressAutoHyphens w:val="0"/>
              <w:spacing w:before="0" w:after="0"/>
              <w:jc w:val="left"/>
              <w:textAlignment w:val="auto"/>
              <w:rPr>
                <w:rFonts w:asciiTheme="minorHAnsi" w:eastAsia="Times New Roman" w:hAnsiTheme="minorHAnsi" w:cstheme="minorHAnsi"/>
                <w:sz w:val="20"/>
                <w:szCs w:val="20"/>
                <w:lang w:val="es-ES"/>
              </w:rPr>
            </w:pPr>
            <w:r w:rsidRPr="00F12B62">
              <w:rPr>
                <w:rFonts w:asciiTheme="minorHAnsi" w:eastAsia="Times New Roman" w:hAnsiTheme="minorHAnsi" w:cstheme="minorHAnsi"/>
                <w:sz w:val="20"/>
                <w:szCs w:val="20"/>
                <w:lang w:val="es-ES"/>
              </w:rPr>
              <w:t>EN 60969:1993/</w:t>
            </w:r>
          </w:p>
          <w:p w14:paraId="0E6AEDDF" w14:textId="256F9F79" w:rsidR="00E95831" w:rsidRPr="00F12B62" w:rsidRDefault="006F468B" w:rsidP="00E90E9A">
            <w:pPr>
              <w:suppressAutoHyphens w:val="0"/>
              <w:spacing w:before="0" w:after="0"/>
              <w:jc w:val="left"/>
              <w:textAlignment w:val="auto"/>
              <w:rPr>
                <w:rFonts w:asciiTheme="minorHAnsi" w:eastAsia="Times New Roman" w:hAnsiTheme="minorHAnsi" w:cstheme="minorHAnsi"/>
                <w:sz w:val="20"/>
                <w:szCs w:val="20"/>
                <w:lang w:val="es-ES"/>
              </w:rPr>
            </w:pPr>
            <w:r w:rsidRPr="00F12B62">
              <w:rPr>
                <w:rFonts w:asciiTheme="minorHAnsi" w:eastAsia="Times New Roman" w:hAnsiTheme="minorHAnsi" w:cstheme="minorHAnsi"/>
                <w:sz w:val="20"/>
                <w:szCs w:val="20"/>
                <w:lang w:val="es-ES"/>
              </w:rPr>
              <w:t>A2:2000</w:t>
            </w:r>
          </w:p>
        </w:tc>
        <w:tc>
          <w:tcPr>
            <w:tcW w:w="2835"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373444AD" w14:textId="0D9E6775" w:rsidR="00E95831" w:rsidRPr="00F12B62" w:rsidRDefault="006F468B"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Self-ballasted lamps for general lighting services - Performance requirements</w:t>
            </w:r>
          </w:p>
        </w:tc>
        <w:tc>
          <w:tcPr>
            <w:tcW w:w="1701"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6B3B7151" w14:textId="642F66F1" w:rsidR="00E95831" w:rsidRPr="00F12B62" w:rsidRDefault="006F468B" w:rsidP="00E90E9A">
            <w:pPr>
              <w:suppressAutoHyphens w:val="0"/>
              <w:spacing w:before="0" w:after="0"/>
              <w:jc w:val="left"/>
              <w:textAlignment w:val="auto"/>
              <w:rPr>
                <w:rFonts w:asciiTheme="minorHAnsi" w:eastAsia="Times New Roman" w:hAnsiTheme="minorHAnsi" w:cstheme="minorHAnsi"/>
                <w:sz w:val="20"/>
                <w:szCs w:val="20"/>
                <w:lang w:val="es-ES"/>
              </w:rPr>
            </w:pPr>
            <w:r w:rsidRPr="00F12B62">
              <w:rPr>
                <w:rFonts w:asciiTheme="minorHAnsi" w:eastAsia="Times New Roman" w:hAnsiTheme="minorHAnsi" w:cstheme="minorHAnsi"/>
                <w:sz w:val="20"/>
                <w:szCs w:val="20"/>
                <w:lang w:val="es-ES"/>
              </w:rPr>
              <w:t>IEC 60969:2016</w:t>
            </w:r>
          </w:p>
        </w:tc>
        <w:tc>
          <w:tcPr>
            <w:tcW w:w="2550" w:type="dxa"/>
            <w:tcBorders>
              <w:top w:val="single" w:sz="6" w:space="0" w:color="9CC2E5"/>
              <w:left w:val="single" w:sz="6" w:space="0" w:color="9CC2E5"/>
              <w:bottom w:val="single" w:sz="6" w:space="0" w:color="9CC2E5"/>
              <w:right w:val="single" w:sz="6" w:space="0" w:color="9CC2E5"/>
            </w:tcBorders>
          </w:tcPr>
          <w:p w14:paraId="627733C6" w14:textId="5F46145A" w:rsidR="00E95831" w:rsidRPr="00F12B62" w:rsidRDefault="006F468B"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Self-ballasted compact fluorescent lamps for general lighting services - Performance requirements</w:t>
            </w:r>
          </w:p>
        </w:tc>
      </w:tr>
      <w:tr w:rsidR="00E90E9A" w:rsidRPr="001F1C6F" w14:paraId="2A72211B" w14:textId="77777777" w:rsidTr="00E90E9A">
        <w:trPr>
          <w:trHeight w:val="276"/>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DDFB978" w14:textId="77777777" w:rsidR="00E90E9A" w:rsidRPr="00F12B62" w:rsidRDefault="006F468B"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EN 60081:1998/</w:t>
            </w:r>
          </w:p>
          <w:p w14:paraId="28FFD790" w14:textId="513D132C" w:rsidR="00E95831" w:rsidRPr="00F12B62" w:rsidRDefault="006F468B"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A6:2017</w:t>
            </w: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9FD8926" w14:textId="3A4E45A0" w:rsidR="00E95831" w:rsidRPr="00F12B62" w:rsidRDefault="006F468B"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Double-capped fluorescent lamps - Performance specifications</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EDBD64E" w14:textId="77777777" w:rsidR="00E90E9A" w:rsidRPr="00F12B62" w:rsidRDefault="006F468B"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IEC 60081:1997/</w:t>
            </w:r>
          </w:p>
          <w:p w14:paraId="0E836ED8" w14:textId="04D2FFBF" w:rsidR="00E95831" w:rsidRPr="00F12B62" w:rsidRDefault="006F468B"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A6:2017</w:t>
            </w:r>
          </w:p>
        </w:tc>
        <w:tc>
          <w:tcPr>
            <w:tcW w:w="2550" w:type="dxa"/>
            <w:tcBorders>
              <w:top w:val="single" w:sz="6" w:space="0" w:color="9CC2E5"/>
              <w:left w:val="single" w:sz="6" w:space="0" w:color="9CC2E5"/>
              <w:bottom w:val="single" w:sz="6" w:space="0" w:color="9CC2E5"/>
              <w:right w:val="single" w:sz="6" w:space="0" w:color="9CC2E5"/>
            </w:tcBorders>
            <w:shd w:val="clear" w:color="auto" w:fill="DEEAF6"/>
          </w:tcPr>
          <w:p w14:paraId="634007A5" w14:textId="0070F51E" w:rsidR="00E95831" w:rsidRPr="00F12B62" w:rsidRDefault="006F468B"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Double-capped fluorescent lamps - Performance specifications</w:t>
            </w:r>
          </w:p>
        </w:tc>
      </w:tr>
      <w:tr w:rsidR="00E90E9A" w:rsidRPr="001F1C6F" w14:paraId="5E03A04B" w14:textId="77777777" w:rsidTr="00E90E9A">
        <w:trPr>
          <w:trHeight w:val="276"/>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9A15D09" w14:textId="77777777" w:rsidR="00E90E9A" w:rsidRPr="00F12B62" w:rsidRDefault="007B41FB"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EN 60901:1996/</w:t>
            </w:r>
          </w:p>
          <w:p w14:paraId="39332985" w14:textId="3C78C8F8" w:rsidR="006F468B" w:rsidRPr="00F12B62" w:rsidRDefault="007B41FB"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A6:2017</w:t>
            </w: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ACC96AC" w14:textId="4F6CE22A" w:rsidR="006F468B" w:rsidRPr="00F12B62" w:rsidRDefault="007B41FB"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Single-capped fluorescent lamps — Performance specifications</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A8A25B6" w14:textId="77777777" w:rsidR="00E90E9A" w:rsidRPr="00F12B62" w:rsidRDefault="007B41FB"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IEC 60901:1996/</w:t>
            </w:r>
          </w:p>
          <w:p w14:paraId="15BD5001" w14:textId="4CDA8683" w:rsidR="006F468B" w:rsidRPr="00F12B62" w:rsidRDefault="007B41FB"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A6:2014</w:t>
            </w:r>
          </w:p>
        </w:tc>
        <w:tc>
          <w:tcPr>
            <w:tcW w:w="2550" w:type="dxa"/>
            <w:tcBorders>
              <w:top w:val="single" w:sz="6" w:space="0" w:color="9CC2E5"/>
              <w:left w:val="single" w:sz="6" w:space="0" w:color="9CC2E5"/>
              <w:bottom w:val="single" w:sz="6" w:space="0" w:color="9CC2E5"/>
              <w:right w:val="single" w:sz="6" w:space="0" w:color="9CC2E5"/>
            </w:tcBorders>
            <w:shd w:val="clear" w:color="auto" w:fill="auto"/>
          </w:tcPr>
          <w:p w14:paraId="1AB2F23C" w14:textId="31CC9311" w:rsidR="006F468B" w:rsidRPr="00F12B62" w:rsidRDefault="007B41FB"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Single-capped fluorescent lamps - Performance specifications</w:t>
            </w:r>
          </w:p>
        </w:tc>
      </w:tr>
      <w:tr w:rsidR="00E90E9A" w:rsidRPr="001F1C6F" w14:paraId="1C56363F" w14:textId="77777777" w:rsidTr="00E90E9A">
        <w:trPr>
          <w:trHeight w:val="276"/>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610A13E" w14:textId="77777777" w:rsidR="00E90E9A" w:rsidRPr="00F12B62" w:rsidRDefault="007B41FB"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EN 62612:2013/</w:t>
            </w:r>
          </w:p>
          <w:p w14:paraId="3DF08A79" w14:textId="4F54A240" w:rsidR="006F468B" w:rsidRPr="00F12B62" w:rsidRDefault="007B41FB"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A1:2017</w:t>
            </w: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FFD19F9" w14:textId="4C3FAAAA" w:rsidR="006F468B" w:rsidRPr="00F12B62" w:rsidRDefault="007B41FB"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Self-ballasted LED lamps for general lighting services with supply voltages &gt; 50 V – Performance requirements</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0567310" w14:textId="77777777" w:rsidR="00E90E9A" w:rsidRPr="00F12B62" w:rsidRDefault="007B41FB" w:rsidP="00E90E9A">
            <w:pPr>
              <w:suppressAutoHyphens w:val="0"/>
              <w:spacing w:before="0" w:after="0"/>
              <w:jc w:val="left"/>
              <w:textAlignment w:val="auto"/>
              <w:rPr>
                <w:rFonts w:asciiTheme="minorHAnsi" w:eastAsia="Times New Roman" w:hAnsiTheme="minorHAnsi" w:cstheme="minorHAnsi"/>
                <w:sz w:val="20"/>
                <w:szCs w:val="20"/>
                <w:lang w:val="es-ES"/>
              </w:rPr>
            </w:pPr>
            <w:r w:rsidRPr="00F12B62">
              <w:rPr>
                <w:rFonts w:asciiTheme="minorHAnsi" w:eastAsia="Times New Roman" w:hAnsiTheme="minorHAnsi" w:cstheme="minorHAnsi"/>
                <w:sz w:val="20"/>
                <w:szCs w:val="20"/>
                <w:lang w:val="es-ES"/>
              </w:rPr>
              <w:t>IEC 62612:2013/</w:t>
            </w:r>
          </w:p>
          <w:p w14:paraId="3FFCFFDE" w14:textId="4BD31E6D" w:rsidR="007B41FB" w:rsidRPr="00F12B62" w:rsidRDefault="007B41FB" w:rsidP="00E90E9A">
            <w:pPr>
              <w:suppressAutoHyphens w:val="0"/>
              <w:spacing w:before="0" w:after="0"/>
              <w:jc w:val="left"/>
              <w:textAlignment w:val="auto"/>
              <w:rPr>
                <w:rFonts w:asciiTheme="minorHAnsi" w:eastAsia="Times New Roman" w:hAnsiTheme="minorHAnsi" w:cstheme="minorHAnsi"/>
                <w:sz w:val="20"/>
                <w:szCs w:val="20"/>
                <w:lang w:val="es-ES"/>
              </w:rPr>
            </w:pPr>
            <w:r w:rsidRPr="00F12B62">
              <w:rPr>
                <w:rFonts w:asciiTheme="minorHAnsi" w:eastAsia="Times New Roman" w:hAnsiTheme="minorHAnsi" w:cstheme="minorHAnsi"/>
                <w:sz w:val="20"/>
                <w:szCs w:val="20"/>
                <w:lang w:val="es-ES"/>
              </w:rPr>
              <w:t>A1:201X</w:t>
            </w:r>
          </w:p>
          <w:p w14:paraId="31B31D7F" w14:textId="77777777" w:rsidR="00E90E9A" w:rsidRPr="00F12B62" w:rsidRDefault="007B41FB" w:rsidP="00E90E9A">
            <w:pPr>
              <w:suppressAutoHyphens w:val="0"/>
              <w:spacing w:before="0" w:after="0"/>
              <w:jc w:val="left"/>
              <w:textAlignment w:val="auto"/>
              <w:rPr>
                <w:rFonts w:asciiTheme="minorHAnsi" w:eastAsia="Times New Roman" w:hAnsiTheme="minorHAnsi" w:cstheme="minorHAnsi"/>
                <w:sz w:val="20"/>
                <w:szCs w:val="20"/>
                <w:lang w:val="es-ES"/>
              </w:rPr>
            </w:pPr>
            <w:r w:rsidRPr="00F12B62">
              <w:rPr>
                <w:rFonts w:asciiTheme="minorHAnsi" w:eastAsia="Times New Roman" w:hAnsiTheme="minorHAnsi" w:cstheme="minorHAnsi"/>
                <w:sz w:val="20"/>
                <w:szCs w:val="20"/>
                <w:lang w:val="es-ES"/>
              </w:rPr>
              <w:t xml:space="preserve">IEC </w:t>
            </w:r>
            <w:r w:rsidR="00E90E9A" w:rsidRPr="00F12B62">
              <w:rPr>
                <w:rFonts w:asciiTheme="minorHAnsi" w:eastAsia="Times New Roman" w:hAnsiTheme="minorHAnsi" w:cstheme="minorHAnsi"/>
                <w:sz w:val="20"/>
                <w:szCs w:val="20"/>
                <w:lang w:val="es-ES"/>
              </w:rPr>
              <w:t>6</w:t>
            </w:r>
            <w:r w:rsidRPr="00F12B62">
              <w:rPr>
                <w:rFonts w:asciiTheme="minorHAnsi" w:eastAsia="Times New Roman" w:hAnsiTheme="minorHAnsi" w:cstheme="minorHAnsi"/>
                <w:sz w:val="20"/>
                <w:szCs w:val="20"/>
                <w:lang w:val="es-ES"/>
              </w:rPr>
              <w:t>2612:2013/</w:t>
            </w:r>
          </w:p>
          <w:p w14:paraId="3BDA5361" w14:textId="2A13C325" w:rsidR="006F468B" w:rsidRPr="00F12B62" w:rsidRDefault="007B41FB" w:rsidP="00E90E9A">
            <w:pPr>
              <w:suppressAutoHyphens w:val="0"/>
              <w:spacing w:before="0" w:after="0"/>
              <w:jc w:val="left"/>
              <w:textAlignment w:val="auto"/>
              <w:rPr>
                <w:rFonts w:asciiTheme="minorHAnsi" w:eastAsia="Times New Roman" w:hAnsiTheme="minorHAnsi" w:cstheme="minorHAnsi"/>
                <w:sz w:val="20"/>
                <w:szCs w:val="20"/>
                <w:lang w:val="es-ES"/>
              </w:rPr>
            </w:pPr>
            <w:r w:rsidRPr="00F12B62">
              <w:rPr>
                <w:rFonts w:asciiTheme="minorHAnsi" w:eastAsia="Times New Roman" w:hAnsiTheme="minorHAnsi" w:cstheme="minorHAnsi"/>
                <w:sz w:val="20"/>
                <w:szCs w:val="20"/>
                <w:lang w:val="es-ES"/>
              </w:rPr>
              <w:t>A1:2015</w:t>
            </w:r>
          </w:p>
        </w:tc>
        <w:tc>
          <w:tcPr>
            <w:tcW w:w="2550" w:type="dxa"/>
            <w:tcBorders>
              <w:top w:val="single" w:sz="6" w:space="0" w:color="9CC2E5"/>
              <w:left w:val="single" w:sz="6" w:space="0" w:color="9CC2E5"/>
              <w:bottom w:val="single" w:sz="6" w:space="0" w:color="9CC2E5"/>
              <w:right w:val="single" w:sz="6" w:space="0" w:color="9CC2E5"/>
            </w:tcBorders>
            <w:shd w:val="clear" w:color="auto" w:fill="DEEAF6"/>
          </w:tcPr>
          <w:p w14:paraId="41BD759F" w14:textId="0D96B473" w:rsidR="006F468B" w:rsidRPr="00F12B62" w:rsidRDefault="007B41FB"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Self-ballasted LED lamps for general lighting services with supply voltages &gt; 50 V - Performance requirements</w:t>
            </w:r>
          </w:p>
        </w:tc>
      </w:tr>
      <w:tr w:rsidR="00E90E9A" w:rsidRPr="001F1C6F" w14:paraId="3C72BC71" w14:textId="77777777" w:rsidTr="00E90E9A">
        <w:trPr>
          <w:trHeight w:val="276"/>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1F454EF" w14:textId="6B4DD31A" w:rsidR="006F468B" w:rsidRPr="00F12B62" w:rsidRDefault="007B41FB"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EN 62717:2017</w:t>
            </w: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56AF92B" w14:textId="3FAE41B7" w:rsidR="006F468B" w:rsidRPr="00F12B62" w:rsidRDefault="007B41FB"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LED modules for general lighting - Performance requirements</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8D1514C" w14:textId="6287FD61" w:rsidR="007B41FB" w:rsidRPr="00F12B62" w:rsidRDefault="007B41FB" w:rsidP="00E90E9A">
            <w:pPr>
              <w:suppressAutoHyphens w:val="0"/>
              <w:spacing w:before="0" w:after="0"/>
              <w:jc w:val="left"/>
              <w:textAlignment w:val="auto"/>
              <w:rPr>
                <w:rFonts w:asciiTheme="minorHAnsi" w:eastAsia="Times New Roman" w:hAnsiTheme="minorHAnsi" w:cstheme="minorHAnsi"/>
                <w:sz w:val="20"/>
                <w:szCs w:val="20"/>
                <w:lang w:val="es-ES"/>
              </w:rPr>
            </w:pPr>
            <w:r w:rsidRPr="00F12B62">
              <w:rPr>
                <w:rFonts w:asciiTheme="minorHAnsi" w:eastAsia="Times New Roman" w:hAnsiTheme="minorHAnsi" w:cstheme="minorHAnsi"/>
                <w:sz w:val="20"/>
                <w:szCs w:val="20"/>
                <w:lang w:val="es-ES"/>
              </w:rPr>
              <w:t>IEC 62717:2014</w:t>
            </w:r>
          </w:p>
          <w:p w14:paraId="44DA6CE4" w14:textId="77777777" w:rsidR="00E90E9A" w:rsidRPr="00F12B62" w:rsidRDefault="007B41FB" w:rsidP="00E90E9A">
            <w:pPr>
              <w:suppressAutoHyphens w:val="0"/>
              <w:spacing w:before="0" w:after="0"/>
              <w:jc w:val="left"/>
              <w:textAlignment w:val="auto"/>
              <w:rPr>
                <w:rFonts w:asciiTheme="minorHAnsi" w:eastAsia="Times New Roman" w:hAnsiTheme="minorHAnsi" w:cstheme="minorHAnsi"/>
                <w:sz w:val="20"/>
                <w:szCs w:val="20"/>
                <w:lang w:val="es-ES"/>
              </w:rPr>
            </w:pPr>
            <w:r w:rsidRPr="00F12B62">
              <w:rPr>
                <w:rFonts w:asciiTheme="minorHAnsi" w:eastAsia="Times New Roman" w:hAnsiTheme="minorHAnsi" w:cstheme="minorHAnsi"/>
                <w:sz w:val="20"/>
                <w:szCs w:val="20"/>
                <w:lang w:val="es-ES"/>
              </w:rPr>
              <w:t>IEC 62717:2014/</w:t>
            </w:r>
          </w:p>
          <w:p w14:paraId="43E59DC5" w14:textId="430A20CE" w:rsidR="006F468B" w:rsidRPr="00F12B62" w:rsidRDefault="007B41FB" w:rsidP="00E90E9A">
            <w:pPr>
              <w:suppressAutoHyphens w:val="0"/>
              <w:spacing w:before="0" w:after="0"/>
              <w:jc w:val="left"/>
              <w:textAlignment w:val="auto"/>
              <w:rPr>
                <w:rFonts w:asciiTheme="minorHAnsi" w:eastAsia="Times New Roman" w:hAnsiTheme="minorHAnsi" w:cstheme="minorHAnsi"/>
                <w:sz w:val="20"/>
                <w:szCs w:val="20"/>
                <w:lang w:val="es-ES"/>
              </w:rPr>
            </w:pPr>
            <w:r w:rsidRPr="00F12B62">
              <w:rPr>
                <w:rFonts w:asciiTheme="minorHAnsi" w:eastAsia="Times New Roman" w:hAnsiTheme="minorHAnsi" w:cstheme="minorHAnsi"/>
                <w:sz w:val="20"/>
                <w:szCs w:val="20"/>
                <w:lang w:val="es-ES"/>
              </w:rPr>
              <w:t>A1:2015</w:t>
            </w:r>
          </w:p>
        </w:tc>
        <w:tc>
          <w:tcPr>
            <w:tcW w:w="2550" w:type="dxa"/>
            <w:tcBorders>
              <w:top w:val="single" w:sz="6" w:space="0" w:color="9CC2E5"/>
              <w:left w:val="single" w:sz="6" w:space="0" w:color="9CC2E5"/>
              <w:bottom w:val="single" w:sz="6" w:space="0" w:color="9CC2E5"/>
              <w:right w:val="single" w:sz="6" w:space="0" w:color="9CC2E5"/>
            </w:tcBorders>
            <w:shd w:val="clear" w:color="auto" w:fill="auto"/>
          </w:tcPr>
          <w:p w14:paraId="5AE2736B" w14:textId="00BD39B9" w:rsidR="006F468B" w:rsidRPr="00F12B62" w:rsidRDefault="007B41FB" w:rsidP="00E90E9A">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LED modules for general lighting - Performance requirements</w:t>
            </w:r>
          </w:p>
        </w:tc>
      </w:tr>
      <w:tr w:rsidR="003A64C6" w:rsidRPr="00091BC1" w14:paraId="7C97430A" w14:textId="77777777" w:rsidTr="003A64C6">
        <w:trPr>
          <w:trHeight w:val="276"/>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6CE993C" w14:textId="5FDFF942"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37520D">
              <w:rPr>
                <w:rFonts w:asciiTheme="minorHAnsi" w:eastAsia="Times New Roman" w:hAnsiTheme="minorHAnsi" w:cstheme="minorHAnsi"/>
                <w:color w:val="FF0000"/>
                <w:sz w:val="20"/>
                <w:szCs w:val="20"/>
              </w:rPr>
              <w:t>EN 62722-2-1:2016</w:t>
            </w: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ED97E78" w14:textId="2E6A385D" w:rsidR="003A64C6" w:rsidRPr="00BF7375"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BF7375">
              <w:rPr>
                <w:rFonts w:asciiTheme="minorHAnsi" w:eastAsia="Times New Roman" w:hAnsiTheme="minorHAnsi" w:cstheme="minorHAnsi"/>
                <w:color w:val="FF0000"/>
                <w:sz w:val="20"/>
                <w:szCs w:val="20"/>
              </w:rPr>
              <w:t>Luminaire performance – Part 2-1: Particular requirements for LED luminaires</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C010407" w14:textId="77777777" w:rsidR="003A64C6" w:rsidRPr="0037520D" w:rsidRDefault="003A64C6" w:rsidP="003A64C6">
            <w:pPr>
              <w:suppressAutoHyphens w:val="0"/>
              <w:spacing w:before="0" w:after="0"/>
              <w:jc w:val="left"/>
              <w:textAlignment w:val="auto"/>
              <w:rPr>
                <w:rFonts w:asciiTheme="minorHAnsi" w:eastAsia="Times New Roman" w:hAnsiTheme="minorHAnsi" w:cstheme="minorHAnsi"/>
                <w:color w:val="FF0000"/>
                <w:sz w:val="20"/>
                <w:szCs w:val="20"/>
                <w:lang w:val="en-US"/>
              </w:rPr>
            </w:pPr>
            <w:r w:rsidRPr="0037520D">
              <w:rPr>
                <w:rFonts w:asciiTheme="minorHAnsi" w:eastAsia="Times New Roman" w:hAnsiTheme="minorHAnsi" w:cstheme="minorHAnsi"/>
                <w:color w:val="FF0000"/>
                <w:sz w:val="20"/>
                <w:szCs w:val="20"/>
                <w:lang w:val="en-US"/>
              </w:rPr>
              <w:t>IEC 62722-2-1:201X</w:t>
            </w:r>
          </w:p>
          <w:p w14:paraId="08D59C1C" w14:textId="0E045BE2"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lang w:val="es-ES"/>
              </w:rPr>
            </w:pPr>
            <w:r w:rsidRPr="0037520D">
              <w:rPr>
                <w:rFonts w:asciiTheme="minorHAnsi" w:eastAsia="Times New Roman" w:hAnsiTheme="minorHAnsi" w:cstheme="minorHAnsi"/>
                <w:color w:val="FF0000"/>
                <w:sz w:val="20"/>
                <w:szCs w:val="20"/>
                <w:lang w:val="en-US"/>
              </w:rPr>
              <w:t>IEC 62722-2-1:2014</w:t>
            </w:r>
          </w:p>
        </w:tc>
        <w:tc>
          <w:tcPr>
            <w:tcW w:w="2550" w:type="dxa"/>
            <w:tcBorders>
              <w:top w:val="single" w:sz="6" w:space="0" w:color="9CC2E5"/>
              <w:left w:val="single" w:sz="6" w:space="0" w:color="9CC2E5"/>
              <w:bottom w:val="single" w:sz="6" w:space="0" w:color="9CC2E5"/>
              <w:right w:val="single" w:sz="6" w:space="0" w:color="9CC2E5"/>
            </w:tcBorders>
            <w:shd w:val="clear" w:color="auto" w:fill="DEEAF6"/>
          </w:tcPr>
          <w:p w14:paraId="05D2A1D6" w14:textId="5845B0B0" w:rsidR="003A64C6" w:rsidRPr="00BF7375"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BF7375">
              <w:rPr>
                <w:rFonts w:asciiTheme="minorHAnsi" w:eastAsia="Times New Roman" w:hAnsiTheme="minorHAnsi" w:cstheme="minorHAnsi"/>
                <w:color w:val="FF0000"/>
                <w:sz w:val="20"/>
                <w:szCs w:val="20"/>
              </w:rPr>
              <w:t>Luminaire performance – Part 2-1: Particular requirements for LED luminaires</w:t>
            </w:r>
          </w:p>
        </w:tc>
      </w:tr>
      <w:tr w:rsidR="003A64C6" w:rsidRPr="001F1C6F" w14:paraId="4464057A" w14:textId="77777777" w:rsidTr="003A64C6">
        <w:trPr>
          <w:trHeight w:val="276"/>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E5781BA" w14:textId="0087B781"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EN 62922:2017</w:t>
            </w: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E189716" w14:textId="0053B4D2"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Organic light emitting diode (OLED) panels for general lighting - Performance requirements</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068EAA7" w14:textId="0509EF68"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IEC 62922:2016</w:t>
            </w:r>
          </w:p>
        </w:tc>
        <w:tc>
          <w:tcPr>
            <w:tcW w:w="2550" w:type="dxa"/>
            <w:tcBorders>
              <w:top w:val="single" w:sz="6" w:space="0" w:color="9CC2E5"/>
              <w:left w:val="single" w:sz="6" w:space="0" w:color="9CC2E5"/>
              <w:bottom w:val="single" w:sz="6" w:space="0" w:color="9CC2E5"/>
              <w:right w:val="single" w:sz="6" w:space="0" w:color="9CC2E5"/>
            </w:tcBorders>
            <w:shd w:val="clear" w:color="auto" w:fill="auto"/>
          </w:tcPr>
          <w:p w14:paraId="63FEE354" w14:textId="3104AFC2"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Organic light emitting diode (OLED) panels for general lighting - Performance requirements</w:t>
            </w:r>
          </w:p>
        </w:tc>
      </w:tr>
      <w:tr w:rsidR="003A64C6" w:rsidRPr="001F1C6F" w14:paraId="5E6B3F79" w14:textId="77777777" w:rsidTr="003A64C6">
        <w:trPr>
          <w:trHeight w:val="276"/>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6CFA02E" w14:textId="77777777"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EN 60188:2001</w:t>
            </w:r>
          </w:p>
          <w:p w14:paraId="7BC76F39" w14:textId="2E3949C4"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EN 60188:2001/</w:t>
            </w:r>
          </w:p>
          <w:p w14:paraId="5EEB3DF7" w14:textId="1760E896"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prAA:2017</w:t>
            </w: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1B51CC1" w14:textId="34A02774"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High-pressure mercury vapour lamps - Performance specifications</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C1CBA6F" w14:textId="04AC9B40"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IEC 60188:2001</w:t>
            </w:r>
          </w:p>
        </w:tc>
        <w:tc>
          <w:tcPr>
            <w:tcW w:w="2550" w:type="dxa"/>
            <w:tcBorders>
              <w:top w:val="single" w:sz="6" w:space="0" w:color="9CC2E5"/>
              <w:left w:val="single" w:sz="6" w:space="0" w:color="9CC2E5"/>
              <w:bottom w:val="single" w:sz="6" w:space="0" w:color="9CC2E5"/>
              <w:right w:val="single" w:sz="6" w:space="0" w:color="9CC2E5"/>
            </w:tcBorders>
            <w:shd w:val="clear" w:color="auto" w:fill="DEEAF6"/>
          </w:tcPr>
          <w:p w14:paraId="1528EF26" w14:textId="0AAE0733"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High-pressure mercury vapour lamps - Performance specifications</w:t>
            </w:r>
          </w:p>
        </w:tc>
      </w:tr>
      <w:tr w:rsidR="003A64C6" w:rsidRPr="001F1C6F" w14:paraId="3018EE2F" w14:textId="77777777" w:rsidTr="003A64C6">
        <w:trPr>
          <w:trHeight w:val="276"/>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B34019C" w14:textId="07C90F7B"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EN 60662:2012</w:t>
            </w:r>
          </w:p>
          <w:p w14:paraId="150986C2" w14:textId="3BD6DC81"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EN 60662:2012/</w:t>
            </w:r>
          </w:p>
          <w:p w14:paraId="63498B35" w14:textId="27EEF3BE"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prAA:2017</w:t>
            </w: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76E55EF" w14:textId="1F216688"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High-pressure sodium vapour lamps — Performance specifications</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EE377F4" w14:textId="50B42341"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IEC 60662:2011</w:t>
            </w:r>
          </w:p>
        </w:tc>
        <w:tc>
          <w:tcPr>
            <w:tcW w:w="2550" w:type="dxa"/>
            <w:tcBorders>
              <w:top w:val="single" w:sz="6" w:space="0" w:color="9CC2E5"/>
              <w:left w:val="single" w:sz="6" w:space="0" w:color="9CC2E5"/>
              <w:bottom w:val="single" w:sz="6" w:space="0" w:color="9CC2E5"/>
              <w:right w:val="single" w:sz="6" w:space="0" w:color="9CC2E5"/>
            </w:tcBorders>
            <w:shd w:val="clear" w:color="auto" w:fill="auto"/>
          </w:tcPr>
          <w:p w14:paraId="777DCC70" w14:textId="1D4BEE4C"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High-pressure sodium vapour lamps - Performance specifications</w:t>
            </w:r>
          </w:p>
        </w:tc>
      </w:tr>
      <w:tr w:rsidR="003A64C6" w:rsidRPr="001F1C6F" w14:paraId="149448B0" w14:textId="77777777" w:rsidTr="003A64C6">
        <w:trPr>
          <w:trHeight w:val="276"/>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E6C082C" w14:textId="31035762"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EN 61167:2016</w:t>
            </w: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1823F61" w14:textId="75177F9F"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Metal halide lamps — Performance specifications</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29D2860" w14:textId="54446A27"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IEC 61167:201X</w:t>
            </w:r>
          </w:p>
          <w:p w14:paraId="7CC612F9" w14:textId="682A0213"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IEC 61167:2015</w:t>
            </w:r>
          </w:p>
        </w:tc>
        <w:tc>
          <w:tcPr>
            <w:tcW w:w="2550" w:type="dxa"/>
            <w:tcBorders>
              <w:top w:val="single" w:sz="6" w:space="0" w:color="9CC2E5"/>
              <w:left w:val="single" w:sz="6" w:space="0" w:color="9CC2E5"/>
              <w:bottom w:val="single" w:sz="6" w:space="0" w:color="9CC2E5"/>
              <w:right w:val="single" w:sz="6" w:space="0" w:color="9CC2E5"/>
            </w:tcBorders>
            <w:shd w:val="clear" w:color="auto" w:fill="DEEAF6"/>
          </w:tcPr>
          <w:p w14:paraId="55D2D723" w14:textId="4445113C" w:rsidR="003A64C6" w:rsidRPr="00F12B62" w:rsidRDefault="003A64C6" w:rsidP="003A64C6">
            <w:pPr>
              <w:suppressAutoHyphens w:val="0"/>
              <w:spacing w:before="0" w:after="0"/>
              <w:jc w:val="left"/>
              <w:textAlignment w:val="auto"/>
              <w:rPr>
                <w:rFonts w:asciiTheme="minorHAnsi" w:eastAsia="Times New Roman" w:hAnsiTheme="minorHAnsi" w:cstheme="minorHAnsi"/>
                <w:sz w:val="20"/>
                <w:szCs w:val="20"/>
              </w:rPr>
            </w:pPr>
            <w:r w:rsidRPr="00F12B62">
              <w:rPr>
                <w:rFonts w:asciiTheme="minorHAnsi" w:eastAsia="Times New Roman" w:hAnsiTheme="minorHAnsi" w:cstheme="minorHAnsi"/>
                <w:sz w:val="20"/>
                <w:szCs w:val="20"/>
              </w:rPr>
              <w:t>Metal halide lamps - Performance specification</w:t>
            </w:r>
          </w:p>
        </w:tc>
      </w:tr>
    </w:tbl>
    <w:p w14:paraId="02030B94" w14:textId="77777777" w:rsidR="00E95831" w:rsidRPr="006F468B" w:rsidRDefault="00E95831" w:rsidP="00E90E9A">
      <w:pPr>
        <w:suppressAutoHyphens w:val="0"/>
        <w:jc w:val="left"/>
      </w:pPr>
    </w:p>
    <w:p w14:paraId="42FD6772" w14:textId="2E96EC4B" w:rsidR="00717CBE" w:rsidRPr="00F12B62" w:rsidRDefault="00F12B62">
      <w:pPr>
        <w:suppressAutoHyphens w:val="0"/>
        <w:rPr>
          <w:rFonts w:asciiTheme="minorHAnsi" w:eastAsia="Calibri" w:hAnsiTheme="minorHAnsi" w:cstheme="minorHAnsi"/>
          <w:color w:val="auto"/>
          <w:lang w:val="es-ES"/>
        </w:rPr>
      </w:pPr>
      <w:r w:rsidRPr="00F12B62">
        <w:rPr>
          <w:lang w:val="es-ES"/>
        </w:rPr>
        <w:t xml:space="preserve">Ambas normas (EN e IEC) incluyen </w:t>
      </w:r>
      <w:r>
        <w:rPr>
          <w:lang w:val="es-ES"/>
        </w:rPr>
        <w:t xml:space="preserve">los protocoles de medición de los </w:t>
      </w:r>
      <w:r w:rsidRPr="00F12B62">
        <w:rPr>
          <w:lang w:val="es-ES"/>
        </w:rPr>
        <w:t xml:space="preserve">parámetros de funcionalidad requeridos para </w:t>
      </w:r>
      <w:r w:rsidR="00533505">
        <w:rPr>
          <w:lang w:val="es-ES"/>
        </w:rPr>
        <w:t xml:space="preserve">establecer </w:t>
      </w:r>
      <w:r w:rsidRPr="00F12B62">
        <w:rPr>
          <w:lang w:val="es-ES"/>
        </w:rPr>
        <w:t xml:space="preserve">la conformidad con los </w:t>
      </w:r>
      <w:r w:rsidR="00533505">
        <w:rPr>
          <w:lang w:val="es-ES"/>
        </w:rPr>
        <w:t xml:space="preserve">requisitos </w:t>
      </w:r>
      <w:r w:rsidRPr="00F12B62">
        <w:rPr>
          <w:lang w:val="es-ES"/>
        </w:rPr>
        <w:t>de l</w:t>
      </w:r>
      <w:r w:rsidR="00533505">
        <w:rPr>
          <w:lang w:val="es-ES"/>
        </w:rPr>
        <w:t>os reglamentos</w:t>
      </w:r>
      <w:r w:rsidRPr="00F12B62">
        <w:rPr>
          <w:lang w:val="es-ES"/>
        </w:rPr>
        <w:t xml:space="preserve">, por ejemplo: </w:t>
      </w:r>
      <w:r w:rsidR="00533505">
        <w:rPr>
          <w:lang w:val="es-ES"/>
        </w:rPr>
        <w:t xml:space="preserve">la eficacia luminosa, </w:t>
      </w:r>
      <w:r w:rsidR="005831B5">
        <w:rPr>
          <w:lang w:val="es-ES"/>
        </w:rPr>
        <w:t>las característ</w:t>
      </w:r>
      <w:r w:rsidR="001B01D7">
        <w:rPr>
          <w:lang w:val="es-ES"/>
        </w:rPr>
        <w:t>icas eléctricas y fotométricas, el mantenimiento del flujo luminoso, de la vida útil de la lámpara, etc</w:t>
      </w:r>
      <w:r w:rsidR="001B01D7" w:rsidRPr="00013D0F">
        <w:rPr>
          <w:lang w:val="es-ES"/>
        </w:rPr>
        <w:t>.</w:t>
      </w:r>
      <w:r w:rsidR="00533505" w:rsidRPr="00013D0F">
        <w:rPr>
          <w:lang w:val="es-ES"/>
        </w:rPr>
        <w:t xml:space="preserve"> </w:t>
      </w:r>
      <w:r w:rsidR="008D0690" w:rsidRPr="00013D0F">
        <w:rPr>
          <w:lang w:val="es-ES"/>
        </w:rPr>
        <w:t>La</w:t>
      </w:r>
      <w:r w:rsidR="003779CB" w:rsidRPr="00013D0F">
        <w:rPr>
          <w:lang w:val="es-ES"/>
        </w:rPr>
        <w:t>s</w:t>
      </w:r>
      <w:r w:rsidR="008D0690" w:rsidRPr="00013D0F">
        <w:rPr>
          <w:lang w:val="es-ES"/>
        </w:rPr>
        <w:t xml:space="preserve"> normas EN e IEC para productos de iluminación incluyen referencias a otras normas internacionales, incluidas </w:t>
      </w:r>
      <w:r w:rsidR="00C14B06" w:rsidRPr="00013D0F">
        <w:rPr>
          <w:lang w:val="es-ES"/>
        </w:rPr>
        <w:t xml:space="preserve">normas IEC y </w:t>
      </w:r>
      <w:r w:rsidR="008D0690" w:rsidRPr="00013D0F">
        <w:rPr>
          <w:lang w:val="es-ES"/>
        </w:rPr>
        <w:t xml:space="preserve">guías de </w:t>
      </w:r>
      <w:r w:rsidR="008D0690" w:rsidRPr="00013D0F">
        <w:rPr>
          <w:lang w:val="es-ES"/>
        </w:rPr>
        <w:lastRenderedPageBreak/>
        <w:t>CIE. Los métodos de medida de las características de las lámparas</w:t>
      </w:r>
      <w:r w:rsidR="008D0690">
        <w:rPr>
          <w:lang w:val="es-ES"/>
        </w:rPr>
        <w:t xml:space="preserve"> son incluidas en los anexos normativos de las normas. </w:t>
      </w:r>
    </w:p>
    <w:p w14:paraId="28714F1C" w14:textId="14564A90" w:rsidR="004205D7" w:rsidRPr="004205D7" w:rsidRDefault="00040E7F" w:rsidP="004205D7">
      <w:pPr>
        <w:pStyle w:val="Heading3"/>
        <w:rPr>
          <w:lang w:val="es-ES"/>
        </w:rPr>
      </w:pPr>
      <w:bookmarkStart w:id="41" w:name="_Toc516146010"/>
      <w:r>
        <w:rPr>
          <w:lang w:val="es-ES"/>
        </w:rPr>
        <w:t>Procedimientos de evaluación de la conformidad</w:t>
      </w:r>
      <w:bookmarkEnd w:id="41"/>
    </w:p>
    <w:p w14:paraId="36B0FD02" w14:textId="529B346F" w:rsidR="001D4147" w:rsidRDefault="00040E7F" w:rsidP="00085191">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 xml:space="preserve">De acuerdo al Artículo 8 de la Directiva 2009/125/CE de diseño ecológico, se permiten dos métodos: (i) </w:t>
      </w:r>
      <w:r w:rsidR="001C4AF3">
        <w:rPr>
          <w:rFonts w:asciiTheme="minorHAnsi" w:eastAsia="Calibri" w:hAnsiTheme="minorHAnsi" w:cstheme="minorHAnsi"/>
          <w:color w:val="auto"/>
          <w:lang w:val="es-ES"/>
        </w:rPr>
        <w:t>C</w:t>
      </w:r>
      <w:r>
        <w:rPr>
          <w:rFonts w:asciiTheme="minorHAnsi" w:eastAsia="Calibri" w:hAnsiTheme="minorHAnsi" w:cstheme="minorHAnsi"/>
          <w:color w:val="auto"/>
          <w:lang w:val="es-ES"/>
        </w:rPr>
        <w:t xml:space="preserve">ontrol interno de diseño, y (ii) </w:t>
      </w:r>
      <w:r w:rsidR="001C4AF3" w:rsidRPr="001C4AF3">
        <w:rPr>
          <w:rFonts w:asciiTheme="minorHAnsi" w:eastAsia="Calibri" w:hAnsiTheme="minorHAnsi" w:cstheme="minorHAnsi"/>
          <w:color w:val="auto"/>
          <w:lang w:val="es-ES"/>
        </w:rPr>
        <w:t>Sistema de gestión</w:t>
      </w:r>
      <w:r w:rsidR="003779CB">
        <w:rPr>
          <w:rFonts w:asciiTheme="minorHAnsi" w:eastAsia="Calibri" w:hAnsiTheme="minorHAnsi" w:cstheme="minorHAnsi"/>
          <w:color w:val="auto"/>
          <w:lang w:val="es-ES"/>
        </w:rPr>
        <w:t>,</w:t>
      </w:r>
      <w:r w:rsidR="001C4AF3" w:rsidRPr="001C4AF3">
        <w:rPr>
          <w:rFonts w:asciiTheme="minorHAnsi" w:eastAsia="Calibri" w:hAnsiTheme="minorHAnsi" w:cstheme="minorHAnsi"/>
          <w:color w:val="auto"/>
          <w:lang w:val="es-ES"/>
        </w:rPr>
        <w:t xml:space="preserve"> para la evaluación de la conformidad</w:t>
      </w:r>
      <w:r w:rsidR="001C4AF3">
        <w:rPr>
          <w:rFonts w:asciiTheme="minorHAnsi" w:eastAsia="Calibri" w:hAnsiTheme="minorHAnsi" w:cstheme="minorHAnsi"/>
          <w:color w:val="auto"/>
          <w:lang w:val="es-ES"/>
        </w:rPr>
        <w:t>. Estos procedimientos son detallados en los Anexos IV y V de la Directiva.</w:t>
      </w:r>
      <w:r w:rsidR="000A0FC7">
        <w:rPr>
          <w:rStyle w:val="FootnoteReference"/>
          <w:rFonts w:asciiTheme="minorHAnsi" w:eastAsia="Calibri" w:hAnsiTheme="minorHAnsi" w:cstheme="minorHAnsi"/>
          <w:color w:val="auto"/>
        </w:rPr>
        <w:footnoteReference w:id="60"/>
      </w:r>
      <w:r w:rsidR="001C4AF3">
        <w:rPr>
          <w:rFonts w:asciiTheme="minorHAnsi" w:eastAsia="Calibri" w:hAnsiTheme="minorHAnsi" w:cstheme="minorHAnsi"/>
          <w:color w:val="auto"/>
          <w:lang w:val="es-ES"/>
        </w:rPr>
        <w:t xml:space="preserve"> </w:t>
      </w:r>
      <w:r w:rsidR="006A44D1">
        <w:rPr>
          <w:rFonts w:asciiTheme="minorHAnsi" w:eastAsia="Calibri" w:hAnsiTheme="minorHAnsi" w:cstheme="minorHAnsi"/>
          <w:color w:val="auto"/>
          <w:lang w:val="es-ES"/>
        </w:rPr>
        <w:t xml:space="preserve">El Artículo </w:t>
      </w:r>
      <w:r w:rsidR="006A44D1" w:rsidRPr="006A44D1">
        <w:rPr>
          <w:rFonts w:asciiTheme="minorHAnsi" w:eastAsia="Calibri" w:hAnsiTheme="minorHAnsi" w:cstheme="minorHAnsi"/>
          <w:color w:val="auto"/>
          <w:lang w:val="es-ES"/>
        </w:rPr>
        <w:t>8 estipula que el procedimiento de evaluación de la conformidad se puede especificar entre los módulos definidos en el Anexo II de la Decisión de la Comisión Europea 768/2008/CE, "cuando se justifique debidamente y sea proporcionado al riesgo</w:t>
      </w:r>
      <w:r w:rsidR="006A44D1">
        <w:rPr>
          <w:rFonts w:asciiTheme="minorHAnsi" w:eastAsia="Calibri" w:hAnsiTheme="minorHAnsi" w:cstheme="minorHAnsi"/>
          <w:color w:val="auto"/>
          <w:lang w:val="es-ES"/>
        </w:rPr>
        <w:t>".</w:t>
      </w:r>
      <w:r w:rsidR="006A44D1">
        <w:rPr>
          <w:rStyle w:val="FootnoteReference"/>
          <w:rFonts w:asciiTheme="minorHAnsi" w:eastAsia="Calibri" w:hAnsiTheme="minorHAnsi" w:cstheme="minorHAnsi"/>
          <w:color w:val="auto"/>
        </w:rPr>
        <w:footnoteReference w:id="61"/>
      </w:r>
      <w:r w:rsidR="00F06A6C">
        <w:rPr>
          <w:rFonts w:asciiTheme="minorHAnsi" w:eastAsia="Calibri" w:hAnsiTheme="minorHAnsi" w:cstheme="minorHAnsi"/>
          <w:color w:val="auto"/>
          <w:lang w:val="es-ES"/>
        </w:rPr>
        <w:t xml:space="preserve"> Algunos de estos módulos se refieren a la norma EN ISO 9001.</w:t>
      </w:r>
      <w:r w:rsidR="00F06A6C">
        <w:rPr>
          <w:rStyle w:val="FootnoteReference"/>
          <w:rFonts w:asciiTheme="minorHAnsi" w:eastAsia="Calibri" w:hAnsiTheme="minorHAnsi" w:cstheme="minorHAnsi"/>
          <w:color w:val="auto"/>
        </w:rPr>
        <w:footnoteReference w:id="62"/>
      </w:r>
      <w:r w:rsidR="00F06A6C">
        <w:rPr>
          <w:rFonts w:asciiTheme="minorHAnsi" w:eastAsia="Calibri" w:hAnsiTheme="minorHAnsi" w:cstheme="minorHAnsi"/>
          <w:color w:val="auto"/>
          <w:lang w:val="es-ES"/>
        </w:rPr>
        <w:t xml:space="preserve">  </w:t>
      </w:r>
    </w:p>
    <w:p w14:paraId="020E8A19" w14:textId="77777777" w:rsidR="001D4147" w:rsidRPr="001D4147" w:rsidRDefault="001D4147" w:rsidP="001D4147">
      <w:pPr>
        <w:suppressAutoHyphens w:val="0"/>
        <w:rPr>
          <w:rFonts w:asciiTheme="minorHAnsi" w:eastAsia="Calibri" w:hAnsiTheme="minorHAnsi" w:cstheme="minorHAnsi"/>
          <w:color w:val="auto"/>
          <w:lang w:val="es-ES"/>
        </w:rPr>
      </w:pPr>
      <w:r w:rsidRPr="001D4147">
        <w:rPr>
          <w:rFonts w:asciiTheme="minorHAnsi" w:eastAsia="Calibri" w:hAnsiTheme="minorHAnsi" w:cstheme="minorHAnsi"/>
          <w:color w:val="auto"/>
          <w:lang w:val="es-ES"/>
        </w:rPr>
        <w:t>El procedimiento de control interno de diseño requiere del fabricante elaborar un registro de documentación técnica que permita evaluar la conformidad del producto con los requisitos del reglamento (medida de ejecución) aplicable. Como parte del registro se requieren los resultados de las mediciones efectuadas para determinar la conformidad del producto con los requisitos del reglamento.</w:t>
      </w:r>
    </w:p>
    <w:p w14:paraId="76DD26D8" w14:textId="6EF3C273" w:rsidR="001D4147" w:rsidRDefault="001D4147" w:rsidP="001D4147">
      <w:pPr>
        <w:suppressAutoHyphens w:val="0"/>
        <w:rPr>
          <w:rFonts w:asciiTheme="minorHAnsi" w:eastAsia="Calibri" w:hAnsiTheme="minorHAnsi" w:cstheme="minorHAnsi"/>
          <w:color w:val="auto"/>
          <w:lang w:val="es-ES"/>
        </w:rPr>
      </w:pPr>
      <w:r w:rsidRPr="001D4147">
        <w:rPr>
          <w:rFonts w:asciiTheme="minorHAnsi" w:eastAsia="Calibri" w:hAnsiTheme="minorHAnsi" w:cstheme="minorHAnsi"/>
          <w:color w:val="auto"/>
          <w:lang w:val="es-ES"/>
        </w:rPr>
        <w:t xml:space="preserve">La evaluación de conformidad mediante un sistema de gestión, que incluye ciertos "elementos medioambientales" que se especifican en el Anexo V, incluidos: un marco para establecer y revisar los objetivos e indicadores de comportamiento medioambiental de los productos, y las medidas adoptadas por el fabricante para mejorar el comportamiento medioambiental general del producto y para establecer su perfil ecológico, de acuerdo a la medida de ejecución, mediante el diseño y la fabricación. Se requiere una documentación tanto del sistema de gestión, como relativa al producto. La documentación relativa al producto incluye los requisitos de documentación de acuerdo </w:t>
      </w:r>
      <w:r w:rsidR="004D37EF">
        <w:rPr>
          <w:rFonts w:asciiTheme="minorHAnsi" w:eastAsia="Calibri" w:hAnsiTheme="minorHAnsi" w:cstheme="minorHAnsi"/>
          <w:color w:val="auto"/>
          <w:lang w:val="es-ES"/>
        </w:rPr>
        <w:t xml:space="preserve">al </w:t>
      </w:r>
      <w:r w:rsidRPr="001D4147">
        <w:rPr>
          <w:rFonts w:asciiTheme="minorHAnsi" w:eastAsia="Calibri" w:hAnsiTheme="minorHAnsi" w:cstheme="minorHAnsi"/>
          <w:color w:val="auto"/>
          <w:lang w:val="es-ES"/>
        </w:rPr>
        <w:t>procedimiento de control interno de diseño, incluidos los resultados de los ensayos de conformidad. La evaluación de conformidad mediante un sistema de gestión requiere además medidas de verificación y corrección, incluida al menos cada tres años una auditoría del sistema de gestión.</w:t>
      </w:r>
    </w:p>
    <w:p w14:paraId="002ABF71" w14:textId="5CF72141" w:rsidR="001D4147" w:rsidRDefault="001C4AF3" w:rsidP="001D4147">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Ambos procedimientos son confirmados como válidos como procedimientos de evaluación de la conformidad en los reglamentos de diseño ecológica específicos (CE) 244/2009, (CE) 245/2009 y (CE) 1194/2012.</w:t>
      </w:r>
      <w:r w:rsidR="000A0FC7">
        <w:rPr>
          <w:rFonts w:asciiTheme="minorHAnsi" w:eastAsia="Calibri" w:hAnsiTheme="minorHAnsi" w:cstheme="minorHAnsi"/>
          <w:color w:val="auto"/>
          <w:lang w:val="es-ES"/>
        </w:rPr>
        <w:t xml:space="preserve"> Cabe mencionar que la Directiva prevé en la auto-certificación de parte del fabricante, antes de la introducción del equipo en el mercado. Además se aplica la "presunción de conformidad" de un producto certificado, que lleve el marcado "CE"</w:t>
      </w:r>
      <w:r w:rsidR="00F06A6C">
        <w:rPr>
          <w:rFonts w:asciiTheme="minorHAnsi" w:eastAsia="Calibri" w:hAnsiTheme="minorHAnsi" w:cstheme="minorHAnsi"/>
          <w:color w:val="auto"/>
          <w:lang w:val="es-ES"/>
        </w:rPr>
        <w:t xml:space="preserve"> de conformidad</w:t>
      </w:r>
      <w:r w:rsidR="000A0FC7">
        <w:rPr>
          <w:rFonts w:asciiTheme="minorHAnsi" w:eastAsia="Calibri" w:hAnsiTheme="minorHAnsi" w:cstheme="minorHAnsi"/>
          <w:color w:val="auto"/>
          <w:lang w:val="es-ES"/>
        </w:rPr>
        <w:t>.</w:t>
      </w:r>
      <w:r w:rsidR="000A0FC7">
        <w:rPr>
          <w:rStyle w:val="FootnoteReference"/>
          <w:rFonts w:asciiTheme="minorHAnsi" w:eastAsia="Calibri" w:hAnsiTheme="minorHAnsi" w:cstheme="minorHAnsi"/>
          <w:color w:val="auto"/>
        </w:rPr>
        <w:footnoteReference w:id="63"/>
      </w:r>
      <w:r w:rsidR="001D4147" w:rsidRPr="001D4147">
        <w:rPr>
          <w:rFonts w:asciiTheme="minorHAnsi" w:eastAsia="Calibri" w:hAnsiTheme="minorHAnsi" w:cstheme="minorHAnsi"/>
          <w:color w:val="auto"/>
          <w:lang w:val="es-ES"/>
        </w:rPr>
        <w:t xml:space="preserve"> </w:t>
      </w:r>
    </w:p>
    <w:p w14:paraId="2EE2D3C0" w14:textId="0CB7B578" w:rsidR="00356C6B" w:rsidRPr="00356C6B" w:rsidRDefault="00356C6B" w:rsidP="00356C6B">
      <w:pPr>
        <w:pStyle w:val="Heading3"/>
        <w:rPr>
          <w:lang w:val="es-ES"/>
        </w:rPr>
      </w:pPr>
      <w:bookmarkStart w:id="42" w:name="_Toc516146011"/>
      <w:r w:rsidRPr="00356C6B">
        <w:rPr>
          <w:lang w:val="es-ES"/>
        </w:rPr>
        <w:t>Reglamento</w:t>
      </w:r>
      <w:r>
        <w:rPr>
          <w:lang w:val="es-ES"/>
        </w:rPr>
        <w:t>s</w:t>
      </w:r>
      <w:r w:rsidRPr="00356C6B">
        <w:rPr>
          <w:lang w:val="es-ES"/>
        </w:rPr>
        <w:t xml:space="preserve"> de etiquetado</w:t>
      </w:r>
      <w:r w:rsidR="00195F25">
        <w:rPr>
          <w:lang w:val="es-ES"/>
        </w:rPr>
        <w:t xml:space="preserve"> e información al consumidor</w:t>
      </w:r>
      <w:bookmarkEnd w:id="42"/>
    </w:p>
    <w:p w14:paraId="1C209771" w14:textId="1877A161" w:rsidR="00356C6B" w:rsidRDefault="00505FFD" w:rsidP="00356C6B">
      <w:pPr>
        <w:suppressAutoHyphens w:val="0"/>
        <w:rPr>
          <w:rFonts w:eastAsia="Calibri"/>
          <w:color w:val="auto"/>
          <w:lang w:val="es-ES"/>
        </w:rPr>
      </w:pPr>
      <w:r>
        <w:rPr>
          <w:rFonts w:eastAsia="Calibri"/>
          <w:color w:val="auto"/>
          <w:lang w:val="es-ES"/>
        </w:rPr>
        <w:t>El Reglamento Delegado (UE) 874/2012 de la Comisión Europea requiere colocar la etiqueta energética en el embalaje de la lámpara</w:t>
      </w:r>
      <w:r w:rsidR="003014A0">
        <w:rPr>
          <w:rFonts w:eastAsia="Calibri"/>
          <w:color w:val="auto"/>
          <w:lang w:val="es-ES"/>
        </w:rPr>
        <w:t xml:space="preserve"> (pegada o imprenta)</w:t>
      </w:r>
      <w:r w:rsidR="008B122D">
        <w:rPr>
          <w:rFonts w:eastAsia="Calibri"/>
          <w:color w:val="auto"/>
          <w:lang w:val="es-ES"/>
        </w:rPr>
        <w:t xml:space="preserve">. Además de la indicación de la clase de eficiencia energética (A++ </w:t>
      </w:r>
      <w:r w:rsidR="008B122D" w:rsidRPr="008B122D">
        <w:rPr>
          <w:rFonts w:eastAsia="Calibri"/>
          <w:color w:val="auto"/>
          <w:lang w:val="es-ES"/>
        </w:rPr>
        <w:t>–</w:t>
      </w:r>
      <w:r w:rsidR="008B122D">
        <w:rPr>
          <w:rFonts w:eastAsia="Calibri"/>
          <w:color w:val="auto"/>
          <w:lang w:val="es-ES"/>
        </w:rPr>
        <w:t xml:space="preserve"> E), la siguiente información tiene que estar incluida en la etiqueta o el embalaje: (i)</w:t>
      </w:r>
      <w:r w:rsidR="006B1E32">
        <w:rPr>
          <w:rFonts w:eastAsia="Calibri"/>
          <w:color w:val="auto"/>
          <w:lang w:val="es-ES"/>
        </w:rPr>
        <w:t xml:space="preserve"> nombre o marca comercial del proveedor, (ii) identificador del modelo, y (iii) consumo de energía ponderada en kWh por período de 1.000 horas. La figura 6 incluye los diseños de la etiqueta permitidos de acuerdo al Reglamento Delegado (UE) 874/2012, además del nuevo diseño de la etiqueta propuesto por la Comisión Europea. El nuevo diseño se distingue por </w:t>
      </w:r>
      <w:r w:rsidR="004048F1">
        <w:rPr>
          <w:rFonts w:eastAsia="Calibri"/>
          <w:color w:val="auto"/>
          <w:lang w:val="es-ES"/>
        </w:rPr>
        <w:t>un diseño modificado de la etiqueta, un re</w:t>
      </w:r>
      <w:r w:rsidR="00CA3087">
        <w:rPr>
          <w:rFonts w:eastAsia="Calibri"/>
          <w:color w:val="auto"/>
          <w:lang w:val="es-ES"/>
        </w:rPr>
        <w:t>escalado</w:t>
      </w:r>
      <w:r w:rsidR="004048F1">
        <w:rPr>
          <w:rFonts w:eastAsia="Calibri"/>
          <w:color w:val="auto"/>
          <w:lang w:val="es-ES"/>
        </w:rPr>
        <w:t xml:space="preserve"> de las clases de eficiencia </w:t>
      </w:r>
      <w:r w:rsidR="004048F1">
        <w:rPr>
          <w:rFonts w:eastAsia="Calibri"/>
          <w:color w:val="auto"/>
          <w:lang w:val="es-ES"/>
        </w:rPr>
        <w:lastRenderedPageBreak/>
        <w:t xml:space="preserve">energética al rango A </w:t>
      </w:r>
      <w:r w:rsidR="004048F1" w:rsidRPr="004048F1">
        <w:rPr>
          <w:rFonts w:eastAsia="Calibri"/>
          <w:color w:val="auto"/>
          <w:lang w:val="es-ES"/>
        </w:rPr>
        <w:t>–</w:t>
      </w:r>
      <w:r w:rsidR="004048F1">
        <w:rPr>
          <w:rFonts w:eastAsia="Calibri"/>
          <w:color w:val="auto"/>
          <w:lang w:val="es-ES"/>
        </w:rPr>
        <w:t xml:space="preserve"> G, y la inclusión de un código QR.</w:t>
      </w:r>
      <w:r w:rsidR="004048F1">
        <w:rPr>
          <w:rStyle w:val="FootnoteReference"/>
          <w:rFonts w:eastAsia="Calibri"/>
          <w:color w:val="auto"/>
        </w:rPr>
        <w:footnoteReference w:id="64"/>
      </w:r>
      <w:r w:rsidR="004048F1">
        <w:rPr>
          <w:rFonts w:eastAsia="Calibri"/>
          <w:color w:val="auto"/>
          <w:lang w:val="es-ES"/>
        </w:rPr>
        <w:t xml:space="preserve"> </w:t>
      </w:r>
      <w:r w:rsidR="00485769" w:rsidRPr="007F4BC8">
        <w:rPr>
          <w:rFonts w:eastAsia="Calibri"/>
          <w:color w:val="auto"/>
          <w:lang w:val="es-ES"/>
        </w:rPr>
        <w:t>De acuerdo a</w:t>
      </w:r>
      <w:r w:rsidR="007F4BC8">
        <w:rPr>
          <w:rFonts w:eastAsia="Calibri"/>
          <w:color w:val="auto"/>
          <w:lang w:val="es-ES"/>
        </w:rPr>
        <w:t>l Reglamento Delegado (UE) 518/2014</w:t>
      </w:r>
      <w:r w:rsidR="007F4BC8">
        <w:rPr>
          <w:rStyle w:val="FootnoteReference"/>
          <w:rFonts w:eastAsia="Calibri"/>
          <w:color w:val="auto"/>
        </w:rPr>
        <w:footnoteReference w:id="65"/>
      </w:r>
      <w:r w:rsidR="007F4BC8">
        <w:rPr>
          <w:rFonts w:eastAsia="Calibri"/>
          <w:color w:val="auto"/>
          <w:lang w:val="es-ES"/>
        </w:rPr>
        <w:t xml:space="preserve">, la etiqueta debe también acompañar las advertencias y ofertas de venta de los productos de iluminación en el </w:t>
      </w:r>
      <w:r w:rsidR="00485769" w:rsidRPr="007F4BC8">
        <w:rPr>
          <w:rFonts w:eastAsia="Calibri"/>
          <w:color w:val="auto"/>
          <w:lang w:val="es-ES"/>
        </w:rPr>
        <w:t>internet.</w:t>
      </w:r>
    </w:p>
    <w:p w14:paraId="188979DA" w14:textId="77777777" w:rsidR="003014A0" w:rsidRDefault="003014A0" w:rsidP="00356C6B">
      <w:pPr>
        <w:suppressAutoHyphens w:val="0"/>
        <w:rPr>
          <w:rFonts w:eastAsia="Calibri"/>
          <w:color w:val="auto"/>
          <w:lang w:val="es-ES"/>
        </w:rPr>
      </w:pPr>
    </w:p>
    <w:p w14:paraId="5EC020A6" w14:textId="5F5EA521" w:rsidR="00096981" w:rsidRDefault="00096981" w:rsidP="00096981">
      <w:pPr>
        <w:pStyle w:val="Caption"/>
        <w:spacing w:after="0"/>
        <w:rPr>
          <w:lang w:val="es-ES"/>
        </w:rPr>
      </w:pPr>
      <w:r w:rsidRPr="00A96F74">
        <w:rPr>
          <w:lang w:val="es-ES"/>
        </w:rPr>
        <w:t xml:space="preserve">Figura </w:t>
      </w:r>
      <w:r w:rsidRPr="00A96F74">
        <w:rPr>
          <w:lang w:val="es-ES"/>
        </w:rPr>
        <w:fldChar w:fldCharType="begin"/>
      </w:r>
      <w:r w:rsidRPr="00A96F74">
        <w:rPr>
          <w:lang w:val="es-ES"/>
        </w:rPr>
        <w:instrText xml:space="preserve"> SEQ Figura \* ARABIC </w:instrText>
      </w:r>
      <w:r w:rsidRPr="00A96F74">
        <w:rPr>
          <w:lang w:val="es-ES"/>
        </w:rPr>
        <w:fldChar w:fldCharType="separate"/>
      </w:r>
      <w:r w:rsidR="005E6430">
        <w:rPr>
          <w:noProof/>
          <w:lang w:val="es-ES"/>
        </w:rPr>
        <w:t>6</w:t>
      </w:r>
      <w:r w:rsidRPr="00A96F74">
        <w:rPr>
          <w:noProof/>
          <w:lang w:val="es-ES"/>
        </w:rPr>
        <w:fldChar w:fldCharType="end"/>
      </w:r>
      <w:r w:rsidRPr="00A96F74">
        <w:rPr>
          <w:lang w:val="es-ES"/>
        </w:rPr>
        <w:t xml:space="preserve"> – </w:t>
      </w:r>
      <w:r>
        <w:rPr>
          <w:lang w:val="es-ES"/>
        </w:rPr>
        <w:t xml:space="preserve">Etiqueta de eficiencia energética para lámparas </w:t>
      </w:r>
      <w:r w:rsidRPr="00E2630F">
        <w:rPr>
          <w:lang w:val="es-ES"/>
        </w:rPr>
        <w:t xml:space="preserve">– </w:t>
      </w:r>
      <w:r>
        <w:rPr>
          <w:lang w:val="es-ES"/>
        </w:rPr>
        <w:t>Unión Europea</w:t>
      </w:r>
    </w:p>
    <w:p w14:paraId="0BB169E2" w14:textId="2A46B65B" w:rsidR="00096981" w:rsidRPr="00A96F74" w:rsidRDefault="00096981" w:rsidP="00096981">
      <w:pPr>
        <w:spacing w:before="0" w:after="140"/>
        <w:jc w:val="center"/>
        <w:rPr>
          <w:color w:val="002B7F"/>
          <w:lang w:val="es-ES"/>
        </w:rPr>
      </w:pPr>
      <w:r w:rsidRPr="00A96F74">
        <w:rPr>
          <w:i/>
          <w:color w:val="002B7F"/>
          <w:sz w:val="18"/>
          <w:lang w:val="es-ES"/>
        </w:rPr>
        <w:t>Fuente:</w:t>
      </w:r>
      <w:r w:rsidRPr="00E2630F">
        <w:rPr>
          <w:lang w:val="es-ES"/>
        </w:rPr>
        <w:t xml:space="preserve"> </w:t>
      </w:r>
      <w:r>
        <w:rPr>
          <w:rFonts w:cstheme="minorHAnsi"/>
          <w:color w:val="002B7F"/>
          <w:sz w:val="18"/>
          <w:lang w:val="es-PA"/>
        </w:rPr>
        <w:t>Reglamento Delegado (UE) 874/2012, Propuesta de la Comisión Europea para nuevo Reglamento Delegado (2017)</w:t>
      </w:r>
    </w:p>
    <w:p w14:paraId="291F4A99" w14:textId="2BD6EF33" w:rsidR="001A0EB4" w:rsidRDefault="002D0328" w:rsidP="002D0328">
      <w:pPr>
        <w:suppressAutoHyphens w:val="0"/>
        <w:jc w:val="center"/>
        <w:rPr>
          <w:rFonts w:asciiTheme="minorHAnsi" w:eastAsia="Calibri" w:hAnsiTheme="minorHAnsi" w:cstheme="minorHAnsi"/>
          <w:noProof/>
          <w:color w:val="auto"/>
          <w:lang w:eastAsia="en-GB"/>
        </w:rPr>
      </w:pPr>
      <w:r w:rsidRPr="001A0EB4">
        <w:rPr>
          <w:rFonts w:asciiTheme="minorHAnsi" w:eastAsia="Calibri" w:hAnsiTheme="minorHAnsi" w:cstheme="minorHAnsi"/>
          <w:noProof/>
          <w:color w:val="auto"/>
          <w:lang w:val="en-US"/>
        </w:rPr>
        <w:drawing>
          <wp:inline distT="0" distB="0" distL="0" distR="0" wp14:anchorId="2958E822" wp14:editId="33BCFF18">
            <wp:extent cx="1357581" cy="2828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0142" cy="2875937"/>
                    </a:xfrm>
                    <a:prstGeom prst="rect">
                      <a:avLst/>
                    </a:prstGeom>
                    <a:noFill/>
                    <a:ln>
                      <a:noFill/>
                    </a:ln>
                  </pic:spPr>
                </pic:pic>
              </a:graphicData>
            </a:graphic>
          </wp:inline>
        </w:drawing>
      </w:r>
      <w:r w:rsidRPr="001A0EB4">
        <w:rPr>
          <w:rFonts w:asciiTheme="minorHAnsi" w:eastAsia="Calibri" w:hAnsiTheme="minorHAnsi" w:cstheme="minorHAnsi"/>
          <w:noProof/>
          <w:color w:val="auto"/>
          <w:lang w:val="en-US"/>
        </w:rPr>
        <w:drawing>
          <wp:inline distT="0" distB="0" distL="0" distR="0" wp14:anchorId="22933FE7" wp14:editId="49E60470">
            <wp:extent cx="1360546" cy="25158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2568" cy="2538101"/>
                    </a:xfrm>
                    <a:prstGeom prst="rect">
                      <a:avLst/>
                    </a:prstGeom>
                    <a:noFill/>
                    <a:ln>
                      <a:noFill/>
                    </a:ln>
                  </pic:spPr>
                </pic:pic>
              </a:graphicData>
            </a:graphic>
          </wp:inline>
        </w:drawing>
      </w:r>
      <w:r w:rsidRPr="002D0328">
        <w:rPr>
          <w:rFonts w:asciiTheme="minorHAnsi" w:eastAsia="Calibri" w:hAnsiTheme="minorHAnsi" w:cstheme="minorHAnsi"/>
          <w:noProof/>
          <w:color w:val="auto"/>
          <w:lang w:val="en-US"/>
        </w:rPr>
        <w:drawing>
          <wp:inline distT="0" distB="0" distL="0" distR="0" wp14:anchorId="6AAEA7B0" wp14:editId="6E5EC87C">
            <wp:extent cx="1314450" cy="2437974"/>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6199" cy="2459766"/>
                    </a:xfrm>
                    <a:prstGeom prst="rect">
                      <a:avLst/>
                    </a:prstGeom>
                    <a:noFill/>
                    <a:ln>
                      <a:noFill/>
                    </a:ln>
                  </pic:spPr>
                </pic:pic>
              </a:graphicData>
            </a:graphic>
          </wp:inline>
        </w:drawing>
      </w:r>
    </w:p>
    <w:p w14:paraId="1F254623" w14:textId="4A46BC05" w:rsidR="00096981" w:rsidRDefault="002D0328" w:rsidP="002D0328">
      <w:pPr>
        <w:suppressAutoHyphens w:val="0"/>
        <w:jc w:val="center"/>
        <w:rPr>
          <w:rFonts w:asciiTheme="minorHAnsi" w:eastAsia="Calibri" w:hAnsiTheme="minorHAnsi" w:cstheme="minorHAnsi"/>
          <w:color w:val="auto"/>
          <w:lang w:val="es-ES"/>
        </w:rPr>
      </w:pPr>
      <w:r w:rsidRPr="002D0328">
        <w:rPr>
          <w:rFonts w:asciiTheme="minorHAnsi" w:eastAsia="Calibri" w:hAnsiTheme="minorHAnsi" w:cstheme="minorHAnsi"/>
          <w:noProof/>
          <w:color w:val="auto"/>
          <w:lang w:val="en-US"/>
        </w:rPr>
        <w:drawing>
          <wp:inline distT="0" distB="0" distL="0" distR="0" wp14:anchorId="2A0C19FC" wp14:editId="2E3D61F2">
            <wp:extent cx="1295956" cy="21549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1750" cy="2197884"/>
                    </a:xfrm>
                    <a:prstGeom prst="rect">
                      <a:avLst/>
                    </a:prstGeom>
                    <a:noFill/>
                    <a:ln>
                      <a:noFill/>
                    </a:ln>
                  </pic:spPr>
                </pic:pic>
              </a:graphicData>
            </a:graphic>
          </wp:inline>
        </w:drawing>
      </w:r>
      <w:r w:rsidRPr="002D0328">
        <w:rPr>
          <w:rFonts w:asciiTheme="minorHAnsi" w:eastAsia="Calibri" w:hAnsiTheme="minorHAnsi" w:cstheme="minorHAnsi"/>
          <w:noProof/>
          <w:color w:val="auto"/>
          <w:lang w:val="en-US"/>
        </w:rPr>
        <w:drawing>
          <wp:inline distT="0" distB="0" distL="0" distR="0" wp14:anchorId="318756A4" wp14:editId="19CD595D">
            <wp:extent cx="1319604" cy="2152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494" cy="2175308"/>
                    </a:xfrm>
                    <a:prstGeom prst="rect">
                      <a:avLst/>
                    </a:prstGeom>
                    <a:noFill/>
                    <a:ln>
                      <a:noFill/>
                    </a:ln>
                  </pic:spPr>
                </pic:pic>
              </a:graphicData>
            </a:graphic>
          </wp:inline>
        </w:drawing>
      </w:r>
      <w:r>
        <w:rPr>
          <w:rFonts w:ascii="Times New Roman" w:eastAsia="Times New Roman" w:hAnsi="Times New Roman"/>
          <w:noProof/>
          <w:sz w:val="24"/>
          <w:szCs w:val="24"/>
          <w:lang w:val="en-US"/>
        </w:rPr>
        <w:drawing>
          <wp:inline distT="0" distB="0" distL="0" distR="0" wp14:anchorId="0FC0CF8E" wp14:editId="7BC26472">
            <wp:extent cx="1312127" cy="2531745"/>
            <wp:effectExtent l="0" t="0" r="254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9327" cy="2584228"/>
                    </a:xfrm>
                    <a:prstGeom prst="rect">
                      <a:avLst/>
                    </a:prstGeom>
                    <a:noFill/>
                    <a:ln>
                      <a:noFill/>
                    </a:ln>
                  </pic:spPr>
                </pic:pic>
              </a:graphicData>
            </a:graphic>
          </wp:inline>
        </w:drawing>
      </w:r>
    </w:p>
    <w:p w14:paraId="45FF9464" w14:textId="038842BC" w:rsidR="00096981" w:rsidRDefault="00096981" w:rsidP="001D4147">
      <w:pPr>
        <w:suppressAutoHyphens w:val="0"/>
        <w:rPr>
          <w:rFonts w:asciiTheme="minorHAnsi" w:eastAsia="Calibri" w:hAnsiTheme="minorHAnsi" w:cstheme="minorHAnsi"/>
          <w:color w:val="auto"/>
          <w:lang w:val="es-ES"/>
        </w:rPr>
      </w:pPr>
    </w:p>
    <w:p w14:paraId="7C461ABF" w14:textId="33D849CF" w:rsidR="00D639C8" w:rsidRDefault="00D639C8" w:rsidP="001D4147">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Además de la etiqueta, requerida por el Reglamento Delegado</w:t>
      </w:r>
      <w:r w:rsidRPr="00D639C8">
        <w:rPr>
          <w:lang w:val="es-ES"/>
        </w:rPr>
        <w:t xml:space="preserve"> </w:t>
      </w:r>
      <w:r w:rsidRPr="00D639C8">
        <w:rPr>
          <w:rFonts w:asciiTheme="minorHAnsi" w:eastAsia="Calibri" w:hAnsiTheme="minorHAnsi" w:cstheme="minorHAnsi"/>
          <w:color w:val="auto"/>
          <w:lang w:val="es-ES"/>
        </w:rPr>
        <w:t>(UE) No 874/2012</w:t>
      </w:r>
      <w:r>
        <w:rPr>
          <w:rFonts w:asciiTheme="minorHAnsi" w:eastAsia="Calibri" w:hAnsiTheme="minorHAnsi" w:cstheme="minorHAnsi"/>
          <w:color w:val="auto"/>
          <w:lang w:val="es-ES"/>
        </w:rPr>
        <w:t xml:space="preserve">, los reglamentos de diseño ecológico (CE) 244/2009, (CE) 245/2009 y (CE) 1194/2012 requieren la inclusión de información adicional en el embalaje de las lámparas, de acuerdo a la información </w:t>
      </w:r>
      <w:r>
        <w:rPr>
          <w:rFonts w:asciiTheme="minorHAnsi" w:eastAsia="Calibri" w:hAnsiTheme="minorHAnsi" w:cstheme="minorHAnsi"/>
          <w:color w:val="auto"/>
          <w:lang w:val="es-ES"/>
        </w:rPr>
        <w:lastRenderedPageBreak/>
        <w:t>mencionada en la tabla 5.</w:t>
      </w:r>
      <w:r w:rsidR="00942CFA">
        <w:rPr>
          <w:rFonts w:asciiTheme="minorHAnsi" w:eastAsia="Calibri" w:hAnsiTheme="minorHAnsi" w:cstheme="minorHAnsi"/>
          <w:color w:val="auto"/>
          <w:lang w:val="es-ES"/>
        </w:rPr>
        <w:t xml:space="preserve"> </w:t>
      </w:r>
      <w:r w:rsidR="00942CFA" w:rsidRPr="00942CFA">
        <w:rPr>
          <w:rFonts w:asciiTheme="minorHAnsi" w:eastAsia="Calibri" w:hAnsiTheme="minorHAnsi" w:cstheme="minorHAnsi"/>
          <w:color w:val="auto"/>
          <w:lang w:val="es-ES"/>
        </w:rPr>
        <w:t>Los reglamentos definen también la información que debe facilitarse al público en los sitios web de acceso libre.</w:t>
      </w:r>
      <w:r w:rsidR="00E965C3">
        <w:rPr>
          <w:rStyle w:val="FootnoteReference"/>
          <w:rFonts w:asciiTheme="minorHAnsi" w:eastAsia="Calibri" w:hAnsiTheme="minorHAnsi" w:cstheme="minorHAnsi"/>
          <w:color w:val="auto"/>
        </w:rPr>
        <w:footnoteReference w:id="66"/>
      </w:r>
      <w:r w:rsidR="00942CFA" w:rsidRPr="00942CFA">
        <w:rPr>
          <w:rFonts w:asciiTheme="minorHAnsi" w:eastAsia="Calibri" w:hAnsiTheme="minorHAnsi" w:cstheme="minorHAnsi"/>
          <w:color w:val="auto"/>
          <w:lang w:val="es-ES"/>
        </w:rPr>
        <w:t xml:space="preserve">  </w:t>
      </w:r>
    </w:p>
    <w:p w14:paraId="20CC6C03" w14:textId="70D11DDA" w:rsidR="004716F1" w:rsidRDefault="004716F1">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br w:type="page"/>
      </w:r>
    </w:p>
    <w:p w14:paraId="443D5838" w14:textId="197C089C" w:rsidR="00023BFB" w:rsidRPr="00566934" w:rsidRDefault="00023BFB" w:rsidP="00023BFB">
      <w:pPr>
        <w:keepNext/>
        <w:keepLines/>
        <w:spacing w:before="0" w:after="0"/>
        <w:jc w:val="center"/>
        <w:rPr>
          <w:iCs/>
          <w:color w:val="002B7F"/>
          <w:szCs w:val="18"/>
          <w:lang w:val="es-ES"/>
        </w:rPr>
      </w:pPr>
      <w:r w:rsidRPr="00566934">
        <w:rPr>
          <w:iCs/>
          <w:color w:val="002B7F"/>
          <w:szCs w:val="18"/>
          <w:lang w:val="es-ES"/>
        </w:rPr>
        <w:lastRenderedPageBreak/>
        <w:t xml:space="preserve">Tabla </w:t>
      </w:r>
      <w:r w:rsidRPr="00566934">
        <w:rPr>
          <w:iCs/>
          <w:color w:val="002B7F"/>
          <w:szCs w:val="18"/>
          <w:lang w:val="es-ES"/>
        </w:rPr>
        <w:fldChar w:fldCharType="begin"/>
      </w:r>
      <w:r w:rsidRPr="00566934">
        <w:rPr>
          <w:iCs/>
          <w:color w:val="002B7F"/>
          <w:szCs w:val="18"/>
          <w:lang w:val="es-ES"/>
        </w:rPr>
        <w:instrText xml:space="preserve"> SEQ Tabla \* ARABIC </w:instrText>
      </w:r>
      <w:r w:rsidRPr="00566934">
        <w:rPr>
          <w:iCs/>
          <w:color w:val="002B7F"/>
          <w:szCs w:val="18"/>
          <w:lang w:val="es-ES"/>
        </w:rPr>
        <w:fldChar w:fldCharType="separate"/>
      </w:r>
      <w:r w:rsidR="005E6430">
        <w:rPr>
          <w:iCs/>
          <w:noProof/>
          <w:color w:val="002B7F"/>
          <w:szCs w:val="18"/>
          <w:lang w:val="es-ES"/>
        </w:rPr>
        <w:t>5</w:t>
      </w:r>
      <w:r w:rsidRPr="00566934">
        <w:rPr>
          <w:iCs/>
          <w:noProof/>
          <w:color w:val="002B7F"/>
          <w:szCs w:val="18"/>
          <w:lang w:val="es-ES"/>
        </w:rPr>
        <w:fldChar w:fldCharType="end"/>
      </w:r>
      <w:r w:rsidRPr="00566934">
        <w:rPr>
          <w:iCs/>
          <w:color w:val="002B7F"/>
          <w:szCs w:val="18"/>
          <w:lang w:val="es-ES"/>
        </w:rPr>
        <w:t xml:space="preserve"> – </w:t>
      </w:r>
      <w:r>
        <w:rPr>
          <w:iCs/>
          <w:color w:val="002B7F"/>
          <w:szCs w:val="18"/>
          <w:lang w:val="es-ES"/>
        </w:rPr>
        <w:t xml:space="preserve">Requisitos de información al consumidor de acuerdo a los reglamentos de diseño ecológico </w:t>
      </w:r>
      <w:r w:rsidRPr="00023BFB">
        <w:rPr>
          <w:iCs/>
          <w:color w:val="002B7F"/>
          <w:szCs w:val="18"/>
          <w:lang w:val="es-ES"/>
        </w:rPr>
        <w:t>(CE) 244/2009, (CE) 245/2009 y (CE) 1194/2012</w:t>
      </w:r>
      <w:r>
        <w:rPr>
          <w:iCs/>
          <w:color w:val="002B7F"/>
          <w:szCs w:val="18"/>
          <w:lang w:val="es-ES"/>
        </w:rPr>
        <w:t xml:space="preserve"> (en el embalaje de la lámpara</w:t>
      </w:r>
      <w:r w:rsidR="00942CFA">
        <w:rPr>
          <w:iCs/>
          <w:color w:val="002B7F"/>
          <w:szCs w:val="18"/>
          <w:lang w:val="es-ES"/>
        </w:rPr>
        <w:t>, en los sitios web de acceso libre</w:t>
      </w:r>
      <w:r>
        <w:rPr>
          <w:iCs/>
          <w:color w:val="002B7F"/>
          <w:szCs w:val="18"/>
          <w:lang w:val="es-ES"/>
        </w:rPr>
        <w:t>)</w:t>
      </w:r>
    </w:p>
    <w:p w14:paraId="2678AA31" w14:textId="7942DD83" w:rsidR="00B8243A" w:rsidRDefault="00023BFB" w:rsidP="00023BFB">
      <w:pPr>
        <w:suppressAutoHyphens w:val="0"/>
        <w:spacing w:before="0"/>
        <w:jc w:val="center"/>
        <w:rPr>
          <w:rFonts w:asciiTheme="minorHAnsi" w:eastAsia="Calibri" w:hAnsiTheme="minorHAnsi" w:cstheme="minorHAnsi"/>
          <w:color w:val="auto"/>
          <w:lang w:val="es-ES"/>
        </w:rPr>
      </w:pPr>
      <w:r w:rsidRPr="00AD6CDA">
        <w:rPr>
          <w:i/>
          <w:color w:val="002B7F"/>
          <w:sz w:val="18"/>
          <w:lang w:val="es-ES"/>
        </w:rPr>
        <w:t xml:space="preserve">Fuente: </w:t>
      </w:r>
      <w:r w:rsidRPr="00AD6CDA">
        <w:rPr>
          <w:rFonts w:cstheme="minorHAnsi"/>
          <w:color w:val="002B7F"/>
          <w:sz w:val="18"/>
          <w:lang w:val="es-PA"/>
        </w:rPr>
        <w:t>Elaboración propia</w:t>
      </w:r>
      <w:r>
        <w:rPr>
          <w:rFonts w:cstheme="minorHAnsi"/>
          <w:color w:val="002B7F"/>
          <w:sz w:val="18"/>
          <w:lang w:val="es-PA"/>
        </w:rPr>
        <w:t xml:space="preserve"> en base de los reglamentos mencionados</w:t>
      </w:r>
    </w:p>
    <w:tbl>
      <w:tblPr>
        <w:tblW w:w="5000" w:type="pct"/>
        <w:jc w:val="center"/>
        <w:tblCellMar>
          <w:left w:w="10" w:type="dxa"/>
          <w:right w:w="10" w:type="dxa"/>
        </w:tblCellMar>
        <w:tblLook w:val="0000" w:firstRow="0" w:lastRow="0" w:firstColumn="0" w:lastColumn="0" w:noHBand="0" w:noVBand="0"/>
      </w:tblPr>
      <w:tblGrid>
        <w:gridCol w:w="3678"/>
        <w:gridCol w:w="1559"/>
        <w:gridCol w:w="1701"/>
        <w:gridCol w:w="1558"/>
      </w:tblGrid>
      <w:tr w:rsidR="00B8243A" w:rsidRPr="00130C34" w14:paraId="3D8027CC" w14:textId="77777777" w:rsidTr="00783A3D">
        <w:trPr>
          <w:jc w:val="center"/>
        </w:trPr>
        <w:tc>
          <w:tcPr>
            <w:tcW w:w="3678"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01E58263" w14:textId="1049B643" w:rsidR="00B8243A" w:rsidRPr="00130C34" w:rsidRDefault="00023BFB" w:rsidP="00023BFB">
            <w:pPr>
              <w:suppressAutoHyphens w:val="0"/>
              <w:spacing w:before="0" w:after="0"/>
              <w:jc w:val="center"/>
              <w:textAlignment w:val="auto"/>
              <w:rPr>
                <w:rFonts w:eastAsia="Times New Roman"/>
                <w:b/>
                <w:color w:val="FFFFFF" w:themeColor="background1"/>
                <w:lang w:val="es-ES"/>
              </w:rPr>
            </w:pPr>
            <w:r>
              <w:rPr>
                <w:rFonts w:eastAsia="Times New Roman"/>
                <w:b/>
                <w:color w:val="FFFFFF" w:themeColor="background1"/>
                <w:lang w:val="es-ES"/>
              </w:rPr>
              <w:t>Requisitos de información</w:t>
            </w:r>
          </w:p>
        </w:tc>
        <w:tc>
          <w:tcPr>
            <w:tcW w:w="1559" w:type="dxa"/>
            <w:tcBorders>
              <w:top w:val="single" w:sz="6" w:space="0" w:color="5B9BD5"/>
              <w:bottom w:val="single" w:sz="6" w:space="0" w:color="5B9BD5"/>
            </w:tcBorders>
            <w:shd w:val="clear" w:color="auto" w:fill="5B9BD5"/>
            <w:tcMar>
              <w:top w:w="0" w:type="dxa"/>
              <w:left w:w="108" w:type="dxa"/>
              <w:bottom w:w="0" w:type="dxa"/>
              <w:right w:w="108" w:type="dxa"/>
            </w:tcMar>
          </w:tcPr>
          <w:p w14:paraId="5CC7B5A7" w14:textId="4AA5545F" w:rsidR="00B8243A" w:rsidRPr="00130C34" w:rsidRDefault="00023BFB" w:rsidP="00023BFB">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(CE) 244/2009</w:t>
            </w:r>
            <w:r w:rsidR="00783A3D">
              <w:rPr>
                <w:rFonts w:cs="Calibri"/>
                <w:b/>
                <w:bCs/>
                <w:color w:val="FFFFFF" w:themeColor="background1"/>
                <w:lang w:val="es-PA"/>
              </w:rPr>
              <w:t xml:space="preserve"> *)</w:t>
            </w:r>
          </w:p>
        </w:tc>
        <w:tc>
          <w:tcPr>
            <w:tcW w:w="1701" w:type="dxa"/>
            <w:tcBorders>
              <w:top w:val="single" w:sz="6" w:space="0" w:color="5B9BD5"/>
              <w:bottom w:val="single" w:sz="6" w:space="0" w:color="5B9BD5"/>
            </w:tcBorders>
            <w:shd w:val="clear" w:color="auto" w:fill="5B9BD5"/>
            <w:tcMar>
              <w:top w:w="0" w:type="dxa"/>
              <w:left w:w="108" w:type="dxa"/>
              <w:bottom w:w="0" w:type="dxa"/>
              <w:right w:w="108" w:type="dxa"/>
            </w:tcMar>
          </w:tcPr>
          <w:p w14:paraId="7490AF85" w14:textId="6CDD47DA" w:rsidR="00B8243A" w:rsidRPr="00130C34" w:rsidRDefault="00023BFB" w:rsidP="00AD43A0">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(CE) 245/2009</w:t>
            </w:r>
            <w:r w:rsidR="00AD43A0">
              <w:rPr>
                <w:rFonts w:cs="Calibri"/>
                <w:b/>
                <w:bCs/>
                <w:color w:val="FFFFFF" w:themeColor="background1"/>
                <w:lang w:val="es-PA"/>
              </w:rPr>
              <w:t xml:space="preserve"> </w:t>
            </w:r>
            <w:r w:rsidR="00783A3D">
              <w:rPr>
                <w:rFonts w:cs="Calibri"/>
                <w:b/>
                <w:bCs/>
                <w:color w:val="FFFFFF" w:themeColor="background1"/>
                <w:lang w:val="es-PA"/>
              </w:rPr>
              <w:t>*</w:t>
            </w:r>
            <w:r w:rsidR="00AD43A0">
              <w:rPr>
                <w:rFonts w:cs="Calibri"/>
                <w:b/>
                <w:bCs/>
                <w:color w:val="FFFFFF" w:themeColor="background1"/>
                <w:lang w:val="es-PA"/>
              </w:rPr>
              <w:t>*)</w:t>
            </w:r>
          </w:p>
        </w:tc>
        <w:tc>
          <w:tcPr>
            <w:tcW w:w="1558" w:type="dxa"/>
            <w:tcBorders>
              <w:top w:val="single" w:sz="6" w:space="0" w:color="5B9BD5"/>
              <w:bottom w:val="single" w:sz="6" w:space="0" w:color="5B9BD5"/>
            </w:tcBorders>
            <w:shd w:val="clear" w:color="auto" w:fill="5B9BD5"/>
          </w:tcPr>
          <w:p w14:paraId="6DAA68B7" w14:textId="5D2EE7D5" w:rsidR="00B8243A" w:rsidRPr="00130C34" w:rsidRDefault="00023BFB" w:rsidP="00023BFB">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(CE) 1194/2012</w:t>
            </w:r>
            <w:r w:rsidR="00914EBE">
              <w:rPr>
                <w:rFonts w:cs="Calibri"/>
                <w:b/>
                <w:bCs/>
                <w:color w:val="FFFFFF" w:themeColor="background1"/>
                <w:lang w:val="es-PA"/>
              </w:rPr>
              <w:t xml:space="preserve"> ***)</w:t>
            </w:r>
          </w:p>
        </w:tc>
      </w:tr>
      <w:tr w:rsidR="00B8243A" w:rsidRPr="001F1C6F" w14:paraId="7027F642" w14:textId="77777777" w:rsidTr="00783A3D">
        <w:trPr>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8838590" w14:textId="42535112" w:rsidR="00B8243A" w:rsidRPr="00505FFD" w:rsidRDefault="00023BFB"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Potencia nominal</w:t>
            </w:r>
            <w:r w:rsidR="00942CFA" w:rsidRPr="00505FFD">
              <w:rPr>
                <w:rFonts w:eastAsia="Times New Roman"/>
                <w:sz w:val="20"/>
                <w:szCs w:val="20"/>
                <w:lang w:val="es-ES"/>
              </w:rPr>
              <w:t xml:space="preserve"> y asignada</w:t>
            </w:r>
          </w:p>
        </w:tc>
        <w:tc>
          <w:tcPr>
            <w:tcW w:w="155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8A7D7F3" w14:textId="7D3DA578" w:rsidR="00B8243A" w:rsidRPr="00505FFD" w:rsidRDefault="00942CFA" w:rsidP="00E965C3">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w:t>
            </w:r>
            <w:r w:rsidR="00A90656" w:rsidRPr="00505FFD">
              <w:rPr>
                <w:rFonts w:eastAsia="Times New Roman"/>
                <w:sz w:val="20"/>
                <w:szCs w:val="20"/>
                <w:lang w:val="es-ES"/>
              </w:rPr>
              <w:t>, W</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A148230" w14:textId="54FAA2B7" w:rsidR="00B8243A" w:rsidRPr="00505FFD" w:rsidRDefault="00A90656" w:rsidP="00A90656">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c>
          <w:tcPr>
            <w:tcW w:w="1558" w:type="dxa"/>
            <w:tcBorders>
              <w:top w:val="single" w:sz="6" w:space="0" w:color="9CC2E5"/>
              <w:left w:val="single" w:sz="6" w:space="0" w:color="9CC2E5"/>
              <w:bottom w:val="single" w:sz="6" w:space="0" w:color="9CC2E5"/>
              <w:right w:val="single" w:sz="6" w:space="0" w:color="9CC2E5"/>
            </w:tcBorders>
          </w:tcPr>
          <w:p w14:paraId="4FD3170C" w14:textId="31B0C1BC" w:rsidR="00B8243A"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r>
      <w:tr w:rsidR="00E965C3" w:rsidRPr="001F1C6F" w14:paraId="12B0441F" w14:textId="77777777" w:rsidTr="00096981">
        <w:trPr>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7E02C98" w14:textId="38058CEF" w:rsidR="00E965C3" w:rsidRPr="00505FFD" w:rsidRDefault="00E965C3"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Potencia asignada</w:t>
            </w:r>
          </w:p>
        </w:tc>
        <w:tc>
          <w:tcPr>
            <w:tcW w:w="155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E1BA899" w14:textId="7A0A8246" w:rsidR="00E965C3" w:rsidRPr="00505FFD" w:rsidRDefault="00E965C3"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61FC635" w14:textId="2A3426A6" w:rsidR="00E965C3" w:rsidRPr="00505FFD" w:rsidRDefault="00A90656"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c>
          <w:tcPr>
            <w:tcW w:w="1558" w:type="dxa"/>
            <w:tcBorders>
              <w:top w:val="single" w:sz="6" w:space="0" w:color="9CC2E5"/>
              <w:left w:val="single" w:sz="6" w:space="0" w:color="9CC2E5"/>
              <w:bottom w:val="single" w:sz="6" w:space="0" w:color="9CC2E5"/>
              <w:right w:val="single" w:sz="6" w:space="0" w:color="9CC2E5"/>
            </w:tcBorders>
            <w:shd w:val="clear" w:color="auto" w:fill="DEEAF6"/>
          </w:tcPr>
          <w:p w14:paraId="5C03A3D0" w14:textId="27A2BAE8" w:rsidR="00E965C3" w:rsidRPr="00505FFD" w:rsidRDefault="00914EBE"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r>
      <w:tr w:rsidR="00B8243A" w:rsidRPr="001F1C6F" w14:paraId="0CA41CA0" w14:textId="77777777" w:rsidTr="00096981">
        <w:trPr>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81F2615" w14:textId="2CEA7393" w:rsidR="00B8243A" w:rsidRPr="00505FFD" w:rsidRDefault="00023BFB" w:rsidP="00E965C3">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Flujo luminoso nominal</w:t>
            </w:r>
            <w:r w:rsidR="00942CFA" w:rsidRPr="00505FFD">
              <w:rPr>
                <w:rFonts w:eastAsia="Times New Roman"/>
                <w:sz w:val="20"/>
                <w:szCs w:val="20"/>
                <w:lang w:val="es-ES"/>
              </w:rPr>
              <w:t xml:space="preserve"> </w:t>
            </w:r>
          </w:p>
        </w:tc>
        <w:tc>
          <w:tcPr>
            <w:tcW w:w="155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E04C0E1" w14:textId="128438F5" w:rsidR="00B8243A" w:rsidRPr="00505FFD" w:rsidRDefault="00942CFA" w:rsidP="00E965C3">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w:t>
            </w:r>
            <w:r w:rsidR="00A90656" w:rsidRPr="00505FFD">
              <w:rPr>
                <w:rFonts w:eastAsia="Times New Roman"/>
                <w:sz w:val="20"/>
                <w:szCs w:val="20"/>
                <w:lang w:val="es-ES"/>
              </w:rPr>
              <w:t>, W</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7685BFE" w14:textId="27C36329" w:rsidR="00B8243A" w:rsidRPr="00505FFD" w:rsidRDefault="00A90656" w:rsidP="00A90656">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c>
          <w:tcPr>
            <w:tcW w:w="1558" w:type="dxa"/>
            <w:tcBorders>
              <w:top w:val="single" w:sz="6" w:space="0" w:color="9CC2E5"/>
              <w:left w:val="single" w:sz="6" w:space="0" w:color="9CC2E5"/>
              <w:bottom w:val="single" w:sz="6" w:space="0" w:color="9CC2E5"/>
              <w:right w:val="single" w:sz="6" w:space="0" w:color="9CC2E5"/>
            </w:tcBorders>
            <w:shd w:val="clear" w:color="auto" w:fill="auto"/>
          </w:tcPr>
          <w:p w14:paraId="099DFA9D" w14:textId="4CFC204B" w:rsidR="00B8243A" w:rsidRPr="00505FFD" w:rsidRDefault="00914EBE"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 xml:space="preserve">E, W </w:t>
            </w:r>
          </w:p>
        </w:tc>
      </w:tr>
      <w:tr w:rsidR="00E965C3" w:rsidRPr="001F1C6F" w14:paraId="2DE09C34" w14:textId="77777777" w:rsidTr="00096981">
        <w:trPr>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22ABD46" w14:textId="6D155516" w:rsidR="00E965C3" w:rsidRPr="00505FFD" w:rsidRDefault="00E965C3"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Flujo luminoso asignado</w:t>
            </w:r>
          </w:p>
        </w:tc>
        <w:tc>
          <w:tcPr>
            <w:tcW w:w="155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CAC28BA" w14:textId="5C928E0D" w:rsidR="00E965C3" w:rsidRPr="00505FFD" w:rsidRDefault="00E965C3"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3A362FB" w14:textId="5046BB12" w:rsidR="00A90656" w:rsidRPr="00505FFD" w:rsidRDefault="00A90656"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c>
          <w:tcPr>
            <w:tcW w:w="1558" w:type="dxa"/>
            <w:tcBorders>
              <w:top w:val="single" w:sz="6" w:space="0" w:color="9CC2E5"/>
              <w:left w:val="single" w:sz="6" w:space="0" w:color="9CC2E5"/>
              <w:bottom w:val="single" w:sz="6" w:space="0" w:color="9CC2E5"/>
              <w:right w:val="single" w:sz="6" w:space="0" w:color="9CC2E5"/>
            </w:tcBorders>
            <w:shd w:val="clear" w:color="auto" w:fill="DEEAF6"/>
          </w:tcPr>
          <w:p w14:paraId="4E18F0F4" w14:textId="42574751" w:rsidR="00E965C3" w:rsidRPr="00505FFD" w:rsidRDefault="00914EBE"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r>
      <w:tr w:rsidR="002D6D20" w:rsidRPr="001F1C6F" w14:paraId="4FCE91EA" w14:textId="77777777" w:rsidTr="00096981">
        <w:trPr>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6C1B80C" w14:textId="7A6EDDAF" w:rsidR="002D6D20" w:rsidRPr="00505FFD" w:rsidRDefault="002D6D20"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Intensidad pico asignado (cd)</w:t>
            </w:r>
          </w:p>
        </w:tc>
        <w:tc>
          <w:tcPr>
            <w:tcW w:w="155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0BE86D1" w14:textId="572BB296" w:rsidR="002D6D20"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846CD53" w14:textId="5FE67548" w:rsidR="002D6D20"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558" w:type="dxa"/>
            <w:tcBorders>
              <w:top w:val="single" w:sz="6" w:space="0" w:color="9CC2E5"/>
              <w:left w:val="single" w:sz="6" w:space="0" w:color="9CC2E5"/>
              <w:bottom w:val="single" w:sz="6" w:space="0" w:color="9CC2E5"/>
              <w:right w:val="single" w:sz="6" w:space="0" w:color="9CC2E5"/>
            </w:tcBorders>
            <w:shd w:val="clear" w:color="auto" w:fill="auto"/>
          </w:tcPr>
          <w:p w14:paraId="7F3FDB57" w14:textId="61ABD342" w:rsidR="002D6D20"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r>
      <w:tr w:rsidR="00914EBE" w:rsidRPr="00914EBE" w14:paraId="42310CBA" w14:textId="77777777" w:rsidTr="00096981">
        <w:trPr>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DA81D65" w14:textId="58B3A3C3" w:rsidR="00914EBE" w:rsidRPr="00505FFD" w:rsidRDefault="00096981" w:rsidP="00F57EEA">
            <w:pPr>
              <w:suppressAutoHyphens w:val="0"/>
              <w:spacing w:before="0" w:after="0"/>
              <w:jc w:val="left"/>
              <w:textAlignment w:val="auto"/>
              <w:rPr>
                <w:rFonts w:eastAsia="Times New Roman"/>
                <w:sz w:val="20"/>
                <w:szCs w:val="20"/>
                <w:lang w:val="es-ES"/>
              </w:rPr>
            </w:pPr>
            <w:r>
              <w:rPr>
                <w:rFonts w:eastAsia="Times New Roman"/>
                <w:sz w:val="20"/>
                <w:szCs w:val="20"/>
                <w:lang w:val="es-ES"/>
              </w:rPr>
              <w:t>Á</w:t>
            </w:r>
            <w:r w:rsidR="00914EBE" w:rsidRPr="00505FFD">
              <w:rPr>
                <w:rFonts w:eastAsia="Times New Roman"/>
                <w:sz w:val="20"/>
                <w:szCs w:val="20"/>
                <w:lang w:val="es-ES"/>
              </w:rPr>
              <w:t>ngelo del haz luminoso nominal</w:t>
            </w:r>
          </w:p>
        </w:tc>
        <w:tc>
          <w:tcPr>
            <w:tcW w:w="155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57CA167" w14:textId="2131122F" w:rsidR="00914EBE"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948D40A" w14:textId="1125627D" w:rsidR="00914EBE"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558" w:type="dxa"/>
            <w:tcBorders>
              <w:top w:val="single" w:sz="6" w:space="0" w:color="9CC2E5"/>
              <w:left w:val="single" w:sz="6" w:space="0" w:color="9CC2E5"/>
              <w:bottom w:val="single" w:sz="6" w:space="0" w:color="9CC2E5"/>
              <w:right w:val="single" w:sz="6" w:space="0" w:color="9CC2E5"/>
            </w:tcBorders>
            <w:shd w:val="clear" w:color="auto" w:fill="DEEAF6"/>
          </w:tcPr>
          <w:p w14:paraId="79FB8BD9" w14:textId="7A2A1E36" w:rsidR="00914EBE" w:rsidRPr="00505FFD" w:rsidRDefault="00914EBE"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 W</w:t>
            </w:r>
          </w:p>
        </w:tc>
      </w:tr>
      <w:tr w:rsidR="002D6D20" w:rsidRPr="00914EBE" w14:paraId="61609342" w14:textId="77777777" w:rsidTr="00096981">
        <w:trPr>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45B77C1" w14:textId="2E1F4E72" w:rsidR="002D6D20" w:rsidRPr="00505FFD" w:rsidRDefault="00096981" w:rsidP="00F57EEA">
            <w:pPr>
              <w:suppressAutoHyphens w:val="0"/>
              <w:spacing w:before="0" w:after="0"/>
              <w:jc w:val="left"/>
              <w:textAlignment w:val="auto"/>
              <w:rPr>
                <w:rFonts w:eastAsia="Times New Roman"/>
                <w:sz w:val="20"/>
                <w:szCs w:val="20"/>
                <w:lang w:val="es-ES"/>
              </w:rPr>
            </w:pPr>
            <w:r>
              <w:rPr>
                <w:rFonts w:eastAsia="Times New Roman"/>
                <w:sz w:val="20"/>
                <w:szCs w:val="20"/>
                <w:lang w:val="es-ES"/>
              </w:rPr>
              <w:t>Á</w:t>
            </w:r>
            <w:r w:rsidR="002D6D20" w:rsidRPr="00505FFD">
              <w:rPr>
                <w:rFonts w:eastAsia="Times New Roman"/>
                <w:sz w:val="20"/>
                <w:szCs w:val="20"/>
                <w:lang w:val="es-ES"/>
              </w:rPr>
              <w:t>ngelo de haz luminoso asignado</w:t>
            </w:r>
          </w:p>
        </w:tc>
        <w:tc>
          <w:tcPr>
            <w:tcW w:w="155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40DD2B9" w14:textId="3E295F11" w:rsidR="002D6D20"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159D21B" w14:textId="7C86DB29" w:rsidR="002D6D20"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558" w:type="dxa"/>
            <w:tcBorders>
              <w:top w:val="single" w:sz="6" w:space="0" w:color="9CC2E5"/>
              <w:left w:val="single" w:sz="6" w:space="0" w:color="9CC2E5"/>
              <w:bottom w:val="single" w:sz="6" w:space="0" w:color="9CC2E5"/>
              <w:right w:val="single" w:sz="6" w:space="0" w:color="9CC2E5"/>
            </w:tcBorders>
            <w:shd w:val="clear" w:color="auto" w:fill="auto"/>
          </w:tcPr>
          <w:p w14:paraId="4DDE39EA" w14:textId="1DB5D18D" w:rsidR="002D6D20"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r>
      <w:tr w:rsidR="00A90656" w:rsidRPr="00A90656" w14:paraId="6BC1CDFA" w14:textId="77777777" w:rsidTr="00096981">
        <w:trPr>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FFFE5C1" w14:textId="1AF59959" w:rsidR="00A90656" w:rsidRPr="00505FFD" w:rsidRDefault="00A90656"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Eficacia asignada a 100 h en condiciones estándar</w:t>
            </w:r>
          </w:p>
        </w:tc>
        <w:tc>
          <w:tcPr>
            <w:tcW w:w="155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71DFCB8" w14:textId="2A8B49A1" w:rsidR="00A90656" w:rsidRPr="00505FFD" w:rsidRDefault="00A90656"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475165B" w14:textId="724488CC" w:rsidR="00A90656" w:rsidRPr="00505FFD" w:rsidRDefault="00A90656"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c>
          <w:tcPr>
            <w:tcW w:w="1558" w:type="dxa"/>
            <w:tcBorders>
              <w:top w:val="single" w:sz="6" w:space="0" w:color="9CC2E5"/>
              <w:left w:val="single" w:sz="6" w:space="0" w:color="9CC2E5"/>
              <w:bottom w:val="single" w:sz="6" w:space="0" w:color="9CC2E5"/>
              <w:right w:val="single" w:sz="6" w:space="0" w:color="9CC2E5"/>
            </w:tcBorders>
            <w:shd w:val="clear" w:color="auto" w:fill="DEEAF6"/>
          </w:tcPr>
          <w:p w14:paraId="0AE77009" w14:textId="047E661D" w:rsidR="00A90656"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r>
      <w:tr w:rsidR="00B8243A" w:rsidRPr="00023BFB" w14:paraId="1C57EF52" w14:textId="77777777" w:rsidTr="00096981">
        <w:trPr>
          <w:trHeight w:val="65"/>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EEAD376" w14:textId="06143C74" w:rsidR="00B8243A" w:rsidRPr="00505FFD" w:rsidRDefault="00023BFB"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Vida útil nominal (en horas)</w:t>
            </w:r>
          </w:p>
        </w:tc>
        <w:tc>
          <w:tcPr>
            <w:tcW w:w="155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1BF0538" w14:textId="23E76FF4" w:rsidR="00B8243A" w:rsidRPr="00505FFD" w:rsidRDefault="00942CFA"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w:t>
            </w:r>
            <w:r w:rsidR="00A90656" w:rsidRPr="00505FFD">
              <w:rPr>
                <w:rFonts w:eastAsia="Times New Roman"/>
                <w:sz w:val="20"/>
                <w:szCs w:val="20"/>
                <w:lang w:val="es-ES"/>
              </w:rPr>
              <w:t>, W</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8382DC0" w14:textId="35C01157" w:rsidR="00B8243A"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558" w:type="dxa"/>
            <w:tcBorders>
              <w:top w:val="single" w:sz="6" w:space="0" w:color="9CC2E5"/>
              <w:left w:val="single" w:sz="6" w:space="0" w:color="9CC2E5"/>
              <w:bottom w:val="single" w:sz="6" w:space="0" w:color="9CC2E5"/>
              <w:right w:val="single" w:sz="6" w:space="0" w:color="9CC2E5"/>
            </w:tcBorders>
            <w:shd w:val="clear" w:color="auto" w:fill="auto"/>
          </w:tcPr>
          <w:p w14:paraId="1E401AFC" w14:textId="037D6ED1" w:rsidR="00B8243A" w:rsidRPr="00505FFD" w:rsidRDefault="00914EBE"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 W</w:t>
            </w:r>
          </w:p>
        </w:tc>
      </w:tr>
      <w:tr w:rsidR="00E965C3" w:rsidRPr="00023BFB" w14:paraId="29095763" w14:textId="77777777" w:rsidTr="00096981">
        <w:trPr>
          <w:trHeight w:val="65"/>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BD5E4A5" w14:textId="78E6F5D9" w:rsidR="00E965C3" w:rsidRPr="00505FFD" w:rsidRDefault="00E965C3"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Vida útil asignada</w:t>
            </w:r>
          </w:p>
        </w:tc>
        <w:tc>
          <w:tcPr>
            <w:tcW w:w="155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7B177AB" w14:textId="069A7DA7" w:rsidR="00E965C3" w:rsidRPr="00505FFD" w:rsidRDefault="00E965C3"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E4899FD" w14:textId="563C896A" w:rsidR="00E965C3"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558" w:type="dxa"/>
            <w:tcBorders>
              <w:top w:val="single" w:sz="6" w:space="0" w:color="9CC2E5"/>
              <w:left w:val="single" w:sz="6" w:space="0" w:color="9CC2E5"/>
              <w:bottom w:val="single" w:sz="6" w:space="0" w:color="9CC2E5"/>
              <w:right w:val="single" w:sz="6" w:space="0" w:color="9CC2E5"/>
            </w:tcBorders>
            <w:shd w:val="clear" w:color="auto" w:fill="DEEAF6"/>
          </w:tcPr>
          <w:p w14:paraId="0248419A" w14:textId="05414F51" w:rsidR="00E965C3" w:rsidRPr="00505FFD" w:rsidRDefault="00914EBE"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r>
      <w:tr w:rsidR="00E965C3" w:rsidRPr="00023BFB" w14:paraId="62A4B2B4" w14:textId="77777777" w:rsidTr="00096981">
        <w:trPr>
          <w:trHeight w:val="65"/>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B6F0C86" w14:textId="1BA4E26E" w:rsidR="00E965C3" w:rsidRPr="00505FFD" w:rsidRDefault="00E965C3"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Factor de potencia</w:t>
            </w:r>
          </w:p>
        </w:tc>
        <w:tc>
          <w:tcPr>
            <w:tcW w:w="155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E405468" w14:textId="5ACB219E" w:rsidR="00E965C3" w:rsidRPr="00505FFD" w:rsidRDefault="00E965C3"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4F310EC" w14:textId="0D77FC81" w:rsidR="00E965C3"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558" w:type="dxa"/>
            <w:tcBorders>
              <w:top w:val="single" w:sz="6" w:space="0" w:color="9CC2E5"/>
              <w:left w:val="single" w:sz="6" w:space="0" w:color="9CC2E5"/>
              <w:bottom w:val="single" w:sz="6" w:space="0" w:color="9CC2E5"/>
              <w:right w:val="single" w:sz="6" w:space="0" w:color="9CC2E5"/>
            </w:tcBorders>
            <w:shd w:val="clear" w:color="auto" w:fill="auto"/>
          </w:tcPr>
          <w:p w14:paraId="7BDCDA04" w14:textId="4DDCBE38" w:rsidR="00E965C3" w:rsidRPr="00505FFD" w:rsidRDefault="00914EBE"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r>
      <w:tr w:rsidR="00E965C3" w:rsidRPr="00E965C3" w14:paraId="155500C5" w14:textId="77777777" w:rsidTr="00096981">
        <w:trPr>
          <w:trHeight w:val="65"/>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BC8F6C1" w14:textId="6EE8D6C1" w:rsidR="00E965C3" w:rsidRPr="00505FFD" w:rsidRDefault="00E965C3"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Factor de mantenimiento del flujo luminoso al final de la vida útil nominal</w:t>
            </w:r>
          </w:p>
        </w:tc>
        <w:tc>
          <w:tcPr>
            <w:tcW w:w="155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428C06F" w14:textId="77777777" w:rsidR="00E965C3" w:rsidRPr="00505FFD" w:rsidRDefault="00E965C3"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p w14:paraId="27AF1E8F" w14:textId="08DF9376" w:rsidR="00E965C3" w:rsidRPr="00505FFD" w:rsidRDefault="00E965C3" w:rsidP="00942CFA">
            <w:pPr>
              <w:suppressAutoHyphens w:val="0"/>
              <w:spacing w:before="0" w:after="0"/>
              <w:jc w:val="center"/>
              <w:textAlignment w:val="auto"/>
              <w:rPr>
                <w:rFonts w:eastAsia="Times New Roman"/>
                <w:sz w:val="20"/>
                <w:szCs w:val="20"/>
                <w:lang w:val="es-ES"/>
              </w:rPr>
            </w:pP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43422A1" w14:textId="49E55B2C" w:rsidR="00E965C3"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558" w:type="dxa"/>
            <w:tcBorders>
              <w:top w:val="single" w:sz="6" w:space="0" w:color="9CC2E5"/>
              <w:left w:val="single" w:sz="6" w:space="0" w:color="9CC2E5"/>
              <w:bottom w:val="single" w:sz="6" w:space="0" w:color="9CC2E5"/>
              <w:right w:val="single" w:sz="6" w:space="0" w:color="9CC2E5"/>
            </w:tcBorders>
            <w:shd w:val="clear" w:color="auto" w:fill="DEEAF6"/>
          </w:tcPr>
          <w:p w14:paraId="5F212353" w14:textId="1F1AAA65" w:rsidR="00E965C3" w:rsidRPr="00505FFD" w:rsidRDefault="00914EBE"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r>
      <w:tr w:rsidR="00A90656" w:rsidRPr="00E965C3" w14:paraId="684A4D42" w14:textId="77777777" w:rsidTr="00096981">
        <w:trPr>
          <w:trHeight w:val="65"/>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03FBC1A" w14:textId="60B29503" w:rsidR="00A90656" w:rsidRPr="00505FFD" w:rsidRDefault="00A90656"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Factor de mantenimiento asignado de flujo luminoso a intervalos de 2.000 h (hasta 20.000 h)</w:t>
            </w:r>
          </w:p>
        </w:tc>
        <w:tc>
          <w:tcPr>
            <w:tcW w:w="155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81FE7EC" w14:textId="6CE46478" w:rsidR="00A90656" w:rsidRPr="00505FFD" w:rsidRDefault="00A90656"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B1109BB" w14:textId="29D22A14" w:rsidR="00A90656" w:rsidRPr="00505FFD" w:rsidRDefault="00A90656"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c>
          <w:tcPr>
            <w:tcW w:w="1558" w:type="dxa"/>
            <w:tcBorders>
              <w:top w:val="single" w:sz="6" w:space="0" w:color="9CC2E5"/>
              <w:left w:val="single" w:sz="6" w:space="0" w:color="9CC2E5"/>
              <w:bottom w:val="single" w:sz="6" w:space="0" w:color="9CC2E5"/>
              <w:right w:val="single" w:sz="6" w:space="0" w:color="9CC2E5"/>
            </w:tcBorders>
            <w:shd w:val="clear" w:color="auto" w:fill="auto"/>
          </w:tcPr>
          <w:p w14:paraId="07AF39D5" w14:textId="1B1482CF" w:rsidR="00A90656"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r>
      <w:tr w:rsidR="00B8243A" w:rsidRPr="00023BFB" w14:paraId="41C77597" w14:textId="77777777" w:rsidTr="00783A3D">
        <w:trPr>
          <w:trHeight w:val="276"/>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484D1FC" w14:textId="72E74EF7" w:rsidR="00B8243A" w:rsidRPr="00505FFD" w:rsidRDefault="00023BFB"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Número de ciclos de conmutación antes de un fallo prematuro</w:t>
            </w:r>
          </w:p>
        </w:tc>
        <w:tc>
          <w:tcPr>
            <w:tcW w:w="155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678AF67" w14:textId="0ACC26BE" w:rsidR="00B8243A" w:rsidRPr="00505FFD" w:rsidRDefault="00942CFA"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w:t>
            </w:r>
            <w:r w:rsidR="00A90656" w:rsidRPr="00505FFD">
              <w:rPr>
                <w:rFonts w:eastAsia="Times New Roman"/>
                <w:sz w:val="20"/>
                <w:szCs w:val="20"/>
                <w:lang w:val="es-ES"/>
              </w:rPr>
              <w:t>, W</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EEDC9D2" w14:textId="1ED9241A" w:rsidR="00B8243A"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558" w:type="dxa"/>
            <w:tcBorders>
              <w:top w:val="single" w:sz="6" w:space="0" w:color="9CC2E5"/>
              <w:left w:val="single" w:sz="6" w:space="0" w:color="9CC2E5"/>
              <w:bottom w:val="single" w:sz="6" w:space="0" w:color="9CC2E5"/>
              <w:right w:val="single" w:sz="6" w:space="0" w:color="9CC2E5"/>
            </w:tcBorders>
            <w:shd w:val="clear" w:color="auto" w:fill="DEEAF6"/>
          </w:tcPr>
          <w:p w14:paraId="03648177" w14:textId="0B21A5EA" w:rsidR="00B8243A" w:rsidRPr="00505FFD" w:rsidRDefault="00914EBE"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 W</w:t>
            </w:r>
          </w:p>
        </w:tc>
      </w:tr>
      <w:tr w:rsidR="00A90656" w:rsidRPr="00A90656" w14:paraId="30A5C5A5" w14:textId="77777777" w:rsidTr="00096981">
        <w:trPr>
          <w:trHeight w:val="276"/>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1B4A1E2" w14:textId="16B7547E" w:rsidR="00A90656" w:rsidRPr="00505FFD" w:rsidRDefault="00A90656"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Factor de sobrevivencia asignado a intervalos de 2.000 h (hasta 20.000 h)</w:t>
            </w:r>
          </w:p>
        </w:tc>
        <w:tc>
          <w:tcPr>
            <w:tcW w:w="155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9B31061" w14:textId="6C6BE080" w:rsidR="00A90656" w:rsidRPr="00505FFD" w:rsidRDefault="00A90656"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5881256" w14:textId="3F86270E" w:rsidR="00A90656" w:rsidRPr="00505FFD" w:rsidRDefault="00A90656"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c>
          <w:tcPr>
            <w:tcW w:w="1558" w:type="dxa"/>
            <w:tcBorders>
              <w:top w:val="single" w:sz="6" w:space="0" w:color="9CC2E5"/>
              <w:left w:val="single" w:sz="6" w:space="0" w:color="9CC2E5"/>
              <w:bottom w:val="single" w:sz="6" w:space="0" w:color="9CC2E5"/>
              <w:right w:val="single" w:sz="6" w:space="0" w:color="9CC2E5"/>
            </w:tcBorders>
            <w:shd w:val="clear" w:color="auto" w:fill="auto"/>
          </w:tcPr>
          <w:p w14:paraId="40344772" w14:textId="628D57D1" w:rsidR="00A90656"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r>
      <w:tr w:rsidR="00023BFB" w:rsidRPr="00023BFB" w14:paraId="41EF9E43" w14:textId="77777777" w:rsidTr="00096981">
        <w:trPr>
          <w:trHeight w:val="276"/>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6D494E8" w14:textId="58202D88" w:rsidR="00023BFB" w:rsidRPr="00505FFD" w:rsidRDefault="00F57EEA"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Temperatura de color</w:t>
            </w:r>
          </w:p>
        </w:tc>
        <w:tc>
          <w:tcPr>
            <w:tcW w:w="155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46173E0" w14:textId="16C82E5D" w:rsidR="00023BFB" w:rsidRPr="00505FFD" w:rsidRDefault="00942CFA"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w:t>
            </w:r>
            <w:r w:rsidR="00A90656" w:rsidRPr="00505FFD">
              <w:rPr>
                <w:rFonts w:eastAsia="Times New Roman"/>
                <w:sz w:val="20"/>
                <w:szCs w:val="20"/>
                <w:lang w:val="es-ES"/>
              </w:rPr>
              <w:t>, W</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9A75249" w14:textId="19CB8255" w:rsidR="00023BFB" w:rsidRPr="00505FFD" w:rsidRDefault="00A90656"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c>
          <w:tcPr>
            <w:tcW w:w="1558" w:type="dxa"/>
            <w:tcBorders>
              <w:top w:val="single" w:sz="6" w:space="0" w:color="9CC2E5"/>
              <w:left w:val="single" w:sz="6" w:space="0" w:color="9CC2E5"/>
              <w:bottom w:val="single" w:sz="6" w:space="0" w:color="9CC2E5"/>
              <w:right w:val="single" w:sz="6" w:space="0" w:color="9CC2E5"/>
            </w:tcBorders>
            <w:shd w:val="clear" w:color="auto" w:fill="DEEAF6"/>
          </w:tcPr>
          <w:p w14:paraId="730C824C" w14:textId="26B3DF3B" w:rsidR="00023BFB" w:rsidRPr="00505FFD" w:rsidRDefault="00914EBE"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 W</w:t>
            </w:r>
          </w:p>
        </w:tc>
      </w:tr>
      <w:tr w:rsidR="00E965C3" w:rsidRPr="00023BFB" w14:paraId="5D212D80" w14:textId="77777777" w:rsidTr="00096981">
        <w:trPr>
          <w:trHeight w:val="276"/>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26594B2" w14:textId="3AD57D3A" w:rsidR="00E965C3" w:rsidRPr="00505FFD" w:rsidRDefault="00E965C3"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Rendimiento de color</w:t>
            </w:r>
          </w:p>
        </w:tc>
        <w:tc>
          <w:tcPr>
            <w:tcW w:w="155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E062EEE" w14:textId="7BC019F3" w:rsidR="00E965C3" w:rsidRPr="00505FFD" w:rsidRDefault="00E965C3"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E433821" w14:textId="093ACDCC" w:rsidR="00E965C3" w:rsidRPr="00505FFD" w:rsidRDefault="00A90656"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c>
          <w:tcPr>
            <w:tcW w:w="1558" w:type="dxa"/>
            <w:tcBorders>
              <w:top w:val="single" w:sz="6" w:space="0" w:color="9CC2E5"/>
              <w:left w:val="single" w:sz="6" w:space="0" w:color="9CC2E5"/>
              <w:bottom w:val="single" w:sz="6" w:space="0" w:color="9CC2E5"/>
              <w:right w:val="single" w:sz="6" w:space="0" w:color="9CC2E5"/>
            </w:tcBorders>
            <w:shd w:val="clear" w:color="auto" w:fill="auto"/>
          </w:tcPr>
          <w:p w14:paraId="33CD1165" w14:textId="5B358F44" w:rsidR="00E965C3"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r>
      <w:tr w:rsidR="002D6D20" w:rsidRPr="002D6D20" w14:paraId="1D0F00B6" w14:textId="77777777" w:rsidTr="00096981">
        <w:trPr>
          <w:trHeight w:val="276"/>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80CE116" w14:textId="51A61F10" w:rsidR="002D6D20" w:rsidRPr="00505FFD" w:rsidRDefault="002D6D20"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Invariabilidad de color (para LED)</w:t>
            </w:r>
          </w:p>
        </w:tc>
        <w:tc>
          <w:tcPr>
            <w:tcW w:w="155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123D69E" w14:textId="1BFB97E7" w:rsidR="002D6D20" w:rsidRPr="00505FFD" w:rsidRDefault="00505FFD"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6ED4C22" w14:textId="4EDAE45D" w:rsidR="002D6D20" w:rsidRPr="00505FFD" w:rsidRDefault="00505FFD"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558" w:type="dxa"/>
            <w:tcBorders>
              <w:top w:val="single" w:sz="6" w:space="0" w:color="9CC2E5"/>
              <w:left w:val="single" w:sz="6" w:space="0" w:color="9CC2E5"/>
              <w:bottom w:val="single" w:sz="6" w:space="0" w:color="9CC2E5"/>
              <w:right w:val="single" w:sz="6" w:space="0" w:color="9CC2E5"/>
            </w:tcBorders>
            <w:shd w:val="clear" w:color="auto" w:fill="DEEAF6"/>
          </w:tcPr>
          <w:p w14:paraId="488E7AEF" w14:textId="010534CA" w:rsidR="002D6D20"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r>
      <w:tr w:rsidR="002D6D20" w:rsidRPr="002D6D20" w14:paraId="79FB201F" w14:textId="77777777" w:rsidTr="00096981">
        <w:trPr>
          <w:trHeight w:val="276"/>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A1C889F" w14:textId="618AE5F7" w:rsidR="002D6D20" w:rsidRPr="00505FFD" w:rsidRDefault="002D6D20"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Distribución espectral de la potencia en el intervalo 180-800 nm</w:t>
            </w:r>
          </w:p>
        </w:tc>
        <w:tc>
          <w:tcPr>
            <w:tcW w:w="155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3B218BF" w14:textId="735B269A" w:rsidR="002D6D20" w:rsidRPr="00505FFD" w:rsidRDefault="00505FFD"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26C4130" w14:textId="1F5DDC5A" w:rsidR="002D6D20" w:rsidRPr="00505FFD" w:rsidRDefault="00505FFD"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558" w:type="dxa"/>
            <w:tcBorders>
              <w:top w:val="single" w:sz="6" w:space="0" w:color="9CC2E5"/>
              <w:left w:val="single" w:sz="6" w:space="0" w:color="9CC2E5"/>
              <w:bottom w:val="single" w:sz="6" w:space="0" w:color="9CC2E5"/>
              <w:right w:val="single" w:sz="6" w:space="0" w:color="9CC2E5"/>
            </w:tcBorders>
            <w:shd w:val="clear" w:color="auto" w:fill="auto"/>
          </w:tcPr>
          <w:p w14:paraId="4E0D9432" w14:textId="55DBFBFB" w:rsidR="002D6D20"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r>
      <w:tr w:rsidR="00023BFB" w:rsidRPr="00023BFB" w14:paraId="4F078668" w14:textId="77777777" w:rsidTr="00783A3D">
        <w:trPr>
          <w:trHeight w:val="276"/>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B44C8B5" w14:textId="18A76A08" w:rsidR="00023BFB" w:rsidRPr="00505FFD" w:rsidRDefault="00F57EEA"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Tiempo de calentamiento hasta el 60% del flujo luminoso completo</w:t>
            </w:r>
          </w:p>
        </w:tc>
        <w:tc>
          <w:tcPr>
            <w:tcW w:w="155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8D4A2A4" w14:textId="7AA8F26E" w:rsidR="00023BFB" w:rsidRPr="00505FFD" w:rsidRDefault="00942CFA"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w:t>
            </w:r>
            <w:r w:rsidR="00A90656" w:rsidRPr="00505FFD">
              <w:rPr>
                <w:rFonts w:eastAsia="Times New Roman"/>
                <w:sz w:val="20"/>
                <w:szCs w:val="20"/>
                <w:lang w:val="es-ES"/>
              </w:rPr>
              <w:t>, W</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0705415" w14:textId="73EC78EC" w:rsidR="00023BFB" w:rsidRPr="00505FFD" w:rsidRDefault="00505FFD"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558" w:type="dxa"/>
            <w:tcBorders>
              <w:top w:val="single" w:sz="6" w:space="0" w:color="9CC2E5"/>
              <w:left w:val="single" w:sz="6" w:space="0" w:color="9CC2E5"/>
              <w:bottom w:val="single" w:sz="6" w:space="0" w:color="9CC2E5"/>
              <w:right w:val="single" w:sz="6" w:space="0" w:color="9CC2E5"/>
            </w:tcBorders>
            <w:shd w:val="clear" w:color="auto" w:fill="DEEAF6"/>
          </w:tcPr>
          <w:p w14:paraId="40566FB0" w14:textId="1983C69F" w:rsidR="00023BFB" w:rsidRPr="00505FFD" w:rsidRDefault="00914EBE"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 W</w:t>
            </w:r>
          </w:p>
        </w:tc>
      </w:tr>
      <w:tr w:rsidR="00E965C3" w:rsidRPr="00023BFB" w14:paraId="5E4C80C0" w14:textId="77777777" w:rsidTr="00096981">
        <w:trPr>
          <w:trHeight w:val="276"/>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968FEAF" w14:textId="5C469D28" w:rsidR="00E965C3" w:rsidRPr="00505FFD" w:rsidRDefault="00E965C3"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Tiempo de encendido</w:t>
            </w:r>
          </w:p>
        </w:tc>
        <w:tc>
          <w:tcPr>
            <w:tcW w:w="155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BFF6D7E" w14:textId="0157F8DB" w:rsidR="00E965C3" w:rsidRPr="00505FFD" w:rsidRDefault="00E965C3"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1186686" w14:textId="13DEF827" w:rsidR="00E965C3" w:rsidRPr="00505FFD" w:rsidRDefault="00505FFD"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558" w:type="dxa"/>
            <w:tcBorders>
              <w:top w:val="single" w:sz="6" w:space="0" w:color="9CC2E5"/>
              <w:left w:val="single" w:sz="6" w:space="0" w:color="9CC2E5"/>
              <w:bottom w:val="single" w:sz="6" w:space="0" w:color="9CC2E5"/>
              <w:right w:val="single" w:sz="6" w:space="0" w:color="9CC2E5"/>
            </w:tcBorders>
            <w:shd w:val="clear" w:color="auto" w:fill="auto"/>
          </w:tcPr>
          <w:p w14:paraId="7021DDF2" w14:textId="560CCF69" w:rsidR="00E965C3"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r>
      <w:tr w:rsidR="00023BFB" w:rsidRPr="00023BFB" w14:paraId="4E052040" w14:textId="77777777" w:rsidTr="00096981">
        <w:trPr>
          <w:trHeight w:val="276"/>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11BBBBA" w14:textId="70D96140" w:rsidR="00023BFB" w:rsidRPr="00505FFD" w:rsidRDefault="00F57EEA"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 xml:space="preserve">Ajustabilidad de la intensidad de la lámpara </w:t>
            </w:r>
          </w:p>
        </w:tc>
        <w:tc>
          <w:tcPr>
            <w:tcW w:w="155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FFD9D8C" w14:textId="0398692B" w:rsidR="00023BFB" w:rsidRPr="00505FFD" w:rsidRDefault="00942CFA"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w:t>
            </w:r>
            <w:r w:rsidR="00A90656" w:rsidRPr="00505FFD">
              <w:rPr>
                <w:rFonts w:eastAsia="Times New Roman"/>
                <w:sz w:val="20"/>
                <w:szCs w:val="20"/>
                <w:lang w:val="es-ES"/>
              </w:rPr>
              <w:t>, W</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F91C892" w14:textId="6DBEACDC" w:rsidR="00023BFB" w:rsidRPr="00505FFD" w:rsidRDefault="00505FFD"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558" w:type="dxa"/>
            <w:tcBorders>
              <w:top w:val="single" w:sz="6" w:space="0" w:color="9CC2E5"/>
              <w:left w:val="single" w:sz="6" w:space="0" w:color="9CC2E5"/>
              <w:bottom w:val="single" w:sz="6" w:space="0" w:color="9CC2E5"/>
              <w:right w:val="single" w:sz="6" w:space="0" w:color="9CC2E5"/>
            </w:tcBorders>
            <w:shd w:val="clear" w:color="auto" w:fill="DEEAF6"/>
          </w:tcPr>
          <w:p w14:paraId="06C8522C" w14:textId="412057A4" w:rsidR="00023BFB" w:rsidRPr="00505FFD" w:rsidRDefault="00914EBE"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 W</w:t>
            </w:r>
          </w:p>
        </w:tc>
      </w:tr>
      <w:tr w:rsidR="00023BFB" w:rsidRPr="00023BFB" w14:paraId="6F2A19A7" w14:textId="77777777" w:rsidTr="00096981">
        <w:trPr>
          <w:trHeight w:val="276"/>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8F2C334" w14:textId="34A10B75" w:rsidR="00023BFB" w:rsidRPr="00505FFD" w:rsidRDefault="00F57EEA"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Si está diseñada para un uso óptimo en condiciones no estándar</w:t>
            </w:r>
          </w:p>
        </w:tc>
        <w:tc>
          <w:tcPr>
            <w:tcW w:w="155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43799DB" w14:textId="4BADD225" w:rsidR="00023BFB" w:rsidRPr="00505FFD" w:rsidRDefault="00942CFA"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w:t>
            </w:r>
            <w:r w:rsidR="00A90656" w:rsidRPr="00505FFD">
              <w:rPr>
                <w:rFonts w:eastAsia="Times New Roman"/>
                <w:sz w:val="20"/>
                <w:szCs w:val="20"/>
                <w:lang w:val="es-ES"/>
              </w:rPr>
              <w:t>, W</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41612B1" w14:textId="05EE3FEB" w:rsidR="00023BFB" w:rsidRPr="00505FFD" w:rsidRDefault="00505FFD"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558" w:type="dxa"/>
            <w:tcBorders>
              <w:top w:val="single" w:sz="6" w:space="0" w:color="9CC2E5"/>
              <w:left w:val="single" w:sz="6" w:space="0" w:color="9CC2E5"/>
              <w:bottom w:val="single" w:sz="6" w:space="0" w:color="9CC2E5"/>
              <w:right w:val="single" w:sz="6" w:space="0" w:color="9CC2E5"/>
            </w:tcBorders>
            <w:shd w:val="clear" w:color="auto" w:fill="auto"/>
          </w:tcPr>
          <w:p w14:paraId="4DD7E99D" w14:textId="65256127" w:rsidR="00023BFB" w:rsidRPr="00505FFD" w:rsidRDefault="00914EBE"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 W</w:t>
            </w:r>
          </w:p>
        </w:tc>
      </w:tr>
      <w:tr w:rsidR="00A90656" w:rsidRPr="00AD43A0" w14:paraId="43BDA18B" w14:textId="77777777" w:rsidTr="00783A3D">
        <w:trPr>
          <w:trHeight w:val="276"/>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FD3F451" w14:textId="3AB9B945" w:rsidR="00A90656" w:rsidRPr="00505FFD" w:rsidRDefault="00AD43A0"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Temperatura ambiente de diseño para maximizar el flujo luminoso</w:t>
            </w:r>
          </w:p>
        </w:tc>
        <w:tc>
          <w:tcPr>
            <w:tcW w:w="155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150A70A" w14:textId="64D5F7FB" w:rsidR="00A90656" w:rsidRPr="00505FFD" w:rsidRDefault="00505FFD"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E24D56A" w14:textId="371B38F8" w:rsidR="00A90656" w:rsidRPr="00505FFD" w:rsidRDefault="00AD43A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c>
          <w:tcPr>
            <w:tcW w:w="1558" w:type="dxa"/>
            <w:tcBorders>
              <w:top w:val="single" w:sz="6" w:space="0" w:color="9CC2E5"/>
              <w:left w:val="single" w:sz="6" w:space="0" w:color="9CC2E5"/>
              <w:bottom w:val="single" w:sz="6" w:space="0" w:color="9CC2E5"/>
              <w:right w:val="single" w:sz="6" w:space="0" w:color="9CC2E5"/>
            </w:tcBorders>
            <w:shd w:val="clear" w:color="auto" w:fill="DEEAF6"/>
          </w:tcPr>
          <w:p w14:paraId="461C38D8" w14:textId="09BE07CB" w:rsidR="00A90656" w:rsidRPr="00505FFD" w:rsidRDefault="00505FFD"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r>
      <w:tr w:rsidR="002D6D20" w:rsidRPr="002D6D20" w14:paraId="69CB29F3" w14:textId="77777777" w:rsidTr="00096981">
        <w:trPr>
          <w:trHeight w:val="276"/>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CA5E508" w14:textId="1129A370" w:rsidR="002D6D20" w:rsidRPr="00505FFD" w:rsidRDefault="002D6D20"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Indicación de uso en exteriores o para aplicaciones industriales</w:t>
            </w:r>
          </w:p>
        </w:tc>
        <w:tc>
          <w:tcPr>
            <w:tcW w:w="155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3503E58" w14:textId="0E7134CF" w:rsidR="002D6D20" w:rsidRPr="00505FFD" w:rsidRDefault="00505FFD"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8749907" w14:textId="586A09D9" w:rsidR="002D6D20" w:rsidRPr="00505FFD" w:rsidRDefault="00505FFD"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558" w:type="dxa"/>
            <w:tcBorders>
              <w:top w:val="single" w:sz="6" w:space="0" w:color="9CC2E5"/>
              <w:left w:val="single" w:sz="6" w:space="0" w:color="9CC2E5"/>
              <w:bottom w:val="single" w:sz="6" w:space="0" w:color="9CC2E5"/>
              <w:right w:val="single" w:sz="6" w:space="0" w:color="9CC2E5"/>
            </w:tcBorders>
            <w:shd w:val="clear" w:color="auto" w:fill="auto"/>
          </w:tcPr>
          <w:p w14:paraId="4C1F59F7" w14:textId="4031B221" w:rsidR="002D6D20"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r>
      <w:tr w:rsidR="00023BFB" w:rsidRPr="00023BFB" w14:paraId="0E4AEBD8" w14:textId="77777777" w:rsidTr="00096981">
        <w:trPr>
          <w:trHeight w:val="276"/>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2A60E61" w14:textId="3CED19FF" w:rsidR="00023BFB" w:rsidRPr="00505FFD" w:rsidRDefault="00F57EEA"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Dimensiones de la lámpara</w:t>
            </w:r>
          </w:p>
        </w:tc>
        <w:tc>
          <w:tcPr>
            <w:tcW w:w="155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7828836" w14:textId="4681501C" w:rsidR="00023BFB" w:rsidRPr="00505FFD" w:rsidRDefault="00942CFA"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w:t>
            </w:r>
            <w:r w:rsidR="00A90656" w:rsidRPr="00505FFD">
              <w:rPr>
                <w:rFonts w:eastAsia="Times New Roman"/>
                <w:sz w:val="20"/>
                <w:szCs w:val="20"/>
                <w:lang w:val="es-ES"/>
              </w:rPr>
              <w:t>, W</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5B06BE4" w14:textId="2FE00A39" w:rsidR="00023BFB" w:rsidRPr="00505FFD" w:rsidRDefault="00505FFD"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558" w:type="dxa"/>
            <w:tcBorders>
              <w:top w:val="single" w:sz="6" w:space="0" w:color="9CC2E5"/>
              <w:left w:val="single" w:sz="6" w:space="0" w:color="9CC2E5"/>
              <w:bottom w:val="single" w:sz="6" w:space="0" w:color="9CC2E5"/>
              <w:right w:val="single" w:sz="6" w:space="0" w:color="9CC2E5"/>
            </w:tcBorders>
            <w:shd w:val="clear" w:color="auto" w:fill="DEEAF6"/>
          </w:tcPr>
          <w:p w14:paraId="2C27CF5D" w14:textId="00032368" w:rsidR="00023BFB" w:rsidRPr="00505FFD" w:rsidRDefault="00914EBE"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 W</w:t>
            </w:r>
          </w:p>
        </w:tc>
      </w:tr>
      <w:tr w:rsidR="00023BFB" w:rsidRPr="00023BFB" w14:paraId="483960B9" w14:textId="77777777" w:rsidTr="00096981">
        <w:trPr>
          <w:trHeight w:val="276"/>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F5DCC18" w14:textId="0E1B6F22" w:rsidR="00023BFB" w:rsidRPr="00505FFD" w:rsidRDefault="00F57EEA"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Indicación de equivalencia con una lámpara incandescentes</w:t>
            </w:r>
          </w:p>
        </w:tc>
        <w:tc>
          <w:tcPr>
            <w:tcW w:w="155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C6B66C6" w14:textId="76F53286" w:rsidR="00023BFB" w:rsidRPr="00505FFD" w:rsidRDefault="00942CFA"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w:t>
            </w:r>
            <w:r w:rsidR="00A90656" w:rsidRPr="00505FFD">
              <w:rPr>
                <w:rFonts w:eastAsia="Times New Roman"/>
                <w:sz w:val="20"/>
                <w:szCs w:val="20"/>
                <w:lang w:val="es-ES"/>
              </w:rPr>
              <w:t>, W</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F527A4B" w14:textId="2A4F9C20" w:rsidR="00023BFB" w:rsidRPr="00505FFD" w:rsidRDefault="00505FFD"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558" w:type="dxa"/>
            <w:tcBorders>
              <w:top w:val="single" w:sz="6" w:space="0" w:color="9CC2E5"/>
              <w:left w:val="single" w:sz="6" w:space="0" w:color="9CC2E5"/>
              <w:bottom w:val="single" w:sz="6" w:space="0" w:color="9CC2E5"/>
              <w:right w:val="single" w:sz="6" w:space="0" w:color="9CC2E5"/>
            </w:tcBorders>
            <w:shd w:val="clear" w:color="auto" w:fill="auto"/>
          </w:tcPr>
          <w:p w14:paraId="7A2A6A35" w14:textId="52D3B2D2" w:rsidR="00023BFB" w:rsidRPr="00505FFD" w:rsidRDefault="00505FFD"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r>
      <w:tr w:rsidR="00F57EEA" w:rsidRPr="00702A31" w14:paraId="3C8106BE" w14:textId="77777777" w:rsidTr="00096981">
        <w:trPr>
          <w:trHeight w:val="276"/>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E2F6FBC" w14:textId="57E35383" w:rsidR="00F57EEA" w:rsidRPr="00505FFD" w:rsidRDefault="00F57EEA" w:rsidP="00F57EEA">
            <w:pPr>
              <w:suppressAutoHyphens w:val="0"/>
              <w:spacing w:before="0" w:after="0"/>
              <w:jc w:val="left"/>
              <w:textAlignment w:val="auto"/>
              <w:rPr>
                <w:rFonts w:eastAsia="Times New Roman"/>
                <w:i/>
                <w:sz w:val="20"/>
                <w:szCs w:val="20"/>
                <w:lang w:val="es-ES"/>
              </w:rPr>
            </w:pPr>
            <w:r w:rsidRPr="00505FFD">
              <w:rPr>
                <w:rFonts w:eastAsia="Times New Roman"/>
                <w:i/>
                <w:sz w:val="20"/>
                <w:szCs w:val="20"/>
                <w:lang w:val="es-ES"/>
              </w:rPr>
              <w:t>Si la lámpara contiene mercurio:</w:t>
            </w:r>
          </w:p>
        </w:tc>
        <w:tc>
          <w:tcPr>
            <w:tcW w:w="155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CDE553E" w14:textId="6D64B32E" w:rsidR="00F57EEA" w:rsidRPr="00505FFD" w:rsidRDefault="00505FFD"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878EC1D" w14:textId="39063122" w:rsidR="00F57EEA" w:rsidRPr="00505FFD" w:rsidRDefault="00505FFD"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558" w:type="dxa"/>
            <w:tcBorders>
              <w:top w:val="single" w:sz="6" w:space="0" w:color="9CC2E5"/>
              <w:left w:val="single" w:sz="6" w:space="0" w:color="9CC2E5"/>
              <w:bottom w:val="single" w:sz="6" w:space="0" w:color="9CC2E5"/>
              <w:right w:val="single" w:sz="6" w:space="0" w:color="9CC2E5"/>
            </w:tcBorders>
            <w:shd w:val="clear" w:color="auto" w:fill="DEEAF6"/>
          </w:tcPr>
          <w:p w14:paraId="6206DE0A" w14:textId="2DADA221" w:rsidR="00F57EEA" w:rsidRPr="00505FFD" w:rsidRDefault="00505FFD"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r>
      <w:tr w:rsidR="00F57EEA" w:rsidRPr="00023BFB" w14:paraId="66626E0C" w14:textId="77777777" w:rsidTr="00096981">
        <w:trPr>
          <w:trHeight w:val="276"/>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AC29C45" w14:textId="61F95D3A" w:rsidR="00F57EEA" w:rsidRPr="00505FFD" w:rsidRDefault="00F57EEA"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Contenido de mercurio</w:t>
            </w:r>
            <w:r w:rsidR="00A90656" w:rsidRPr="00505FFD">
              <w:rPr>
                <w:rFonts w:eastAsia="Times New Roman"/>
                <w:sz w:val="20"/>
                <w:szCs w:val="20"/>
                <w:lang w:val="es-ES"/>
              </w:rPr>
              <w:t xml:space="preserve"> (mg)</w:t>
            </w:r>
          </w:p>
        </w:tc>
        <w:tc>
          <w:tcPr>
            <w:tcW w:w="155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6F1BA24" w14:textId="0BC657CF" w:rsidR="00F57EEA" w:rsidRPr="00505FFD" w:rsidRDefault="00942CFA"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w:t>
            </w:r>
            <w:r w:rsidR="00A90656" w:rsidRPr="00505FFD">
              <w:rPr>
                <w:rFonts w:eastAsia="Times New Roman"/>
                <w:sz w:val="20"/>
                <w:szCs w:val="20"/>
                <w:lang w:val="es-ES"/>
              </w:rPr>
              <w:t>, W</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27EBDF7" w14:textId="0AD4876B" w:rsidR="00F57EEA" w:rsidRPr="00505FFD" w:rsidRDefault="00A90656"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c>
          <w:tcPr>
            <w:tcW w:w="1558" w:type="dxa"/>
            <w:tcBorders>
              <w:top w:val="single" w:sz="6" w:space="0" w:color="9CC2E5"/>
              <w:left w:val="single" w:sz="6" w:space="0" w:color="9CC2E5"/>
              <w:bottom w:val="single" w:sz="6" w:space="0" w:color="9CC2E5"/>
              <w:right w:val="single" w:sz="6" w:space="0" w:color="9CC2E5"/>
            </w:tcBorders>
            <w:shd w:val="clear" w:color="auto" w:fill="auto"/>
          </w:tcPr>
          <w:p w14:paraId="534A59C3" w14:textId="1384463B" w:rsidR="00F57EEA" w:rsidRPr="00505FFD" w:rsidRDefault="00914EBE"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 W</w:t>
            </w:r>
          </w:p>
        </w:tc>
      </w:tr>
      <w:tr w:rsidR="00F57EEA" w:rsidRPr="00023BFB" w14:paraId="67AB3542" w14:textId="77777777" w:rsidTr="00783A3D">
        <w:trPr>
          <w:trHeight w:val="276"/>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4703CE3" w14:textId="7163B1C0" w:rsidR="00F57EEA" w:rsidRPr="00505FFD" w:rsidRDefault="00F57EEA"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Sitio web que se puede consultar en caso de rotura accidental</w:t>
            </w:r>
          </w:p>
        </w:tc>
        <w:tc>
          <w:tcPr>
            <w:tcW w:w="155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0DC7D45" w14:textId="175B7DB0" w:rsidR="00F57EEA" w:rsidRPr="00505FFD" w:rsidRDefault="00942CFA"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w:t>
            </w:r>
            <w:r w:rsidR="00A90656" w:rsidRPr="00505FFD">
              <w:rPr>
                <w:rFonts w:eastAsia="Times New Roman"/>
                <w:sz w:val="20"/>
                <w:szCs w:val="20"/>
                <w:lang w:val="es-ES"/>
              </w:rPr>
              <w:t>, W</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5BEB1BD" w14:textId="76399067" w:rsidR="00F57EEA" w:rsidRPr="00505FFD" w:rsidRDefault="00505FFD"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558" w:type="dxa"/>
            <w:tcBorders>
              <w:top w:val="single" w:sz="6" w:space="0" w:color="9CC2E5"/>
              <w:left w:val="single" w:sz="6" w:space="0" w:color="9CC2E5"/>
              <w:bottom w:val="single" w:sz="6" w:space="0" w:color="9CC2E5"/>
              <w:right w:val="single" w:sz="6" w:space="0" w:color="9CC2E5"/>
            </w:tcBorders>
            <w:shd w:val="clear" w:color="auto" w:fill="auto"/>
          </w:tcPr>
          <w:p w14:paraId="7FB541D3" w14:textId="7809111D" w:rsidR="00F57EEA" w:rsidRPr="00505FFD" w:rsidRDefault="00914EBE"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E, W</w:t>
            </w:r>
          </w:p>
        </w:tc>
      </w:tr>
      <w:tr w:rsidR="00E965C3" w:rsidRPr="00E965C3" w14:paraId="1D588D11" w14:textId="77777777" w:rsidTr="00783A3D">
        <w:trPr>
          <w:trHeight w:val="276"/>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0D90CB7" w14:textId="5EF2B9D8" w:rsidR="00E965C3" w:rsidRPr="00505FFD" w:rsidRDefault="00E965C3" w:rsidP="00F57EEA">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Instrucciones como limpiar los restos de la lámpara en caso de rotura accidental</w:t>
            </w:r>
          </w:p>
        </w:tc>
        <w:tc>
          <w:tcPr>
            <w:tcW w:w="155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1C96ACD" w14:textId="699BE156" w:rsidR="00E965C3" w:rsidRPr="00505FFD" w:rsidRDefault="00E965C3"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712F54B" w14:textId="0B1F3F6A" w:rsidR="00E965C3" w:rsidRPr="00505FFD" w:rsidRDefault="00505FFD"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558" w:type="dxa"/>
            <w:tcBorders>
              <w:top w:val="single" w:sz="6" w:space="0" w:color="9CC2E5"/>
              <w:left w:val="single" w:sz="6" w:space="0" w:color="9CC2E5"/>
              <w:bottom w:val="single" w:sz="6" w:space="0" w:color="9CC2E5"/>
              <w:right w:val="single" w:sz="6" w:space="0" w:color="9CC2E5"/>
            </w:tcBorders>
            <w:shd w:val="clear" w:color="auto" w:fill="auto"/>
          </w:tcPr>
          <w:p w14:paraId="3D5913C7" w14:textId="163020DC" w:rsidR="00E965C3"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r>
      <w:tr w:rsidR="00E965C3" w:rsidRPr="00E965C3" w14:paraId="145CD868" w14:textId="77777777" w:rsidTr="00783A3D">
        <w:trPr>
          <w:trHeight w:val="276"/>
          <w:jc w:val="center"/>
        </w:trPr>
        <w:tc>
          <w:tcPr>
            <w:tcW w:w="367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7D4224E" w14:textId="7547F24A" w:rsidR="00E965C3" w:rsidRPr="00505FFD" w:rsidRDefault="00E965C3" w:rsidP="00E965C3">
            <w:pPr>
              <w:suppressAutoHyphens w:val="0"/>
              <w:spacing w:before="0" w:after="0"/>
              <w:jc w:val="left"/>
              <w:textAlignment w:val="auto"/>
              <w:rPr>
                <w:rFonts w:eastAsia="Times New Roman"/>
                <w:sz w:val="20"/>
                <w:szCs w:val="20"/>
                <w:lang w:val="es-ES"/>
              </w:rPr>
            </w:pPr>
            <w:r w:rsidRPr="00505FFD">
              <w:rPr>
                <w:rFonts w:eastAsia="Times New Roman"/>
                <w:sz w:val="20"/>
                <w:szCs w:val="20"/>
                <w:lang w:val="es-ES"/>
              </w:rPr>
              <w:t>Recomendaciones sobre desecho al final de la vida útil de la lámpara</w:t>
            </w:r>
          </w:p>
        </w:tc>
        <w:tc>
          <w:tcPr>
            <w:tcW w:w="155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034CC80" w14:textId="5276D001" w:rsidR="00E965C3" w:rsidRPr="00505FFD" w:rsidRDefault="00E965C3"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4960CE3" w14:textId="1CF0D739" w:rsidR="00E965C3" w:rsidRPr="00505FFD" w:rsidRDefault="00505FFD"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t>
            </w:r>
          </w:p>
        </w:tc>
        <w:tc>
          <w:tcPr>
            <w:tcW w:w="1558" w:type="dxa"/>
            <w:tcBorders>
              <w:top w:val="single" w:sz="6" w:space="0" w:color="9CC2E5"/>
              <w:left w:val="single" w:sz="6" w:space="0" w:color="9CC2E5"/>
              <w:bottom w:val="single" w:sz="6" w:space="0" w:color="9CC2E5"/>
              <w:right w:val="single" w:sz="6" w:space="0" w:color="9CC2E5"/>
            </w:tcBorders>
            <w:shd w:val="clear" w:color="auto" w:fill="auto"/>
          </w:tcPr>
          <w:p w14:paraId="1B7937C2" w14:textId="2777F697" w:rsidR="00E965C3" w:rsidRPr="00505FFD" w:rsidRDefault="002D6D20" w:rsidP="00942CFA">
            <w:pPr>
              <w:suppressAutoHyphens w:val="0"/>
              <w:spacing w:before="0" w:after="0"/>
              <w:jc w:val="center"/>
              <w:textAlignment w:val="auto"/>
              <w:rPr>
                <w:rFonts w:eastAsia="Times New Roman"/>
                <w:sz w:val="20"/>
                <w:szCs w:val="20"/>
                <w:lang w:val="es-ES"/>
              </w:rPr>
            </w:pPr>
            <w:r w:rsidRPr="00505FFD">
              <w:rPr>
                <w:rFonts w:eastAsia="Times New Roman"/>
                <w:sz w:val="20"/>
                <w:szCs w:val="20"/>
                <w:lang w:val="es-ES"/>
              </w:rPr>
              <w:t>W</w:t>
            </w:r>
          </w:p>
        </w:tc>
      </w:tr>
    </w:tbl>
    <w:p w14:paraId="64BF88BC" w14:textId="176CC31B" w:rsidR="00B8243A" w:rsidRPr="00A90656" w:rsidRDefault="00942CFA" w:rsidP="00505FFD">
      <w:pPr>
        <w:suppressAutoHyphens w:val="0"/>
        <w:spacing w:after="0"/>
        <w:rPr>
          <w:rFonts w:asciiTheme="minorHAnsi" w:eastAsia="Calibri" w:hAnsiTheme="minorHAnsi" w:cstheme="minorHAnsi"/>
          <w:color w:val="auto"/>
          <w:sz w:val="20"/>
          <w:lang w:val="es-ES"/>
        </w:rPr>
      </w:pPr>
      <w:r w:rsidRPr="00A90656">
        <w:rPr>
          <w:rFonts w:asciiTheme="minorHAnsi" w:eastAsia="Calibri" w:hAnsiTheme="minorHAnsi" w:cstheme="minorHAnsi"/>
          <w:color w:val="auto"/>
          <w:sz w:val="20"/>
          <w:lang w:val="es-ES"/>
        </w:rPr>
        <w:lastRenderedPageBreak/>
        <w:t>Leyenda: E = embalaje, W = web</w:t>
      </w:r>
    </w:p>
    <w:p w14:paraId="4C143344" w14:textId="4794322A" w:rsidR="00783A3D" w:rsidRDefault="00783A3D" w:rsidP="00505FFD">
      <w:pPr>
        <w:suppressAutoHyphens w:val="0"/>
        <w:spacing w:before="0" w:after="0"/>
        <w:rPr>
          <w:rFonts w:asciiTheme="minorHAnsi" w:eastAsia="Calibri" w:hAnsiTheme="minorHAnsi" w:cstheme="minorHAnsi"/>
          <w:color w:val="auto"/>
          <w:sz w:val="20"/>
          <w:szCs w:val="20"/>
          <w:lang w:val="es-ES"/>
        </w:rPr>
      </w:pPr>
      <w:r>
        <w:rPr>
          <w:rFonts w:asciiTheme="minorHAnsi" w:eastAsia="Calibri" w:hAnsiTheme="minorHAnsi" w:cstheme="minorHAnsi"/>
          <w:color w:val="auto"/>
          <w:sz w:val="20"/>
          <w:szCs w:val="20"/>
          <w:lang w:val="es-ES"/>
        </w:rPr>
        <w:t>*) Para lámparas de uso doméstico no direccionales</w:t>
      </w:r>
    </w:p>
    <w:p w14:paraId="281899FB" w14:textId="4076B36C" w:rsidR="00D639C8" w:rsidRDefault="00783A3D" w:rsidP="00505FFD">
      <w:pPr>
        <w:suppressAutoHyphens w:val="0"/>
        <w:spacing w:before="0" w:after="0"/>
        <w:rPr>
          <w:rFonts w:asciiTheme="minorHAnsi" w:eastAsia="Calibri" w:hAnsiTheme="minorHAnsi" w:cstheme="minorHAnsi"/>
          <w:color w:val="auto"/>
          <w:sz w:val="20"/>
          <w:szCs w:val="20"/>
          <w:lang w:val="es-ES"/>
        </w:rPr>
      </w:pPr>
      <w:r>
        <w:rPr>
          <w:rFonts w:asciiTheme="minorHAnsi" w:eastAsia="Calibri" w:hAnsiTheme="minorHAnsi" w:cstheme="minorHAnsi"/>
          <w:color w:val="auto"/>
          <w:sz w:val="20"/>
          <w:szCs w:val="20"/>
          <w:lang w:val="es-ES"/>
        </w:rPr>
        <w:t>*</w:t>
      </w:r>
      <w:r w:rsidR="00AD43A0" w:rsidRPr="00AD43A0">
        <w:rPr>
          <w:rFonts w:asciiTheme="minorHAnsi" w:eastAsia="Calibri" w:hAnsiTheme="minorHAnsi" w:cstheme="minorHAnsi"/>
          <w:color w:val="auto"/>
          <w:sz w:val="20"/>
          <w:szCs w:val="20"/>
          <w:lang w:val="es-ES"/>
        </w:rPr>
        <w:t xml:space="preserve">*) </w:t>
      </w:r>
      <w:r>
        <w:rPr>
          <w:rFonts w:asciiTheme="minorHAnsi" w:eastAsia="Calibri" w:hAnsiTheme="minorHAnsi" w:cstheme="minorHAnsi"/>
          <w:color w:val="auto"/>
          <w:sz w:val="20"/>
          <w:szCs w:val="20"/>
          <w:lang w:val="es-ES"/>
        </w:rPr>
        <w:t xml:space="preserve">Para lámparas fluorescentes y de descarga de alta intensidad. </w:t>
      </w:r>
      <w:r w:rsidR="00AD43A0" w:rsidRPr="00AD43A0">
        <w:rPr>
          <w:rFonts w:asciiTheme="minorHAnsi" w:eastAsia="Calibri" w:hAnsiTheme="minorHAnsi" w:cstheme="minorHAnsi"/>
          <w:color w:val="auto"/>
          <w:sz w:val="20"/>
          <w:szCs w:val="20"/>
          <w:lang w:val="es-ES"/>
        </w:rPr>
        <w:t>Los fabricantes tienen que facilitar la información en sitios web de acceso libre y en otras formas que consideren adecuados</w:t>
      </w:r>
      <w:r w:rsidR="00914EBE">
        <w:rPr>
          <w:rFonts w:asciiTheme="minorHAnsi" w:eastAsia="Calibri" w:hAnsiTheme="minorHAnsi" w:cstheme="minorHAnsi"/>
          <w:color w:val="auto"/>
          <w:sz w:val="20"/>
          <w:szCs w:val="20"/>
          <w:lang w:val="es-ES"/>
        </w:rPr>
        <w:t>.</w:t>
      </w:r>
    </w:p>
    <w:p w14:paraId="7DDA1FA3" w14:textId="404BE300" w:rsidR="00914EBE" w:rsidRPr="00AD43A0" w:rsidRDefault="00914EBE" w:rsidP="00505FFD">
      <w:pPr>
        <w:suppressAutoHyphens w:val="0"/>
        <w:spacing w:before="0" w:after="0"/>
        <w:rPr>
          <w:rFonts w:asciiTheme="minorHAnsi" w:eastAsia="Calibri" w:hAnsiTheme="minorHAnsi" w:cstheme="minorHAnsi"/>
          <w:color w:val="auto"/>
          <w:sz w:val="20"/>
          <w:szCs w:val="20"/>
          <w:lang w:val="es-ES"/>
        </w:rPr>
      </w:pPr>
      <w:r>
        <w:rPr>
          <w:rFonts w:asciiTheme="minorHAnsi" w:eastAsia="Calibri" w:hAnsiTheme="minorHAnsi" w:cstheme="minorHAnsi"/>
          <w:color w:val="auto"/>
          <w:sz w:val="20"/>
          <w:szCs w:val="20"/>
          <w:lang w:val="es-ES"/>
        </w:rPr>
        <w:t>***) Para lámparas direccionales (incluidas lámparas LED).</w:t>
      </w:r>
    </w:p>
    <w:p w14:paraId="40175D32" w14:textId="7AD09D4F" w:rsidR="004205D7" w:rsidRDefault="004205D7" w:rsidP="004205D7">
      <w:pPr>
        <w:pStyle w:val="Heading2"/>
        <w:rPr>
          <w:lang w:val="es-ES"/>
        </w:rPr>
      </w:pPr>
      <w:bookmarkStart w:id="43" w:name="_Toc516146012"/>
      <w:r>
        <w:rPr>
          <w:lang w:val="es-ES"/>
        </w:rPr>
        <w:t>México</w:t>
      </w:r>
      <w:bookmarkEnd w:id="43"/>
    </w:p>
    <w:p w14:paraId="302FCE38" w14:textId="4B5701A3" w:rsidR="001B01D7" w:rsidRDefault="00CF7B15" w:rsidP="001B01D7">
      <w:pPr>
        <w:pStyle w:val="BodyText"/>
        <w:rPr>
          <w:lang w:val="es-ES"/>
        </w:rPr>
      </w:pPr>
      <w:r>
        <w:rPr>
          <w:lang w:val="es-ES"/>
        </w:rPr>
        <w:t>L</w:t>
      </w:r>
      <w:r w:rsidR="00CA1CCA">
        <w:rPr>
          <w:lang w:val="es-ES"/>
        </w:rPr>
        <w:t>a</w:t>
      </w:r>
      <w:r>
        <w:rPr>
          <w:lang w:val="es-ES"/>
        </w:rPr>
        <w:t xml:space="preserve">s </w:t>
      </w:r>
      <w:r w:rsidR="00CA1CCA">
        <w:rPr>
          <w:lang w:val="es-ES"/>
        </w:rPr>
        <w:t>N</w:t>
      </w:r>
      <w:r>
        <w:rPr>
          <w:lang w:val="es-ES"/>
        </w:rPr>
        <w:t xml:space="preserve">ormas </w:t>
      </w:r>
      <w:r w:rsidR="00CA1CCA">
        <w:rPr>
          <w:lang w:val="es-ES"/>
        </w:rPr>
        <w:t>O</w:t>
      </w:r>
      <w:r>
        <w:rPr>
          <w:lang w:val="es-ES"/>
        </w:rPr>
        <w:t xml:space="preserve">ficiales </w:t>
      </w:r>
      <w:r w:rsidR="00CA1CCA">
        <w:rPr>
          <w:lang w:val="es-ES"/>
        </w:rPr>
        <w:t xml:space="preserve">Mexicanas </w:t>
      </w:r>
      <w:r>
        <w:rPr>
          <w:lang w:val="es-ES"/>
        </w:rPr>
        <w:t xml:space="preserve">de eficiencia energética (NOM-ENER) reúnen </w:t>
      </w:r>
      <w:r w:rsidR="00233D8A" w:rsidRPr="00233D8A">
        <w:rPr>
          <w:lang w:val="es-ES"/>
        </w:rPr>
        <w:t>–</w:t>
      </w:r>
      <w:r>
        <w:rPr>
          <w:lang w:val="es-ES"/>
        </w:rPr>
        <w:t xml:space="preserve"> en un solo documento </w:t>
      </w:r>
      <w:r w:rsidR="00233D8A" w:rsidRPr="00233D8A">
        <w:rPr>
          <w:lang w:val="es-ES"/>
        </w:rPr>
        <w:t>–</w:t>
      </w:r>
      <w:r>
        <w:rPr>
          <w:lang w:val="es-ES"/>
        </w:rPr>
        <w:t xml:space="preserve"> los límites de desempeño energético mínimo ("especificaciones"), el etiquetado, los m</w:t>
      </w:r>
      <w:r w:rsidR="00233D8A">
        <w:rPr>
          <w:lang w:val="es-ES"/>
        </w:rPr>
        <w:t>étodos de prueba, además de otras estipulaciones, por ejemplo con respecto al muestreo, a los procedimientos de evaluación de conformidad, vigilancia de mercado, etc. Mientras que las "especificaciones" y las estipulaciones de etiquetado son incluidas de forma integral en las NOM-ENER, existen diferencias con respecto a la integridad de las demás estipulaciones en las NOM-ENER de distintos productos. Algunas NOM-ENER incluyen estas estipulaciones de forma integral, otras incluyen referencias a normas de medición NMX, procedimientos de evaluación definidos en otros documentos, etc.</w:t>
      </w:r>
      <w:r w:rsidR="00526D10">
        <w:rPr>
          <w:rStyle w:val="FootnoteReference"/>
        </w:rPr>
        <w:footnoteReference w:id="67"/>
      </w:r>
    </w:p>
    <w:p w14:paraId="57C66D47" w14:textId="6E97D6D6" w:rsidR="00233D8A" w:rsidRDefault="00CF1C3C" w:rsidP="001B01D7">
      <w:pPr>
        <w:suppressAutoHyphens w:val="0"/>
        <w:autoSpaceDN/>
        <w:spacing w:before="0" w:after="140"/>
        <w:textAlignment w:val="auto"/>
        <w:rPr>
          <w:rFonts w:eastAsia="Calibri"/>
          <w:color w:val="auto"/>
          <w:lang w:val="es-ES"/>
        </w:rPr>
      </w:pPr>
      <w:r>
        <w:rPr>
          <w:rFonts w:eastAsia="Calibri"/>
          <w:color w:val="auto"/>
          <w:lang w:val="es-ES"/>
        </w:rPr>
        <w:t xml:space="preserve">Existen en este momento </w:t>
      </w:r>
      <w:r w:rsidR="00092E80">
        <w:rPr>
          <w:rFonts w:eastAsia="Calibri"/>
          <w:color w:val="auto"/>
          <w:lang w:val="es-ES"/>
        </w:rPr>
        <w:t>33 NOM-ENER.</w:t>
      </w:r>
      <w:r w:rsidR="00092E80">
        <w:rPr>
          <w:rStyle w:val="FootnoteReference"/>
          <w:rFonts w:eastAsia="Calibri"/>
          <w:color w:val="auto"/>
        </w:rPr>
        <w:footnoteReference w:id="68"/>
      </w:r>
      <w:r w:rsidR="003133A1">
        <w:rPr>
          <w:rFonts w:eastAsia="Calibri"/>
          <w:color w:val="auto"/>
          <w:lang w:val="es-ES"/>
        </w:rPr>
        <w:t xml:space="preserve"> </w:t>
      </w:r>
      <w:r w:rsidR="00233D8A">
        <w:rPr>
          <w:rFonts w:eastAsia="Calibri"/>
          <w:color w:val="auto"/>
          <w:lang w:val="es-ES"/>
        </w:rPr>
        <w:t>Las NOM-ENER son de aplicación obligatoria.</w:t>
      </w:r>
    </w:p>
    <w:p w14:paraId="12246052" w14:textId="6A608324" w:rsidR="00DF433A" w:rsidRDefault="00DF433A" w:rsidP="00601518">
      <w:pPr>
        <w:pStyle w:val="BodyText"/>
        <w:rPr>
          <w:color w:val="A6A6A6" w:themeColor="background1" w:themeShade="A6"/>
          <w:lang w:val="es-ES"/>
        </w:rPr>
      </w:pPr>
      <w:r>
        <w:rPr>
          <w:lang w:val="es-ES"/>
        </w:rPr>
        <w:t xml:space="preserve">En el ámbito de los productos de iluminación existen las NOM-ENER incluidas en la tabla </w:t>
      </w:r>
      <w:r w:rsidR="008526E3">
        <w:rPr>
          <w:lang w:val="es-ES"/>
        </w:rPr>
        <w:t>6</w:t>
      </w:r>
      <w:r>
        <w:rPr>
          <w:lang w:val="es-ES"/>
        </w:rPr>
        <w:t xml:space="preserve">. </w:t>
      </w:r>
      <w:r w:rsidR="00CC2D1D">
        <w:rPr>
          <w:lang w:val="es-ES"/>
        </w:rPr>
        <w:t xml:space="preserve">En el momento de redactar esta </w:t>
      </w:r>
      <w:r w:rsidR="00CC2D1D" w:rsidRPr="00CC2D1D">
        <w:rPr>
          <w:lang w:val="es-ES"/>
        </w:rPr>
        <w:t>sección e</w:t>
      </w:r>
      <w:r w:rsidRPr="009E13C1">
        <w:rPr>
          <w:lang w:val="es-ES"/>
        </w:rPr>
        <w:t>xist</w:t>
      </w:r>
      <w:r w:rsidR="00CC2D1D" w:rsidRPr="009E13C1">
        <w:rPr>
          <w:lang w:val="es-ES"/>
        </w:rPr>
        <w:t xml:space="preserve">ía </w:t>
      </w:r>
      <w:r w:rsidRPr="00CC2D1D">
        <w:rPr>
          <w:lang w:val="es-ES"/>
        </w:rPr>
        <w:t xml:space="preserve">también el Proyecto de </w:t>
      </w:r>
      <w:r w:rsidR="00CA1B04" w:rsidRPr="00CC2D1D">
        <w:rPr>
          <w:lang w:val="es-ES"/>
        </w:rPr>
        <w:t>revisión de la NOM-028-ENER</w:t>
      </w:r>
      <w:r w:rsidR="00CA1CCA" w:rsidRPr="00CC2D1D">
        <w:rPr>
          <w:lang w:val="es-ES"/>
        </w:rPr>
        <w:t>-2010</w:t>
      </w:r>
      <w:r w:rsidR="00CA1B04" w:rsidRPr="00CC2D1D">
        <w:rPr>
          <w:lang w:val="es-ES"/>
        </w:rPr>
        <w:t xml:space="preserve"> para lámparas </w:t>
      </w:r>
      <w:r w:rsidR="0075021A" w:rsidRPr="00CC2D1D">
        <w:rPr>
          <w:lang w:val="es-ES"/>
        </w:rPr>
        <w:t>para</w:t>
      </w:r>
      <w:r w:rsidR="00CA1B04" w:rsidRPr="00CC2D1D">
        <w:rPr>
          <w:lang w:val="es-ES"/>
        </w:rPr>
        <w:t xml:space="preserve"> uso general</w:t>
      </w:r>
      <w:r w:rsidR="0013180A" w:rsidRPr="00CC2D1D">
        <w:rPr>
          <w:lang w:val="es-ES"/>
        </w:rPr>
        <w:t xml:space="preserve"> (con la excepción de las LFC)</w:t>
      </w:r>
      <w:r w:rsidR="00393562">
        <w:rPr>
          <w:lang w:val="es-ES"/>
        </w:rPr>
        <w:t>.</w:t>
      </w:r>
      <w:r w:rsidR="009E13C1">
        <w:rPr>
          <w:rStyle w:val="FootnoteReference"/>
        </w:rPr>
        <w:footnoteReference w:id="69"/>
      </w:r>
      <w:r w:rsidR="009E13C1">
        <w:rPr>
          <w:lang w:val="es-ES"/>
        </w:rPr>
        <w:t xml:space="preserve"> </w:t>
      </w:r>
    </w:p>
    <w:p w14:paraId="188FDAF2" w14:textId="4A5CD93F" w:rsidR="00DF433A" w:rsidRPr="00566934" w:rsidRDefault="00DF433A" w:rsidP="00DF433A">
      <w:pPr>
        <w:keepNext/>
        <w:keepLines/>
        <w:spacing w:before="0" w:after="0"/>
        <w:jc w:val="center"/>
        <w:rPr>
          <w:iCs/>
          <w:color w:val="002B7F"/>
          <w:szCs w:val="18"/>
          <w:lang w:val="es-ES"/>
        </w:rPr>
      </w:pPr>
      <w:r w:rsidRPr="00566934">
        <w:rPr>
          <w:iCs/>
          <w:color w:val="002B7F"/>
          <w:szCs w:val="18"/>
          <w:lang w:val="es-ES"/>
        </w:rPr>
        <w:t xml:space="preserve">Tabla </w:t>
      </w:r>
      <w:r w:rsidRPr="00566934">
        <w:rPr>
          <w:iCs/>
          <w:color w:val="002B7F"/>
          <w:szCs w:val="18"/>
          <w:lang w:val="es-ES"/>
        </w:rPr>
        <w:fldChar w:fldCharType="begin"/>
      </w:r>
      <w:r w:rsidRPr="00566934">
        <w:rPr>
          <w:iCs/>
          <w:color w:val="002B7F"/>
          <w:szCs w:val="18"/>
          <w:lang w:val="es-ES"/>
        </w:rPr>
        <w:instrText xml:space="preserve"> SEQ Tabla \* ARABIC </w:instrText>
      </w:r>
      <w:r w:rsidRPr="00566934">
        <w:rPr>
          <w:iCs/>
          <w:color w:val="002B7F"/>
          <w:szCs w:val="18"/>
          <w:lang w:val="es-ES"/>
        </w:rPr>
        <w:fldChar w:fldCharType="separate"/>
      </w:r>
      <w:r w:rsidR="005E6430">
        <w:rPr>
          <w:iCs/>
          <w:noProof/>
          <w:color w:val="002B7F"/>
          <w:szCs w:val="18"/>
          <w:lang w:val="es-ES"/>
        </w:rPr>
        <w:t>6</w:t>
      </w:r>
      <w:r w:rsidRPr="00566934">
        <w:rPr>
          <w:iCs/>
          <w:noProof/>
          <w:color w:val="002B7F"/>
          <w:szCs w:val="18"/>
          <w:lang w:val="es-ES"/>
        </w:rPr>
        <w:fldChar w:fldCharType="end"/>
      </w:r>
      <w:r w:rsidRPr="00566934">
        <w:rPr>
          <w:iCs/>
          <w:color w:val="002B7F"/>
          <w:szCs w:val="18"/>
          <w:lang w:val="es-ES"/>
        </w:rPr>
        <w:t xml:space="preserve"> – </w:t>
      </w:r>
      <w:r>
        <w:rPr>
          <w:iCs/>
          <w:color w:val="002B7F"/>
          <w:szCs w:val="18"/>
          <w:lang w:val="es-ES"/>
        </w:rPr>
        <w:t>NOM-ENER para productos de iluminación</w:t>
      </w:r>
      <w:r w:rsidRPr="000B1B71">
        <w:rPr>
          <w:iCs/>
          <w:color w:val="002B7F"/>
          <w:szCs w:val="18"/>
          <w:lang w:val="es-ES"/>
        </w:rPr>
        <w:t xml:space="preserve"> – </w:t>
      </w:r>
      <w:r w:rsidR="00CA1B04">
        <w:rPr>
          <w:iCs/>
          <w:color w:val="002B7F"/>
          <w:szCs w:val="18"/>
          <w:lang w:val="es-ES"/>
        </w:rPr>
        <w:t>México</w:t>
      </w:r>
    </w:p>
    <w:p w14:paraId="61CF2F62" w14:textId="68EF94CE" w:rsidR="00DF433A" w:rsidRPr="00AD6CDA" w:rsidRDefault="00DF433A" w:rsidP="00DF433A">
      <w:pPr>
        <w:suppressAutoHyphens w:val="0"/>
        <w:autoSpaceDN/>
        <w:spacing w:before="0" w:after="140"/>
        <w:jc w:val="center"/>
        <w:textAlignment w:val="auto"/>
        <w:rPr>
          <w:rFonts w:asciiTheme="minorHAnsi" w:eastAsia="Calibri" w:hAnsiTheme="minorHAnsi" w:cstheme="minorHAnsi"/>
          <w:color w:val="002B7F"/>
          <w:lang w:val="es-ES"/>
        </w:rPr>
      </w:pPr>
      <w:r w:rsidRPr="00AD6CDA">
        <w:rPr>
          <w:i/>
          <w:color w:val="002B7F"/>
          <w:sz w:val="18"/>
          <w:lang w:val="es-ES"/>
        </w:rPr>
        <w:t xml:space="preserve">Fuente: </w:t>
      </w:r>
      <w:r w:rsidRPr="00AD6CDA">
        <w:rPr>
          <w:rFonts w:cstheme="minorHAnsi"/>
          <w:color w:val="002B7F"/>
          <w:sz w:val="18"/>
          <w:lang w:val="es-PA"/>
        </w:rPr>
        <w:t>Elaboración propia</w:t>
      </w:r>
      <w:r>
        <w:rPr>
          <w:rFonts w:cstheme="minorHAnsi"/>
          <w:color w:val="002B7F"/>
          <w:sz w:val="18"/>
          <w:lang w:val="es-PA"/>
        </w:rPr>
        <w:t xml:space="preserve"> en base de l</w:t>
      </w:r>
      <w:r w:rsidR="00CA1B04">
        <w:rPr>
          <w:rFonts w:cstheme="minorHAnsi"/>
          <w:color w:val="002B7F"/>
          <w:sz w:val="18"/>
          <w:lang w:val="es-PA"/>
        </w:rPr>
        <w:t>as NOM-ENER</w:t>
      </w:r>
      <w:r>
        <w:rPr>
          <w:rFonts w:cstheme="minorHAnsi"/>
          <w:color w:val="002B7F"/>
          <w:sz w:val="18"/>
          <w:lang w:val="es-PA"/>
        </w:rPr>
        <w:t xml:space="preserve"> mencionad</w:t>
      </w:r>
      <w:r w:rsidR="00CA1B04">
        <w:rPr>
          <w:rFonts w:cstheme="minorHAnsi"/>
          <w:color w:val="002B7F"/>
          <w:sz w:val="18"/>
          <w:lang w:val="es-PA"/>
        </w:rPr>
        <w:t>a</w:t>
      </w:r>
      <w:r>
        <w:rPr>
          <w:rFonts w:cstheme="minorHAnsi"/>
          <w:color w:val="002B7F"/>
          <w:sz w:val="18"/>
          <w:lang w:val="es-PA"/>
        </w:rPr>
        <w:t>s</w:t>
      </w:r>
    </w:p>
    <w:tbl>
      <w:tblPr>
        <w:tblW w:w="5000" w:type="pct"/>
        <w:tblCellMar>
          <w:left w:w="10" w:type="dxa"/>
          <w:right w:w="10" w:type="dxa"/>
        </w:tblCellMar>
        <w:tblLook w:val="0000" w:firstRow="0" w:lastRow="0" w:firstColumn="0" w:lastColumn="0" w:noHBand="0" w:noVBand="0"/>
      </w:tblPr>
      <w:tblGrid>
        <w:gridCol w:w="3253"/>
        <w:gridCol w:w="5243"/>
      </w:tblGrid>
      <w:tr w:rsidR="00DF433A" w:rsidRPr="000D360C" w14:paraId="6CD43AC6" w14:textId="77777777" w:rsidTr="00DF433A">
        <w:tc>
          <w:tcPr>
            <w:tcW w:w="3253"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6459A8A7" w14:textId="3EB972A6" w:rsidR="00DF433A" w:rsidRPr="00CC334B" w:rsidRDefault="00DF433A" w:rsidP="00DF433A">
            <w:pPr>
              <w:suppressAutoHyphens w:val="0"/>
              <w:spacing w:before="0" w:after="0"/>
              <w:jc w:val="center"/>
              <w:textAlignment w:val="auto"/>
              <w:rPr>
                <w:rFonts w:eastAsia="Times New Roman"/>
                <w:b/>
                <w:color w:val="FFFFFF" w:themeColor="background1"/>
                <w:lang w:val="es-ES"/>
              </w:rPr>
            </w:pPr>
            <w:r>
              <w:rPr>
                <w:rFonts w:eastAsia="Times New Roman"/>
                <w:b/>
                <w:color w:val="FFFFFF" w:themeColor="background1"/>
                <w:lang w:val="es-ES"/>
              </w:rPr>
              <w:t>NOM-ENER</w:t>
            </w:r>
          </w:p>
        </w:tc>
        <w:tc>
          <w:tcPr>
            <w:tcW w:w="5243" w:type="dxa"/>
            <w:tcBorders>
              <w:top w:val="single" w:sz="6" w:space="0" w:color="5B9BD5"/>
              <w:bottom w:val="single" w:sz="6" w:space="0" w:color="5B9BD5"/>
            </w:tcBorders>
            <w:shd w:val="clear" w:color="auto" w:fill="5B9BD5"/>
            <w:tcMar>
              <w:top w:w="0" w:type="dxa"/>
              <w:left w:w="108" w:type="dxa"/>
              <w:bottom w:w="0" w:type="dxa"/>
              <w:right w:w="108" w:type="dxa"/>
            </w:tcMar>
          </w:tcPr>
          <w:p w14:paraId="5EA7F7A4" w14:textId="77777777" w:rsidR="00DF433A" w:rsidRPr="00B56A15" w:rsidRDefault="00DF433A" w:rsidP="00DF433A">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Alcance</w:t>
            </w:r>
          </w:p>
        </w:tc>
      </w:tr>
      <w:tr w:rsidR="00DF433A" w:rsidRPr="00914127" w14:paraId="5C584C58" w14:textId="77777777" w:rsidTr="00DF433A">
        <w:tc>
          <w:tcPr>
            <w:tcW w:w="325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595289A" w14:textId="77777777" w:rsidR="00DF433A" w:rsidRPr="00DF433A" w:rsidRDefault="00DF433A" w:rsidP="00DF433A">
            <w:pPr>
              <w:suppressAutoHyphens w:val="0"/>
              <w:spacing w:before="0" w:after="0"/>
              <w:jc w:val="left"/>
              <w:textAlignment w:val="auto"/>
              <w:rPr>
                <w:rFonts w:eastAsia="Times New Roman"/>
                <w:lang w:val="es-ES"/>
              </w:rPr>
            </w:pPr>
            <w:r w:rsidRPr="00DF433A">
              <w:rPr>
                <w:rFonts w:eastAsia="Times New Roman"/>
                <w:lang w:val="es-ES"/>
              </w:rPr>
              <w:t>NOM-028-ENER-2010, con modificaciones 2013, 2017</w:t>
            </w:r>
          </w:p>
          <w:p w14:paraId="32223F3D" w14:textId="774FCCD6" w:rsidR="00DF433A" w:rsidRDefault="00DF433A" w:rsidP="00DF433A">
            <w:pPr>
              <w:suppressAutoHyphens w:val="0"/>
              <w:spacing w:before="0" w:after="0"/>
              <w:jc w:val="left"/>
              <w:textAlignment w:val="auto"/>
              <w:rPr>
                <w:rFonts w:eastAsia="Times New Roman"/>
                <w:lang w:val="es-ES"/>
              </w:rPr>
            </w:pPr>
            <w:r w:rsidRPr="00DF433A">
              <w:rPr>
                <w:rFonts w:eastAsia="Times New Roman"/>
                <w:lang w:val="es-ES"/>
              </w:rPr>
              <w:t xml:space="preserve">Lámparas para uso general </w:t>
            </w:r>
          </w:p>
        </w:tc>
        <w:tc>
          <w:tcPr>
            <w:tcW w:w="524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6E0E259" w14:textId="44271780" w:rsidR="00DF433A" w:rsidRPr="00316DB7" w:rsidRDefault="00DF433A" w:rsidP="00DF433A">
            <w:pPr>
              <w:suppressAutoHyphens w:val="0"/>
              <w:spacing w:before="0" w:after="0"/>
              <w:jc w:val="left"/>
              <w:textAlignment w:val="auto"/>
              <w:rPr>
                <w:rFonts w:eastAsia="Times New Roman"/>
                <w:lang w:val="es-ES"/>
              </w:rPr>
            </w:pPr>
            <w:r w:rsidRPr="00DF433A">
              <w:rPr>
                <w:rFonts w:eastAsia="Times New Roman"/>
                <w:lang w:val="es-ES"/>
              </w:rPr>
              <w:t>Lámparas incandescentes, incandescentes con halógeno, LFC autobalastradas, LFL, de descarga en alta intensidad y luz mixta</w:t>
            </w:r>
          </w:p>
        </w:tc>
      </w:tr>
      <w:tr w:rsidR="00DF433A" w:rsidRPr="00914127" w14:paraId="3A9E899A" w14:textId="77777777" w:rsidTr="00DF433A">
        <w:tc>
          <w:tcPr>
            <w:tcW w:w="325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6EBCB05" w14:textId="052A3A56" w:rsidR="00DF433A" w:rsidRPr="000C68E2" w:rsidRDefault="00DF433A" w:rsidP="00DF433A">
            <w:pPr>
              <w:suppressAutoHyphens w:val="0"/>
              <w:spacing w:before="0" w:after="0"/>
              <w:jc w:val="left"/>
              <w:textAlignment w:val="auto"/>
              <w:rPr>
                <w:rFonts w:eastAsia="Times New Roman"/>
                <w:lang w:val="es-ES"/>
              </w:rPr>
            </w:pPr>
            <w:r w:rsidRPr="009E13C1">
              <w:rPr>
                <w:rFonts w:eastAsia="Times New Roman"/>
                <w:lang w:val="es-ES"/>
              </w:rPr>
              <w:t>PROY-NOM-028-ENER-2017  Lámparas para uso general</w:t>
            </w:r>
          </w:p>
        </w:tc>
        <w:tc>
          <w:tcPr>
            <w:tcW w:w="524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FFE520C" w14:textId="22668809" w:rsidR="00DF433A" w:rsidRPr="00316DB7" w:rsidRDefault="00DF433A" w:rsidP="0013180A">
            <w:pPr>
              <w:suppressAutoHyphens w:val="0"/>
              <w:spacing w:before="0" w:after="0"/>
              <w:jc w:val="left"/>
              <w:textAlignment w:val="auto"/>
              <w:rPr>
                <w:rFonts w:eastAsia="Times New Roman"/>
                <w:lang w:val="es-ES"/>
              </w:rPr>
            </w:pPr>
            <w:r w:rsidRPr="00DF433A">
              <w:rPr>
                <w:rFonts w:eastAsia="Times New Roman"/>
                <w:lang w:val="es-ES"/>
              </w:rPr>
              <w:t>Lámparas incandescentes, incandescentes con halógeno, LFL, de descarga en alta intensidad y luz mixta</w:t>
            </w:r>
          </w:p>
        </w:tc>
      </w:tr>
      <w:tr w:rsidR="00DF433A" w:rsidRPr="00914127" w14:paraId="1183E1A8" w14:textId="77777777" w:rsidTr="00DF433A">
        <w:trPr>
          <w:trHeight w:val="659"/>
        </w:trPr>
        <w:tc>
          <w:tcPr>
            <w:tcW w:w="3253"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3FB29456" w14:textId="77777777" w:rsidR="00DF433A" w:rsidRPr="00DF433A" w:rsidRDefault="00DF433A" w:rsidP="00DF433A">
            <w:pPr>
              <w:suppressAutoHyphens w:val="0"/>
              <w:spacing w:before="0" w:after="0"/>
              <w:jc w:val="left"/>
              <w:textAlignment w:val="auto"/>
              <w:rPr>
                <w:rFonts w:eastAsia="Times New Roman"/>
                <w:lang w:val="es-ES"/>
              </w:rPr>
            </w:pPr>
            <w:r w:rsidRPr="00DF433A">
              <w:rPr>
                <w:rFonts w:eastAsia="Times New Roman"/>
                <w:lang w:val="es-ES"/>
              </w:rPr>
              <w:t>NOM-017-ENER/SCFI-2012</w:t>
            </w:r>
          </w:p>
          <w:p w14:paraId="7F047955" w14:textId="40F1802F" w:rsidR="00DF433A" w:rsidRPr="00316DB7" w:rsidRDefault="00DF433A" w:rsidP="00DF433A">
            <w:pPr>
              <w:suppressAutoHyphens w:val="0"/>
              <w:spacing w:before="0" w:after="0"/>
              <w:jc w:val="left"/>
              <w:textAlignment w:val="auto"/>
              <w:rPr>
                <w:rFonts w:eastAsia="Times New Roman"/>
                <w:lang w:val="es-ES"/>
              </w:rPr>
            </w:pPr>
            <w:r w:rsidRPr="00DF433A">
              <w:rPr>
                <w:rFonts w:eastAsia="Times New Roman"/>
                <w:lang w:val="es-ES"/>
              </w:rPr>
              <w:t>LFC autobalastradas</w:t>
            </w:r>
          </w:p>
        </w:tc>
        <w:tc>
          <w:tcPr>
            <w:tcW w:w="5243"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69AF9F6C" w14:textId="016C6839" w:rsidR="00DF433A" w:rsidRPr="00316DB7" w:rsidRDefault="00DF433A" w:rsidP="00DF433A">
            <w:pPr>
              <w:suppressAutoHyphens w:val="0"/>
              <w:spacing w:before="0" w:after="0"/>
              <w:jc w:val="left"/>
              <w:textAlignment w:val="auto"/>
              <w:rPr>
                <w:rFonts w:eastAsia="Times New Roman"/>
                <w:lang w:val="es-ES"/>
              </w:rPr>
            </w:pPr>
            <w:r w:rsidRPr="00DF433A">
              <w:rPr>
                <w:rFonts w:eastAsia="Times New Roman"/>
                <w:lang w:val="es-ES"/>
              </w:rPr>
              <w:t>LFC autobalastradas sin envolvente, con envolvente y con reflector integrado</w:t>
            </w:r>
          </w:p>
        </w:tc>
      </w:tr>
      <w:tr w:rsidR="00DF433A" w:rsidRPr="00914127" w14:paraId="554614BE" w14:textId="77777777" w:rsidTr="00CA1B04">
        <w:trPr>
          <w:trHeight w:val="659"/>
        </w:trPr>
        <w:tc>
          <w:tcPr>
            <w:tcW w:w="325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D87A250" w14:textId="77777777" w:rsidR="00DF433A" w:rsidRPr="00DF433A" w:rsidRDefault="00DF433A" w:rsidP="00DF433A">
            <w:pPr>
              <w:suppressAutoHyphens w:val="0"/>
              <w:spacing w:before="0" w:after="0"/>
              <w:jc w:val="left"/>
              <w:textAlignment w:val="auto"/>
              <w:rPr>
                <w:rFonts w:eastAsia="Times New Roman"/>
                <w:lang w:val="es-ES"/>
              </w:rPr>
            </w:pPr>
            <w:r w:rsidRPr="00DF433A">
              <w:rPr>
                <w:rFonts w:eastAsia="Times New Roman"/>
                <w:lang w:val="es-ES"/>
              </w:rPr>
              <w:t>NOM-030-ENER-2016</w:t>
            </w:r>
          </w:p>
          <w:p w14:paraId="1ABCA1E5" w14:textId="676AB013" w:rsidR="00DF433A" w:rsidRPr="00316DB7" w:rsidRDefault="00DF433A" w:rsidP="00DF433A">
            <w:pPr>
              <w:suppressAutoHyphens w:val="0"/>
              <w:spacing w:before="0" w:after="0"/>
              <w:jc w:val="left"/>
              <w:textAlignment w:val="auto"/>
              <w:rPr>
                <w:rFonts w:eastAsia="Times New Roman"/>
                <w:lang w:val="es-ES"/>
              </w:rPr>
            </w:pPr>
            <w:r w:rsidRPr="00DF433A">
              <w:rPr>
                <w:rFonts w:eastAsia="Times New Roman"/>
                <w:lang w:val="es-ES"/>
              </w:rPr>
              <w:t>Lámparas LED integradas para iluminación general</w:t>
            </w:r>
          </w:p>
        </w:tc>
        <w:tc>
          <w:tcPr>
            <w:tcW w:w="524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19B7E38" w14:textId="2BAE303A" w:rsidR="00DF433A" w:rsidRPr="00316DB7" w:rsidRDefault="00DF433A" w:rsidP="00DF433A">
            <w:pPr>
              <w:suppressAutoHyphens w:val="0"/>
              <w:spacing w:before="0" w:after="0"/>
              <w:jc w:val="left"/>
              <w:textAlignment w:val="auto"/>
              <w:rPr>
                <w:rFonts w:eastAsia="Times New Roman"/>
                <w:lang w:val="es-ES"/>
              </w:rPr>
            </w:pPr>
            <w:r w:rsidRPr="00DF433A">
              <w:rPr>
                <w:rFonts w:eastAsia="Times New Roman"/>
                <w:lang w:val="es-ES"/>
              </w:rPr>
              <w:t>Lámparas LED integradas para iluminación general, omnidireccionales y direcc</w:t>
            </w:r>
            <w:r w:rsidR="00463E96">
              <w:rPr>
                <w:rFonts w:eastAsia="Times New Roman"/>
                <w:lang w:val="es-ES"/>
              </w:rPr>
              <w:t>i</w:t>
            </w:r>
            <w:r w:rsidRPr="00DF433A">
              <w:rPr>
                <w:rFonts w:eastAsia="Times New Roman"/>
                <w:lang w:val="es-ES"/>
              </w:rPr>
              <w:t>onales</w:t>
            </w:r>
          </w:p>
        </w:tc>
      </w:tr>
      <w:tr w:rsidR="00DF433A" w:rsidRPr="00914127" w14:paraId="473C02B3" w14:textId="77777777" w:rsidTr="00DF433A">
        <w:trPr>
          <w:trHeight w:val="659"/>
        </w:trPr>
        <w:tc>
          <w:tcPr>
            <w:tcW w:w="3253"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67BB98CA" w14:textId="77777777" w:rsidR="00DF433A" w:rsidRPr="00DF433A" w:rsidRDefault="00DF433A" w:rsidP="00DF433A">
            <w:pPr>
              <w:suppressAutoHyphens w:val="0"/>
              <w:spacing w:before="0" w:after="0"/>
              <w:jc w:val="left"/>
              <w:textAlignment w:val="auto"/>
              <w:rPr>
                <w:rFonts w:eastAsia="Times New Roman"/>
                <w:lang w:val="es-ES"/>
              </w:rPr>
            </w:pPr>
            <w:r w:rsidRPr="00DF433A">
              <w:rPr>
                <w:rFonts w:eastAsia="Times New Roman"/>
                <w:lang w:val="es-ES"/>
              </w:rPr>
              <w:t>NOM-031-ENER-2012</w:t>
            </w:r>
          </w:p>
          <w:p w14:paraId="5E650C91" w14:textId="22E17BA4" w:rsidR="00DF433A" w:rsidRPr="00316DB7" w:rsidRDefault="00DF433A" w:rsidP="00DF433A">
            <w:pPr>
              <w:suppressAutoHyphens w:val="0"/>
              <w:spacing w:before="0" w:after="0"/>
              <w:jc w:val="left"/>
              <w:textAlignment w:val="auto"/>
              <w:rPr>
                <w:rFonts w:eastAsia="Times New Roman"/>
                <w:lang w:val="es-ES"/>
              </w:rPr>
            </w:pPr>
            <w:r w:rsidRPr="00DF433A">
              <w:rPr>
                <w:rFonts w:eastAsia="Times New Roman"/>
                <w:lang w:val="es-ES"/>
              </w:rPr>
              <w:t>Lámparas LED vialidades y áreas exteriores públicas</w:t>
            </w:r>
          </w:p>
        </w:tc>
        <w:tc>
          <w:tcPr>
            <w:tcW w:w="5243"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65A00711" w14:textId="2BA19E79" w:rsidR="00DF433A" w:rsidRPr="00316DB7" w:rsidRDefault="00DF433A" w:rsidP="00DF433A">
            <w:pPr>
              <w:suppressAutoHyphens w:val="0"/>
              <w:spacing w:before="0" w:after="0"/>
              <w:jc w:val="left"/>
              <w:textAlignment w:val="auto"/>
              <w:rPr>
                <w:rFonts w:eastAsia="Times New Roman"/>
                <w:lang w:val="es-ES"/>
              </w:rPr>
            </w:pPr>
            <w:r w:rsidRPr="00DF433A">
              <w:rPr>
                <w:rFonts w:eastAsia="Times New Roman"/>
                <w:lang w:val="es-ES"/>
              </w:rPr>
              <w:t>Luminarios con elementos de iluminación LEDs destinados a vialidades y áreas exteriores públicas</w:t>
            </w:r>
          </w:p>
        </w:tc>
      </w:tr>
    </w:tbl>
    <w:p w14:paraId="6DA96504" w14:textId="77777777" w:rsidR="00092E80" w:rsidRDefault="00092E80" w:rsidP="00DF433A">
      <w:pPr>
        <w:suppressAutoHyphens w:val="0"/>
        <w:rPr>
          <w:lang w:val="es-ES"/>
        </w:rPr>
      </w:pPr>
    </w:p>
    <w:p w14:paraId="0B74A155" w14:textId="2CAC732E" w:rsidR="00DF433A" w:rsidRDefault="00CA1B04" w:rsidP="00DF433A">
      <w:pPr>
        <w:suppressAutoHyphens w:val="0"/>
        <w:rPr>
          <w:lang w:val="es-ES"/>
        </w:rPr>
      </w:pPr>
      <w:r>
        <w:rPr>
          <w:lang w:val="es-ES"/>
        </w:rPr>
        <w:lastRenderedPageBreak/>
        <w:t xml:space="preserve">La NOM-017-ENER/SCFI-2012 difiere de las demás por incluir también normas de seguridad. Los límites de desempeño energético mínimo son idénticos a los valores correspondientes </w:t>
      </w:r>
      <w:r w:rsidR="00D520C5">
        <w:rPr>
          <w:lang w:val="es-ES"/>
        </w:rPr>
        <w:t xml:space="preserve">para LFC </w:t>
      </w:r>
      <w:r>
        <w:rPr>
          <w:lang w:val="es-ES"/>
        </w:rPr>
        <w:t xml:space="preserve">en la NOM-028-ENER-2010. </w:t>
      </w:r>
    </w:p>
    <w:p w14:paraId="5B5F1157" w14:textId="1393E31C" w:rsidR="004205D7" w:rsidRDefault="00CA1B04" w:rsidP="004205D7">
      <w:pPr>
        <w:pStyle w:val="Heading3"/>
        <w:rPr>
          <w:lang w:val="es-ES"/>
        </w:rPr>
      </w:pPr>
      <w:bookmarkStart w:id="44" w:name="_Toc516146013"/>
      <w:r>
        <w:rPr>
          <w:lang w:val="es-ES"/>
        </w:rPr>
        <w:t>Límites d</w:t>
      </w:r>
      <w:r w:rsidR="004205D7">
        <w:rPr>
          <w:lang w:val="es-ES"/>
        </w:rPr>
        <w:t>e desempeño energético mínimo</w:t>
      </w:r>
      <w:bookmarkEnd w:id="44"/>
    </w:p>
    <w:p w14:paraId="4688C4A0" w14:textId="3DEF78A9" w:rsidR="00991A29" w:rsidRDefault="00991A29" w:rsidP="004205D7">
      <w:pPr>
        <w:pStyle w:val="BodyText"/>
        <w:rPr>
          <w:lang w:val="es-ES"/>
        </w:rPr>
      </w:pPr>
      <w:r>
        <w:rPr>
          <w:lang w:val="es-ES"/>
        </w:rPr>
        <w:t xml:space="preserve">En el Anexo </w:t>
      </w:r>
      <w:r w:rsidR="00E21CB6">
        <w:rPr>
          <w:lang w:val="es-ES"/>
        </w:rPr>
        <w:t>7</w:t>
      </w:r>
      <w:r>
        <w:rPr>
          <w:lang w:val="es-ES"/>
        </w:rPr>
        <w:t xml:space="preserve"> se muestra</w:t>
      </w:r>
      <w:r w:rsidR="00390341">
        <w:rPr>
          <w:lang w:val="es-ES"/>
        </w:rPr>
        <w:t>n</w:t>
      </w:r>
      <w:r>
        <w:rPr>
          <w:lang w:val="es-ES"/>
        </w:rPr>
        <w:t xml:space="preserve"> los límites de desempeño energético para tipos de lámparas seleccionadas, de acuerdo a las NOM-ENER mencionadas, abarcando: lámparas incandescentes, incandescentes con halógenos, LFC, lámparas fluorescentes lineales</w:t>
      </w:r>
      <w:r w:rsidR="00770D3D">
        <w:rPr>
          <w:lang w:val="es-ES"/>
        </w:rPr>
        <w:t>, lámparas de descarga de alta intensidad,</w:t>
      </w:r>
      <w:r>
        <w:rPr>
          <w:lang w:val="es-ES"/>
        </w:rPr>
        <w:t xml:space="preserve"> lámparas LED integradas</w:t>
      </w:r>
      <w:r w:rsidR="00770D3D">
        <w:rPr>
          <w:lang w:val="es-ES"/>
        </w:rPr>
        <w:t xml:space="preserve"> y luminarios LED para alumbrado exterior</w:t>
      </w:r>
      <w:r w:rsidR="0013180A">
        <w:rPr>
          <w:lang w:val="es-ES"/>
        </w:rPr>
        <w:t>.</w:t>
      </w:r>
    </w:p>
    <w:p w14:paraId="69293010" w14:textId="4501335F" w:rsidR="004205D7" w:rsidRDefault="008A52BB" w:rsidP="004205D7">
      <w:pPr>
        <w:pStyle w:val="BodyText"/>
        <w:rPr>
          <w:lang w:val="es-ES"/>
        </w:rPr>
      </w:pPr>
      <w:r>
        <w:rPr>
          <w:lang w:val="es-ES"/>
        </w:rPr>
        <w:t xml:space="preserve">La figura </w:t>
      </w:r>
      <w:r w:rsidR="008526E3">
        <w:rPr>
          <w:lang w:val="es-ES"/>
        </w:rPr>
        <w:t>7</w:t>
      </w:r>
      <w:r>
        <w:rPr>
          <w:lang w:val="es-ES"/>
        </w:rPr>
        <w:t xml:space="preserve"> muestra los límites de desempeño energético mínimo, de acuerdo a las NOM-ENER mencionadas, para</w:t>
      </w:r>
      <w:r w:rsidR="00770D3D">
        <w:rPr>
          <w:lang w:val="es-ES"/>
        </w:rPr>
        <w:t xml:space="preserve"> </w:t>
      </w:r>
      <w:r>
        <w:rPr>
          <w:lang w:val="es-ES"/>
        </w:rPr>
        <w:t>tipos de lámparas seleccionadas</w:t>
      </w:r>
      <w:r w:rsidR="00770D3D">
        <w:rPr>
          <w:lang w:val="es-ES"/>
        </w:rPr>
        <w:t>, de aplicación para interiores</w:t>
      </w:r>
      <w:r>
        <w:rPr>
          <w:lang w:val="es-ES"/>
        </w:rPr>
        <w:t>.</w:t>
      </w:r>
    </w:p>
    <w:p w14:paraId="27E89088" w14:textId="640B3F2A" w:rsidR="00DA1F70" w:rsidRDefault="00DA1F70">
      <w:pPr>
        <w:suppressAutoHyphens w:val="0"/>
        <w:rPr>
          <w:lang w:val="es-ES"/>
        </w:rPr>
      </w:pPr>
    </w:p>
    <w:p w14:paraId="27A0B4EE" w14:textId="55996B0B" w:rsidR="008A52BB" w:rsidRDefault="008A52BB" w:rsidP="008A52BB">
      <w:pPr>
        <w:pStyle w:val="Caption"/>
        <w:spacing w:after="0"/>
        <w:rPr>
          <w:lang w:val="es-ES"/>
        </w:rPr>
      </w:pPr>
      <w:r w:rsidRPr="009E13C1">
        <w:rPr>
          <w:lang w:val="es-ES"/>
        </w:rPr>
        <w:t xml:space="preserve">Figura </w:t>
      </w:r>
      <w:r w:rsidRPr="009E13C1">
        <w:rPr>
          <w:lang w:val="es-ES"/>
        </w:rPr>
        <w:fldChar w:fldCharType="begin"/>
      </w:r>
      <w:r w:rsidRPr="009E13C1">
        <w:rPr>
          <w:lang w:val="es-ES"/>
        </w:rPr>
        <w:instrText xml:space="preserve"> SEQ Figura \* ARABIC </w:instrText>
      </w:r>
      <w:r w:rsidRPr="009E13C1">
        <w:rPr>
          <w:noProof/>
          <w:lang w:val="es-ES"/>
        </w:rPr>
        <w:fldChar w:fldCharType="separate"/>
      </w:r>
      <w:r w:rsidR="005E6430">
        <w:rPr>
          <w:noProof/>
          <w:lang w:val="es-ES"/>
        </w:rPr>
        <w:t>7</w:t>
      </w:r>
      <w:r w:rsidRPr="009E13C1">
        <w:rPr>
          <w:noProof/>
          <w:lang w:val="es-ES"/>
        </w:rPr>
        <w:fldChar w:fldCharType="end"/>
      </w:r>
      <w:r w:rsidRPr="009E13C1">
        <w:rPr>
          <w:lang w:val="es-ES"/>
        </w:rPr>
        <w:t xml:space="preserve"> – </w:t>
      </w:r>
      <w:r w:rsidR="0051129B" w:rsidRPr="009E13C1">
        <w:rPr>
          <w:lang w:val="es-ES"/>
        </w:rPr>
        <w:t>Límites</w:t>
      </w:r>
      <w:r w:rsidR="0051129B">
        <w:rPr>
          <w:lang w:val="es-ES"/>
        </w:rPr>
        <w:t xml:space="preserve"> de desempeño energético </w:t>
      </w:r>
      <w:r>
        <w:rPr>
          <w:lang w:val="es-ES"/>
        </w:rPr>
        <w:t xml:space="preserve">para tipos de lámparas seleccionadas </w:t>
      </w:r>
      <w:r w:rsidRPr="00E2630F">
        <w:rPr>
          <w:lang w:val="es-ES"/>
        </w:rPr>
        <w:t xml:space="preserve">– </w:t>
      </w:r>
      <w:r w:rsidR="0051129B">
        <w:rPr>
          <w:lang w:val="es-ES"/>
        </w:rPr>
        <w:t>México</w:t>
      </w:r>
    </w:p>
    <w:p w14:paraId="5B49E6BA" w14:textId="25FE9D0B" w:rsidR="008A52BB" w:rsidRPr="00A96F74" w:rsidRDefault="008A52BB" w:rsidP="008A52BB">
      <w:pPr>
        <w:spacing w:before="0" w:after="140"/>
        <w:jc w:val="center"/>
        <w:rPr>
          <w:color w:val="002B7F"/>
          <w:lang w:val="es-ES"/>
        </w:rPr>
      </w:pPr>
      <w:r w:rsidRPr="00A96F74">
        <w:rPr>
          <w:i/>
          <w:color w:val="002B7F"/>
          <w:sz w:val="18"/>
          <w:lang w:val="es-ES"/>
        </w:rPr>
        <w:t>Fuente:</w:t>
      </w:r>
      <w:r w:rsidRPr="00E2630F">
        <w:rPr>
          <w:lang w:val="es-ES"/>
        </w:rPr>
        <w:t xml:space="preserve"> </w:t>
      </w:r>
      <w:r w:rsidRPr="00E2630F">
        <w:rPr>
          <w:rFonts w:cstheme="minorHAnsi"/>
          <w:color w:val="002B7F"/>
          <w:sz w:val="18"/>
          <w:lang w:val="es-PA"/>
        </w:rPr>
        <w:t xml:space="preserve">Elaboración propia en base </w:t>
      </w:r>
      <w:r w:rsidR="0051129B">
        <w:rPr>
          <w:rFonts w:cstheme="minorHAnsi"/>
          <w:color w:val="002B7F"/>
          <w:sz w:val="18"/>
          <w:lang w:val="es-PA"/>
        </w:rPr>
        <w:t>de las NOM-ENER mencionadas</w:t>
      </w:r>
    </w:p>
    <w:p w14:paraId="69B56A5E" w14:textId="76C73B02" w:rsidR="008A52BB" w:rsidRDefault="008A52BB" w:rsidP="004205D7">
      <w:pPr>
        <w:pStyle w:val="BodyText"/>
        <w:rPr>
          <w:lang w:val="es-ES"/>
        </w:rPr>
      </w:pPr>
      <w:r>
        <w:rPr>
          <w:noProof/>
          <w:lang w:val="en-US"/>
        </w:rPr>
        <w:drawing>
          <wp:inline distT="0" distB="0" distL="0" distR="0" wp14:anchorId="542FAB4B" wp14:editId="57A40A56">
            <wp:extent cx="5400040" cy="3197225"/>
            <wp:effectExtent l="0" t="0" r="10160" b="31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3C13ED1" w14:textId="707D7274" w:rsidR="008A52BB" w:rsidRDefault="008A52BB" w:rsidP="00210597">
      <w:pPr>
        <w:pStyle w:val="BodyText"/>
        <w:spacing w:after="0"/>
        <w:rPr>
          <w:sz w:val="20"/>
          <w:szCs w:val="20"/>
          <w:lang w:val="es-ES"/>
        </w:rPr>
      </w:pPr>
      <w:r w:rsidRPr="008A52BB">
        <w:rPr>
          <w:sz w:val="20"/>
          <w:szCs w:val="20"/>
          <w:lang w:val="es-ES"/>
        </w:rPr>
        <w:t>Leyenda:</w:t>
      </w:r>
    </w:p>
    <w:p w14:paraId="179CBD49" w14:textId="27197BA3" w:rsidR="008A52BB" w:rsidRDefault="008A52BB" w:rsidP="00210597">
      <w:pPr>
        <w:pStyle w:val="BodyText"/>
        <w:spacing w:after="0"/>
        <w:rPr>
          <w:sz w:val="20"/>
          <w:szCs w:val="20"/>
          <w:lang w:val="es-ES"/>
        </w:rPr>
      </w:pPr>
      <w:r>
        <w:rPr>
          <w:sz w:val="20"/>
          <w:szCs w:val="20"/>
          <w:lang w:val="es-ES"/>
        </w:rPr>
        <w:t>LFL T5 (2012)</w:t>
      </w:r>
      <w:r w:rsidR="00210597">
        <w:rPr>
          <w:sz w:val="20"/>
          <w:szCs w:val="20"/>
          <w:lang w:val="es-ES"/>
        </w:rPr>
        <w:t>: Lámpara</w:t>
      </w:r>
      <w:r w:rsidR="00BA28BE">
        <w:rPr>
          <w:sz w:val="20"/>
          <w:szCs w:val="20"/>
          <w:lang w:val="es-ES"/>
        </w:rPr>
        <w:t>s</w:t>
      </w:r>
      <w:r w:rsidR="00210597">
        <w:rPr>
          <w:sz w:val="20"/>
          <w:szCs w:val="20"/>
          <w:lang w:val="es-ES"/>
        </w:rPr>
        <w:t xml:space="preserve"> fluorescente l</w:t>
      </w:r>
      <w:r w:rsidR="00BA28BE">
        <w:rPr>
          <w:sz w:val="20"/>
          <w:szCs w:val="20"/>
          <w:lang w:val="es-ES"/>
        </w:rPr>
        <w:t>i</w:t>
      </w:r>
      <w:r w:rsidR="00210597">
        <w:rPr>
          <w:sz w:val="20"/>
          <w:szCs w:val="20"/>
          <w:lang w:val="es-ES"/>
        </w:rPr>
        <w:t>neal</w:t>
      </w:r>
      <w:r w:rsidR="00BA28BE">
        <w:rPr>
          <w:sz w:val="20"/>
          <w:szCs w:val="20"/>
          <w:lang w:val="es-ES"/>
        </w:rPr>
        <w:t>es</w:t>
      </w:r>
      <w:r w:rsidR="00210597">
        <w:rPr>
          <w:sz w:val="20"/>
          <w:szCs w:val="20"/>
          <w:lang w:val="es-ES"/>
        </w:rPr>
        <w:t xml:space="preserve">, de diámetro mayor a 15 mm y menor a 25 mm, 122 cm (4 pies), Tc </w:t>
      </w:r>
      <w:r w:rsidR="00210597">
        <w:rPr>
          <w:rFonts w:cs="Calibri"/>
          <w:sz w:val="20"/>
          <w:szCs w:val="20"/>
          <w:lang w:val="es-ES"/>
        </w:rPr>
        <w:t>≤</w:t>
      </w:r>
      <w:r w:rsidR="00210597">
        <w:rPr>
          <w:sz w:val="20"/>
          <w:szCs w:val="20"/>
          <w:lang w:val="es-ES"/>
        </w:rPr>
        <w:t>4,500 K,  Etapa 2 (entrada en vigor diciembre de 2012), (NOM-028-ENER-2010)</w:t>
      </w:r>
    </w:p>
    <w:p w14:paraId="0A7D8064" w14:textId="1BB97FBE" w:rsidR="008A52BB" w:rsidRDefault="008A52BB" w:rsidP="00210597">
      <w:pPr>
        <w:pStyle w:val="BodyText"/>
        <w:spacing w:after="0"/>
        <w:rPr>
          <w:sz w:val="20"/>
          <w:szCs w:val="20"/>
          <w:lang w:val="es-ES"/>
        </w:rPr>
      </w:pPr>
      <w:r>
        <w:rPr>
          <w:sz w:val="20"/>
          <w:szCs w:val="20"/>
          <w:lang w:val="es-ES"/>
        </w:rPr>
        <w:t>LED Integrada</w:t>
      </w:r>
      <w:r w:rsidR="00210597">
        <w:rPr>
          <w:sz w:val="20"/>
          <w:szCs w:val="20"/>
          <w:lang w:val="es-ES"/>
        </w:rPr>
        <w:t>:</w:t>
      </w:r>
      <w:r w:rsidR="008010EA">
        <w:rPr>
          <w:sz w:val="20"/>
          <w:szCs w:val="20"/>
          <w:lang w:val="es-ES"/>
        </w:rPr>
        <w:t xml:space="preserve"> </w:t>
      </w:r>
      <w:r w:rsidR="00BA28BE">
        <w:rPr>
          <w:sz w:val="20"/>
          <w:szCs w:val="20"/>
          <w:lang w:val="es-ES"/>
        </w:rPr>
        <w:t>Lámparas LED integradas</w:t>
      </w:r>
      <w:r w:rsidR="00BA28BE" w:rsidRPr="00BA28BE">
        <w:rPr>
          <w:lang w:val="es-ES"/>
        </w:rPr>
        <w:t xml:space="preserve"> </w:t>
      </w:r>
      <w:r w:rsidR="00BA28BE" w:rsidRPr="00BA28BE">
        <w:rPr>
          <w:sz w:val="20"/>
          <w:szCs w:val="20"/>
          <w:lang w:val="es-ES"/>
        </w:rPr>
        <w:t>(omnidireccional</w:t>
      </w:r>
      <w:r w:rsidR="00BA28BE">
        <w:rPr>
          <w:sz w:val="20"/>
          <w:szCs w:val="20"/>
          <w:lang w:val="es-ES"/>
        </w:rPr>
        <w:t>es</w:t>
      </w:r>
      <w:r w:rsidR="00BA28BE" w:rsidRPr="00BA28BE">
        <w:rPr>
          <w:sz w:val="20"/>
          <w:szCs w:val="20"/>
          <w:lang w:val="es-ES"/>
        </w:rPr>
        <w:t xml:space="preserve"> con forma de bulbo A, BT, P, PS y T</w:t>
      </w:r>
      <w:r w:rsidR="00BA28BE">
        <w:rPr>
          <w:sz w:val="20"/>
          <w:szCs w:val="20"/>
          <w:lang w:val="es-ES"/>
        </w:rPr>
        <w:t>;</w:t>
      </w:r>
      <w:r w:rsidR="00BA28BE" w:rsidRPr="00BA28BE">
        <w:rPr>
          <w:sz w:val="20"/>
          <w:szCs w:val="20"/>
          <w:lang w:val="es-ES"/>
        </w:rPr>
        <w:t xml:space="preserve"> lámparas de </w:t>
      </w:r>
      <w:r w:rsidR="00BA28BE">
        <w:rPr>
          <w:sz w:val="20"/>
          <w:szCs w:val="20"/>
          <w:lang w:val="es-ES"/>
        </w:rPr>
        <w:t>LED</w:t>
      </w:r>
      <w:r w:rsidR="00BA28BE" w:rsidRPr="00BA28BE">
        <w:rPr>
          <w:sz w:val="20"/>
          <w:szCs w:val="20"/>
          <w:lang w:val="es-ES"/>
        </w:rPr>
        <w:t xml:space="preserve"> integradas que no declaren la forma de bulbo)</w:t>
      </w:r>
      <w:r w:rsidR="00BA28BE">
        <w:rPr>
          <w:sz w:val="20"/>
          <w:szCs w:val="20"/>
          <w:lang w:val="es-ES"/>
        </w:rPr>
        <w:t>, (NOM-030-ENER-2016)</w:t>
      </w:r>
    </w:p>
    <w:p w14:paraId="5A484438" w14:textId="1736040D" w:rsidR="008A52BB" w:rsidRDefault="008A52BB" w:rsidP="00BA28BE">
      <w:pPr>
        <w:pStyle w:val="BodyText"/>
        <w:spacing w:after="0"/>
        <w:rPr>
          <w:sz w:val="20"/>
          <w:szCs w:val="20"/>
          <w:lang w:val="es-ES"/>
        </w:rPr>
      </w:pPr>
      <w:r>
        <w:rPr>
          <w:sz w:val="20"/>
          <w:szCs w:val="20"/>
          <w:lang w:val="es-ES"/>
        </w:rPr>
        <w:t>GSL Etapa 3 (20</w:t>
      </w:r>
      <w:r w:rsidR="008010EA">
        <w:rPr>
          <w:sz w:val="20"/>
          <w:szCs w:val="20"/>
          <w:lang w:val="es-ES"/>
        </w:rPr>
        <w:t>20</w:t>
      </w:r>
      <w:r>
        <w:rPr>
          <w:sz w:val="20"/>
          <w:szCs w:val="20"/>
          <w:lang w:val="es-ES"/>
        </w:rPr>
        <w:t>)</w:t>
      </w:r>
      <w:r w:rsidR="00210597">
        <w:rPr>
          <w:sz w:val="20"/>
          <w:szCs w:val="20"/>
          <w:lang w:val="es-ES"/>
        </w:rPr>
        <w:t>:</w:t>
      </w:r>
      <w:r w:rsidR="00BA28BE">
        <w:rPr>
          <w:sz w:val="20"/>
          <w:szCs w:val="20"/>
          <w:lang w:val="es-ES"/>
        </w:rPr>
        <w:t xml:space="preserve"> L</w:t>
      </w:r>
      <w:r w:rsidR="00BA28BE" w:rsidRPr="00BA28BE">
        <w:rPr>
          <w:sz w:val="20"/>
          <w:szCs w:val="20"/>
          <w:lang w:val="es-ES"/>
        </w:rPr>
        <w:t>ámparas incandescentes, incandescentes con halógenos y</w:t>
      </w:r>
      <w:r w:rsidR="00BA28BE">
        <w:rPr>
          <w:sz w:val="20"/>
          <w:szCs w:val="20"/>
          <w:lang w:val="es-ES"/>
        </w:rPr>
        <w:t xml:space="preserve"> </w:t>
      </w:r>
      <w:r w:rsidR="00BA28BE" w:rsidRPr="00BA28BE">
        <w:rPr>
          <w:sz w:val="20"/>
          <w:szCs w:val="20"/>
          <w:lang w:val="es-ES"/>
        </w:rPr>
        <w:t>fluorescentes compactas autobalastradas</w:t>
      </w:r>
      <w:r w:rsidR="00BA28BE">
        <w:rPr>
          <w:sz w:val="20"/>
          <w:szCs w:val="20"/>
          <w:lang w:val="es-ES"/>
        </w:rPr>
        <w:t>, Etapa 3 (entrada en vigor 1 de enero de 2020)</w:t>
      </w:r>
      <w:r w:rsidR="008E4190">
        <w:rPr>
          <w:sz w:val="20"/>
          <w:szCs w:val="20"/>
          <w:lang w:val="es-ES"/>
        </w:rPr>
        <w:t>, (NOM-028-ENER-2010, mod. 2013)</w:t>
      </w:r>
    </w:p>
    <w:p w14:paraId="06F08D5B" w14:textId="24BB35C1" w:rsidR="008A52BB" w:rsidRDefault="008A52BB" w:rsidP="00210597">
      <w:pPr>
        <w:pStyle w:val="BodyText"/>
        <w:spacing w:after="0"/>
        <w:rPr>
          <w:sz w:val="20"/>
          <w:szCs w:val="20"/>
          <w:lang w:val="es-ES"/>
        </w:rPr>
      </w:pPr>
      <w:r>
        <w:rPr>
          <w:sz w:val="20"/>
          <w:szCs w:val="20"/>
          <w:lang w:val="es-ES"/>
        </w:rPr>
        <w:t>LFC (sin envolvente)</w:t>
      </w:r>
      <w:r w:rsidR="00BA28BE">
        <w:rPr>
          <w:sz w:val="20"/>
          <w:szCs w:val="20"/>
          <w:lang w:val="es-ES"/>
        </w:rPr>
        <w:t>: Lámparas fluorescentes compactas autobalastradas, sin envolvente (NOM-017-ENER/SCFI-2012)</w:t>
      </w:r>
    </w:p>
    <w:p w14:paraId="4A765ECD" w14:textId="55ED5105" w:rsidR="008A52BB" w:rsidRDefault="008A52BB" w:rsidP="00210597">
      <w:pPr>
        <w:pStyle w:val="BodyText"/>
        <w:spacing w:after="0"/>
        <w:rPr>
          <w:sz w:val="20"/>
          <w:szCs w:val="20"/>
          <w:lang w:val="es-ES"/>
        </w:rPr>
      </w:pPr>
      <w:r>
        <w:rPr>
          <w:sz w:val="20"/>
          <w:szCs w:val="20"/>
          <w:lang w:val="es-ES"/>
        </w:rPr>
        <w:t>Lámp</w:t>
      </w:r>
      <w:r w:rsidR="00210597">
        <w:rPr>
          <w:sz w:val="20"/>
          <w:szCs w:val="20"/>
          <w:lang w:val="es-ES"/>
        </w:rPr>
        <w:t>ara incandescente (proyecto 2017):</w:t>
      </w:r>
      <w:r w:rsidR="0075021A">
        <w:rPr>
          <w:sz w:val="20"/>
          <w:szCs w:val="20"/>
          <w:lang w:val="es-ES"/>
        </w:rPr>
        <w:t xml:space="preserve"> </w:t>
      </w:r>
      <w:r w:rsidR="007367D0">
        <w:rPr>
          <w:sz w:val="20"/>
          <w:szCs w:val="20"/>
          <w:lang w:val="es-ES"/>
        </w:rPr>
        <w:t>Lámparas incandescentes, incandescentes con halógenos de espectro general (PROY-NOM-028-ENER-2017)</w:t>
      </w:r>
    </w:p>
    <w:p w14:paraId="0ED2CEDB" w14:textId="0A4B9DEF" w:rsidR="00210597" w:rsidRPr="008A52BB" w:rsidRDefault="00210597" w:rsidP="00210597">
      <w:pPr>
        <w:pStyle w:val="BodyText"/>
        <w:spacing w:after="0"/>
        <w:rPr>
          <w:sz w:val="20"/>
          <w:szCs w:val="20"/>
          <w:lang w:val="es-ES"/>
        </w:rPr>
      </w:pPr>
      <w:r w:rsidRPr="009E13C1">
        <w:rPr>
          <w:sz w:val="20"/>
          <w:szCs w:val="20"/>
          <w:lang w:val="es-ES"/>
        </w:rPr>
        <w:t>GSL (proyecto, 2019):</w:t>
      </w:r>
      <w:r>
        <w:rPr>
          <w:sz w:val="20"/>
          <w:szCs w:val="20"/>
          <w:lang w:val="es-ES"/>
        </w:rPr>
        <w:t xml:space="preserve"> </w:t>
      </w:r>
      <w:r w:rsidR="00991A29" w:rsidRPr="00991A29">
        <w:rPr>
          <w:sz w:val="20"/>
          <w:szCs w:val="20"/>
          <w:lang w:val="es-ES"/>
        </w:rPr>
        <w:t>lámparas incandescentes, incandescentes con halógenos de espectro general y modificado</w:t>
      </w:r>
      <w:r w:rsidR="00991A29">
        <w:rPr>
          <w:sz w:val="20"/>
          <w:szCs w:val="20"/>
          <w:lang w:val="es-ES"/>
        </w:rPr>
        <w:t xml:space="preserve"> (</w:t>
      </w:r>
      <w:r w:rsidR="00991A29" w:rsidRPr="009E13C1">
        <w:rPr>
          <w:sz w:val="20"/>
          <w:szCs w:val="20"/>
          <w:lang w:val="es-ES"/>
        </w:rPr>
        <w:t>entrada en vigor 1 de enero de 2019), (PROY-NOM-028-ENER-2017</w:t>
      </w:r>
      <w:r w:rsidR="00991A29">
        <w:rPr>
          <w:sz w:val="20"/>
          <w:szCs w:val="20"/>
          <w:lang w:val="es-ES"/>
        </w:rPr>
        <w:t>).</w:t>
      </w:r>
    </w:p>
    <w:p w14:paraId="2864C04C" w14:textId="77777777" w:rsidR="008A52BB" w:rsidRDefault="008A52BB" w:rsidP="004205D7">
      <w:pPr>
        <w:pStyle w:val="BodyText"/>
        <w:rPr>
          <w:lang w:val="es-ES"/>
        </w:rPr>
      </w:pPr>
    </w:p>
    <w:p w14:paraId="081C16DF" w14:textId="613CAC90" w:rsidR="003426BB" w:rsidRDefault="008A52BB" w:rsidP="004205D7">
      <w:pPr>
        <w:pStyle w:val="BodyText"/>
        <w:rPr>
          <w:lang w:val="es-ES"/>
        </w:rPr>
      </w:pPr>
      <w:r>
        <w:rPr>
          <w:lang w:val="es-ES"/>
        </w:rPr>
        <w:t>Como se puede apreciar de la figura, existen varios niveles de límites para distintos tipos de lámparas</w:t>
      </w:r>
      <w:r w:rsidR="0075021A">
        <w:rPr>
          <w:lang w:val="es-ES"/>
        </w:rPr>
        <w:t>, con límites uniformes para "lámparas para uso general" (lámparas incandescentes, incandescentes con halógenos y fluorescentes compactas autobalastradas</w:t>
      </w:r>
      <w:r w:rsidR="00092E80">
        <w:rPr>
          <w:lang w:val="es-ES"/>
        </w:rPr>
        <w:t>)</w:t>
      </w:r>
      <w:r w:rsidR="0075021A">
        <w:rPr>
          <w:lang w:val="es-ES"/>
        </w:rPr>
        <w:t xml:space="preserve">. </w:t>
      </w:r>
      <w:r w:rsidR="0075021A" w:rsidRPr="009E13C1">
        <w:rPr>
          <w:lang w:val="es-ES"/>
        </w:rPr>
        <w:t xml:space="preserve">El proyecto de revisión PROY-NOM-028-ENER-2017 prevé en </w:t>
      </w:r>
      <w:r w:rsidR="00991A29" w:rsidRPr="009E13C1">
        <w:rPr>
          <w:lang w:val="es-ES"/>
        </w:rPr>
        <w:t xml:space="preserve">límites específicos para lámparas incandescentes </w:t>
      </w:r>
      <w:r w:rsidR="00991A29" w:rsidRPr="009E13C1">
        <w:rPr>
          <w:lang w:val="es-ES"/>
        </w:rPr>
        <w:lastRenderedPageBreak/>
        <w:t>e incandescentes con halógenos, en dos etapas.</w:t>
      </w:r>
      <w:r w:rsidR="00991A29">
        <w:rPr>
          <w:lang w:val="es-ES"/>
        </w:rPr>
        <w:t xml:space="preserve"> Ello significaría que a partir de 1 de enero de 2019, todas lámparas para uso general (con la excepción de LFC </w:t>
      </w:r>
      <w:r w:rsidR="00991A29">
        <w:rPr>
          <w:rFonts w:cs="Calibri"/>
          <w:lang w:val="es-ES"/>
        </w:rPr>
        <w:t xml:space="preserve">≤ </w:t>
      </w:r>
      <w:r w:rsidR="00991A29">
        <w:rPr>
          <w:lang w:val="es-ES"/>
        </w:rPr>
        <w:t>22 W) tendrán un límite de 60 W/lm.</w:t>
      </w:r>
      <w:r w:rsidR="00770D3D">
        <w:rPr>
          <w:lang w:val="es-ES"/>
        </w:rPr>
        <w:t xml:space="preserve"> </w:t>
      </w:r>
      <w:r w:rsidR="00770D3D" w:rsidRPr="009E13C1">
        <w:rPr>
          <w:lang w:val="es-ES"/>
        </w:rPr>
        <w:t>El PROY-NOM-028-ENER-2017</w:t>
      </w:r>
      <w:r w:rsidR="00770D3D">
        <w:rPr>
          <w:lang w:val="es-ES"/>
        </w:rPr>
        <w:t xml:space="preserve"> no modifica los límites de desempeño energético de las lámparas fluorescentes lineales y de las lámparas de descarga de alta intensidad.</w:t>
      </w:r>
      <w:r w:rsidR="004205D7">
        <w:rPr>
          <w:lang w:val="es-ES"/>
        </w:rPr>
        <w:t xml:space="preserve"> </w:t>
      </w:r>
    </w:p>
    <w:p w14:paraId="6C25C082" w14:textId="2864EB88" w:rsidR="004205D7" w:rsidRDefault="00357E25" w:rsidP="004205D7">
      <w:pPr>
        <w:pStyle w:val="BodyText"/>
        <w:rPr>
          <w:lang w:val="es-ES"/>
        </w:rPr>
      </w:pPr>
      <w:r>
        <w:rPr>
          <w:lang w:val="es-ES"/>
        </w:rPr>
        <w:t xml:space="preserve">Además de los límites de desempeño energético mínimo, las NOM-ENER mencionados incluyen también requisitos relacionados </w:t>
      </w:r>
      <w:r w:rsidR="00D520C5">
        <w:rPr>
          <w:lang w:val="es-ES"/>
        </w:rPr>
        <w:t xml:space="preserve">a </w:t>
      </w:r>
      <w:r>
        <w:rPr>
          <w:lang w:val="es-ES"/>
        </w:rPr>
        <w:t xml:space="preserve">las características de </w:t>
      </w:r>
      <w:r w:rsidR="00D520C5">
        <w:rPr>
          <w:lang w:val="es-ES"/>
        </w:rPr>
        <w:t xml:space="preserve">la </w:t>
      </w:r>
      <w:r>
        <w:rPr>
          <w:lang w:val="es-ES"/>
        </w:rPr>
        <w:t xml:space="preserve">luz (p.ej. el </w:t>
      </w:r>
      <w:r w:rsidR="00A26E82">
        <w:rPr>
          <w:lang w:val="es-ES"/>
        </w:rPr>
        <w:t>Índice de rendimiento de color, temperatura de color correlacionada, variación del flujo luminoso, flujo luminosa mantenido, etc</w:t>
      </w:r>
      <w:r w:rsidR="00D520C5">
        <w:rPr>
          <w:lang w:val="es-ES"/>
        </w:rPr>
        <w:t>.</w:t>
      </w:r>
      <w:r w:rsidR="00A26E82">
        <w:rPr>
          <w:lang w:val="es-ES"/>
        </w:rPr>
        <w:t>; en función del tipo de lámpara</w:t>
      </w:r>
      <w:r w:rsidR="00D520C5">
        <w:rPr>
          <w:lang w:val="es-ES"/>
        </w:rPr>
        <w:t>)</w:t>
      </w:r>
      <w:r w:rsidR="00A26E82">
        <w:rPr>
          <w:lang w:val="es-ES"/>
        </w:rPr>
        <w:t>.</w:t>
      </w:r>
      <w:r w:rsidR="00A26E82">
        <w:rPr>
          <w:rStyle w:val="FootnoteReference"/>
        </w:rPr>
        <w:footnoteReference w:id="70"/>
      </w:r>
    </w:p>
    <w:p w14:paraId="7F572E3D" w14:textId="5E0DF493" w:rsidR="004205D7" w:rsidRPr="00A45A21" w:rsidRDefault="004205D7" w:rsidP="004205D7">
      <w:pPr>
        <w:pStyle w:val="Heading3"/>
        <w:rPr>
          <w:lang w:val="es-ES"/>
        </w:rPr>
      </w:pPr>
      <w:bookmarkStart w:id="45" w:name="_Toc516146014"/>
      <w:r>
        <w:rPr>
          <w:lang w:val="es-ES"/>
        </w:rPr>
        <w:t>Métodos de prueba</w:t>
      </w:r>
      <w:bookmarkEnd w:id="45"/>
    </w:p>
    <w:p w14:paraId="4E95D378" w14:textId="64BA11BE" w:rsidR="004205D7" w:rsidRDefault="00390341" w:rsidP="004205D7">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 xml:space="preserve">El Anexo </w:t>
      </w:r>
      <w:r w:rsidR="00E21CB6">
        <w:rPr>
          <w:rFonts w:asciiTheme="minorHAnsi" w:eastAsia="Calibri" w:hAnsiTheme="minorHAnsi" w:cstheme="minorHAnsi"/>
          <w:color w:val="auto"/>
          <w:lang w:val="es-ES"/>
        </w:rPr>
        <w:t>10</w:t>
      </w:r>
      <w:r w:rsidR="000952C1">
        <w:rPr>
          <w:rFonts w:asciiTheme="minorHAnsi" w:eastAsia="Calibri" w:hAnsiTheme="minorHAnsi" w:cstheme="minorHAnsi"/>
          <w:color w:val="auto"/>
          <w:lang w:val="es-ES"/>
        </w:rPr>
        <w:t xml:space="preserve"> </w:t>
      </w:r>
      <w:r>
        <w:rPr>
          <w:rFonts w:asciiTheme="minorHAnsi" w:eastAsia="Calibri" w:hAnsiTheme="minorHAnsi" w:cstheme="minorHAnsi"/>
          <w:color w:val="auto"/>
          <w:lang w:val="es-ES"/>
        </w:rPr>
        <w:t>recoge los métodos de prueba incluidas en la NOM-ENER para productos de iluminación mencionadas. Las normas NOM-028-ENER-201</w:t>
      </w:r>
      <w:r w:rsidR="000952C1">
        <w:rPr>
          <w:rFonts w:asciiTheme="minorHAnsi" w:eastAsia="Calibri" w:hAnsiTheme="minorHAnsi" w:cstheme="minorHAnsi"/>
          <w:color w:val="auto"/>
          <w:lang w:val="es-ES"/>
        </w:rPr>
        <w:t>0</w:t>
      </w:r>
      <w:r>
        <w:rPr>
          <w:rFonts w:asciiTheme="minorHAnsi" w:eastAsia="Calibri" w:hAnsiTheme="minorHAnsi" w:cstheme="minorHAnsi"/>
          <w:color w:val="auto"/>
          <w:lang w:val="es-ES"/>
        </w:rPr>
        <w:t xml:space="preserve"> y NOM-017-ENER/SCFI-</w:t>
      </w:r>
      <w:r w:rsidR="000952C1">
        <w:rPr>
          <w:rFonts w:asciiTheme="minorHAnsi" w:eastAsia="Calibri" w:hAnsiTheme="minorHAnsi" w:cstheme="minorHAnsi"/>
          <w:color w:val="auto"/>
          <w:lang w:val="es-ES"/>
        </w:rPr>
        <w:t>2012 incluyen referencias a varias normas mexicanas de medición NMX para los tipos de lámparas incluidas en estas normas. Cabe mencionar que varias de estas normas MMX tienen coincidencia básica con las normas internacionales IEC correspondientes</w:t>
      </w:r>
      <w:r w:rsidR="000952C1" w:rsidRPr="00A3763F">
        <w:rPr>
          <w:rFonts w:asciiTheme="minorHAnsi" w:eastAsia="Calibri" w:hAnsiTheme="minorHAnsi" w:cstheme="minorHAnsi"/>
          <w:color w:val="auto"/>
          <w:lang w:val="es-ES"/>
        </w:rPr>
        <w:t>.</w:t>
      </w:r>
      <w:r w:rsidR="00F23F2E" w:rsidRPr="00A3763F">
        <w:rPr>
          <w:rFonts w:asciiTheme="minorHAnsi" w:eastAsia="Calibri" w:hAnsiTheme="minorHAnsi" w:cstheme="minorHAnsi"/>
          <w:color w:val="auto"/>
          <w:lang w:val="es-ES"/>
        </w:rPr>
        <w:t xml:space="preserve"> De su parte, las normas de medición NMX incluyen referencias a otras normas</w:t>
      </w:r>
      <w:r w:rsidR="008B4C31" w:rsidRPr="00A3763F">
        <w:rPr>
          <w:rFonts w:asciiTheme="minorHAnsi" w:eastAsia="Calibri" w:hAnsiTheme="minorHAnsi" w:cstheme="minorHAnsi"/>
          <w:color w:val="auto"/>
          <w:lang w:val="es-ES"/>
        </w:rPr>
        <w:t xml:space="preserve">, en particular otras normas NMX </w:t>
      </w:r>
      <w:r w:rsidR="00335C9F" w:rsidRPr="00A3763F">
        <w:rPr>
          <w:rFonts w:asciiTheme="minorHAnsi" w:eastAsia="Calibri" w:hAnsiTheme="minorHAnsi" w:cstheme="minorHAnsi"/>
          <w:color w:val="auto"/>
          <w:lang w:val="es-ES"/>
        </w:rPr>
        <w:t>y</w:t>
      </w:r>
      <w:r w:rsidR="008B4C31" w:rsidRPr="00A3763F">
        <w:rPr>
          <w:rFonts w:asciiTheme="minorHAnsi" w:eastAsia="Calibri" w:hAnsiTheme="minorHAnsi" w:cstheme="minorHAnsi"/>
          <w:color w:val="auto"/>
          <w:lang w:val="es-ES"/>
        </w:rPr>
        <w:t xml:space="preserve"> – </w:t>
      </w:r>
      <w:r w:rsidR="00AF36E3" w:rsidRPr="00A3763F">
        <w:rPr>
          <w:rFonts w:asciiTheme="minorHAnsi" w:eastAsia="Calibri" w:hAnsiTheme="minorHAnsi" w:cstheme="minorHAnsi"/>
          <w:color w:val="auto"/>
          <w:lang w:val="es-ES"/>
        </w:rPr>
        <w:t>para consulta</w:t>
      </w:r>
      <w:r w:rsidR="008B4C31" w:rsidRPr="00A3763F">
        <w:rPr>
          <w:rFonts w:asciiTheme="minorHAnsi" w:eastAsia="Calibri" w:hAnsiTheme="minorHAnsi" w:cstheme="minorHAnsi"/>
          <w:color w:val="auto"/>
          <w:lang w:val="es-ES"/>
        </w:rPr>
        <w:t xml:space="preserve"> – no</w:t>
      </w:r>
      <w:r w:rsidR="00C61AC7" w:rsidRPr="00A3763F">
        <w:rPr>
          <w:rFonts w:asciiTheme="minorHAnsi" w:eastAsia="Calibri" w:hAnsiTheme="minorHAnsi" w:cstheme="minorHAnsi"/>
          <w:color w:val="auto"/>
          <w:lang w:val="es-ES"/>
        </w:rPr>
        <w:t>r</w:t>
      </w:r>
      <w:r w:rsidR="008B4C31" w:rsidRPr="00A3763F">
        <w:rPr>
          <w:rFonts w:asciiTheme="minorHAnsi" w:eastAsia="Calibri" w:hAnsiTheme="minorHAnsi" w:cstheme="minorHAnsi"/>
          <w:color w:val="auto"/>
          <w:lang w:val="es-ES"/>
        </w:rPr>
        <w:t xml:space="preserve">mas </w:t>
      </w:r>
      <w:r w:rsidR="00F23F2E" w:rsidRPr="00A3763F">
        <w:rPr>
          <w:rFonts w:asciiTheme="minorHAnsi" w:eastAsia="Calibri" w:hAnsiTheme="minorHAnsi" w:cstheme="minorHAnsi"/>
          <w:color w:val="auto"/>
          <w:lang w:val="es-ES"/>
        </w:rPr>
        <w:t>internacionales IEC</w:t>
      </w:r>
      <w:r w:rsidR="008B4C31" w:rsidRPr="00A3763F">
        <w:rPr>
          <w:rFonts w:asciiTheme="minorHAnsi" w:eastAsia="Calibri" w:hAnsiTheme="minorHAnsi" w:cstheme="minorHAnsi"/>
          <w:color w:val="auto"/>
          <w:lang w:val="es-ES"/>
        </w:rPr>
        <w:t>.</w:t>
      </w:r>
    </w:p>
    <w:p w14:paraId="5BE65D49" w14:textId="2BAA58F5" w:rsidR="000952C1" w:rsidRDefault="000952C1" w:rsidP="004205D7">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 xml:space="preserve">Los métodos de prueba para lámparas LED integradas (NOM-030-ENER-2016) y para </w:t>
      </w:r>
      <w:r w:rsidR="0013180A">
        <w:rPr>
          <w:rFonts w:asciiTheme="minorHAnsi" w:eastAsia="Calibri" w:hAnsiTheme="minorHAnsi" w:cstheme="minorHAnsi"/>
          <w:color w:val="auto"/>
          <w:lang w:val="es-ES"/>
        </w:rPr>
        <w:t>l</w:t>
      </w:r>
      <w:r w:rsidRPr="000952C1">
        <w:rPr>
          <w:rFonts w:asciiTheme="minorHAnsi" w:eastAsia="Calibri" w:hAnsiTheme="minorHAnsi" w:cstheme="minorHAnsi"/>
          <w:color w:val="auto"/>
          <w:lang w:val="es-ES"/>
        </w:rPr>
        <w:t>uminarios con elementos de iluminación LEDs destinados a vialidades y áreas exteriores públicas</w:t>
      </w:r>
      <w:r>
        <w:rPr>
          <w:rFonts w:asciiTheme="minorHAnsi" w:eastAsia="Calibri" w:hAnsiTheme="minorHAnsi" w:cstheme="minorHAnsi"/>
          <w:color w:val="auto"/>
          <w:lang w:val="es-ES"/>
        </w:rPr>
        <w:t xml:space="preserve"> (NOM-031-</w:t>
      </w:r>
      <w:r w:rsidR="003426BB">
        <w:rPr>
          <w:rFonts w:asciiTheme="minorHAnsi" w:eastAsia="Calibri" w:hAnsiTheme="minorHAnsi" w:cstheme="minorHAnsi"/>
          <w:color w:val="auto"/>
          <w:lang w:val="es-ES"/>
        </w:rPr>
        <w:t>ENER-201</w:t>
      </w:r>
      <w:r w:rsidR="0051129B">
        <w:rPr>
          <w:rFonts w:asciiTheme="minorHAnsi" w:eastAsia="Calibri" w:hAnsiTheme="minorHAnsi" w:cstheme="minorHAnsi"/>
          <w:color w:val="auto"/>
          <w:lang w:val="es-ES"/>
        </w:rPr>
        <w:t>2)</w:t>
      </w:r>
      <w:r w:rsidR="003426BB">
        <w:rPr>
          <w:rFonts w:asciiTheme="minorHAnsi" w:eastAsia="Calibri" w:hAnsiTheme="minorHAnsi" w:cstheme="minorHAnsi"/>
          <w:color w:val="auto"/>
          <w:lang w:val="es-ES"/>
        </w:rPr>
        <w:t xml:space="preserve"> están incluidos en los apéndices de estas normas</w:t>
      </w:r>
      <w:r>
        <w:rPr>
          <w:rFonts w:asciiTheme="minorHAnsi" w:eastAsia="Calibri" w:hAnsiTheme="minorHAnsi" w:cstheme="minorHAnsi"/>
          <w:color w:val="auto"/>
          <w:lang w:val="es-ES"/>
        </w:rPr>
        <w:t xml:space="preserve">. </w:t>
      </w:r>
      <w:r w:rsidR="008D0690">
        <w:rPr>
          <w:rFonts w:asciiTheme="minorHAnsi" w:eastAsia="Calibri" w:hAnsiTheme="minorHAnsi" w:cstheme="minorHAnsi"/>
          <w:color w:val="auto"/>
          <w:lang w:val="es-ES"/>
        </w:rPr>
        <w:t xml:space="preserve">Estos métodos </w:t>
      </w:r>
      <w:r w:rsidR="003014A0">
        <w:rPr>
          <w:rFonts w:asciiTheme="minorHAnsi" w:eastAsia="Calibri" w:hAnsiTheme="minorHAnsi" w:cstheme="minorHAnsi"/>
          <w:color w:val="auto"/>
          <w:lang w:val="es-ES"/>
        </w:rPr>
        <w:t xml:space="preserve">de prueba </w:t>
      </w:r>
      <w:r w:rsidR="008D0690">
        <w:rPr>
          <w:rFonts w:asciiTheme="minorHAnsi" w:eastAsia="Calibri" w:hAnsiTheme="minorHAnsi" w:cstheme="minorHAnsi"/>
          <w:color w:val="auto"/>
          <w:lang w:val="es-ES"/>
        </w:rPr>
        <w:t>no son equivalentes con las normas internacionales IEC correspondientes.</w:t>
      </w:r>
      <w:r w:rsidR="003A64C6">
        <w:rPr>
          <w:rStyle w:val="FootnoteReference"/>
          <w:rFonts w:asciiTheme="minorHAnsi" w:eastAsia="Calibri" w:hAnsiTheme="minorHAnsi" w:cstheme="minorHAnsi"/>
          <w:color w:val="auto"/>
        </w:rPr>
        <w:footnoteReference w:id="71"/>
      </w:r>
    </w:p>
    <w:p w14:paraId="0733BEA8" w14:textId="38696451" w:rsidR="004205D7" w:rsidRPr="004205D7" w:rsidRDefault="002E7F97" w:rsidP="004205D7">
      <w:pPr>
        <w:pStyle w:val="Heading3"/>
        <w:rPr>
          <w:lang w:val="es-ES"/>
        </w:rPr>
      </w:pPr>
      <w:bookmarkStart w:id="46" w:name="_Toc516146015"/>
      <w:r>
        <w:rPr>
          <w:lang w:val="es-ES"/>
        </w:rPr>
        <w:t xml:space="preserve">Procedimientos de evaluación de </w:t>
      </w:r>
      <w:r w:rsidR="00040E7F">
        <w:rPr>
          <w:lang w:val="es-ES"/>
        </w:rPr>
        <w:t xml:space="preserve">la </w:t>
      </w:r>
      <w:r>
        <w:rPr>
          <w:lang w:val="es-ES"/>
        </w:rPr>
        <w:t>conformidad</w:t>
      </w:r>
      <w:bookmarkEnd w:id="46"/>
    </w:p>
    <w:p w14:paraId="523BF9FB" w14:textId="090282E3" w:rsidR="00CD5E63" w:rsidRDefault="00FF1CF8" w:rsidP="004205D7">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 xml:space="preserve">De acuerdo a las </w:t>
      </w:r>
      <w:r w:rsidR="00CD5E63">
        <w:rPr>
          <w:rFonts w:asciiTheme="minorHAnsi" w:eastAsia="Calibri" w:hAnsiTheme="minorHAnsi" w:cstheme="minorHAnsi"/>
          <w:color w:val="auto"/>
          <w:lang w:val="es-ES"/>
        </w:rPr>
        <w:t>NOM-ENER</w:t>
      </w:r>
      <w:r>
        <w:rPr>
          <w:rFonts w:asciiTheme="minorHAnsi" w:eastAsia="Calibri" w:hAnsiTheme="minorHAnsi" w:cstheme="minorHAnsi"/>
          <w:color w:val="auto"/>
          <w:lang w:val="es-ES"/>
        </w:rPr>
        <w:t xml:space="preserve"> para productos de iluminación, e</w:t>
      </w:r>
      <w:r w:rsidR="00CD5E63">
        <w:rPr>
          <w:rFonts w:asciiTheme="minorHAnsi" w:eastAsia="Calibri" w:hAnsiTheme="minorHAnsi" w:cstheme="minorHAnsi"/>
          <w:color w:val="auto"/>
          <w:lang w:val="es-ES"/>
        </w:rPr>
        <w:t xml:space="preserve">l procedimiento </w:t>
      </w:r>
      <w:r>
        <w:rPr>
          <w:rFonts w:asciiTheme="minorHAnsi" w:eastAsia="Calibri" w:hAnsiTheme="minorHAnsi" w:cstheme="minorHAnsi"/>
          <w:color w:val="auto"/>
          <w:lang w:val="es-ES"/>
        </w:rPr>
        <w:t xml:space="preserve">de evaluación de conformidad </w:t>
      </w:r>
      <w:r w:rsidR="00CD5E63">
        <w:rPr>
          <w:rFonts w:asciiTheme="minorHAnsi" w:eastAsia="Calibri" w:hAnsiTheme="minorHAnsi" w:cstheme="minorHAnsi"/>
          <w:color w:val="auto"/>
          <w:lang w:val="es-ES"/>
        </w:rPr>
        <w:t xml:space="preserve">se establece de conformidad con los artículos </w:t>
      </w:r>
      <w:r w:rsidR="00B62C61">
        <w:rPr>
          <w:rFonts w:asciiTheme="minorHAnsi" w:eastAsia="Calibri" w:hAnsiTheme="minorHAnsi" w:cstheme="minorHAnsi"/>
          <w:color w:val="auto"/>
          <w:lang w:val="es-ES"/>
        </w:rPr>
        <w:t>68 primer párrafo, 70 fracción I y 73 de la Ley Federal sobre Metrología y Normalización</w:t>
      </w:r>
      <w:r w:rsidR="00ED11C6">
        <w:rPr>
          <w:rFonts w:asciiTheme="minorHAnsi" w:eastAsia="Calibri" w:hAnsiTheme="minorHAnsi" w:cstheme="minorHAnsi"/>
          <w:color w:val="auto"/>
          <w:lang w:val="es-ES"/>
        </w:rPr>
        <w:t xml:space="preserve"> (LFMN)</w:t>
      </w:r>
      <w:r w:rsidR="008C6B1E">
        <w:rPr>
          <w:rStyle w:val="FootnoteReference"/>
          <w:rFonts w:asciiTheme="minorHAnsi" w:eastAsia="Calibri" w:hAnsiTheme="minorHAnsi" w:cstheme="minorHAnsi"/>
          <w:color w:val="auto"/>
        </w:rPr>
        <w:footnoteReference w:id="72"/>
      </w:r>
      <w:r w:rsidR="00B62C61">
        <w:rPr>
          <w:rFonts w:asciiTheme="minorHAnsi" w:eastAsia="Calibri" w:hAnsiTheme="minorHAnsi" w:cstheme="minorHAnsi"/>
          <w:color w:val="auto"/>
          <w:lang w:val="es-ES"/>
        </w:rPr>
        <w:t xml:space="preserve"> y su Reglamento</w:t>
      </w:r>
      <w:r w:rsidR="008C6B1E">
        <w:rPr>
          <w:rStyle w:val="FootnoteReference"/>
          <w:rFonts w:asciiTheme="minorHAnsi" w:eastAsia="Calibri" w:hAnsiTheme="minorHAnsi" w:cstheme="minorHAnsi"/>
          <w:color w:val="auto"/>
        </w:rPr>
        <w:footnoteReference w:id="73"/>
      </w:r>
      <w:r w:rsidR="00B62C61">
        <w:rPr>
          <w:rFonts w:asciiTheme="minorHAnsi" w:eastAsia="Calibri" w:hAnsiTheme="minorHAnsi" w:cstheme="minorHAnsi"/>
          <w:color w:val="auto"/>
          <w:lang w:val="es-ES"/>
        </w:rPr>
        <w:t>.</w:t>
      </w:r>
    </w:p>
    <w:p w14:paraId="51B49AF6" w14:textId="272F559B" w:rsidR="00B62C61" w:rsidRDefault="00B62C61" w:rsidP="004205D7">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 xml:space="preserve">Para obtener el certificado de conformidad, el solicitante puede optar por la modalidad de certificación mediante pruebas periódicas al producto, o por la modalidad de certificación mediante el sistema de aseguramiento de la calidad de la línea de producción. </w:t>
      </w:r>
      <w:r w:rsidR="007E3139">
        <w:rPr>
          <w:rFonts w:asciiTheme="minorHAnsi" w:eastAsia="Calibri" w:hAnsiTheme="minorHAnsi" w:cstheme="minorHAnsi"/>
          <w:color w:val="auto"/>
          <w:lang w:val="es-ES"/>
        </w:rPr>
        <w:t>La certificación por la modalidad de certificación</w:t>
      </w:r>
      <w:r w:rsidR="007E3139" w:rsidRPr="007E3139">
        <w:rPr>
          <w:lang w:val="es-ES"/>
        </w:rPr>
        <w:t xml:space="preserve"> </w:t>
      </w:r>
      <w:r w:rsidR="007E3139" w:rsidRPr="007E3139">
        <w:rPr>
          <w:rFonts w:asciiTheme="minorHAnsi" w:eastAsia="Calibri" w:hAnsiTheme="minorHAnsi" w:cstheme="minorHAnsi"/>
          <w:color w:val="auto"/>
          <w:lang w:val="es-ES"/>
        </w:rPr>
        <w:t>mediante el sistema de aseguramiento de la calidad de la línea de producción</w:t>
      </w:r>
      <w:r w:rsidR="007E3139">
        <w:rPr>
          <w:rFonts w:asciiTheme="minorHAnsi" w:eastAsia="Calibri" w:hAnsiTheme="minorHAnsi" w:cstheme="minorHAnsi"/>
          <w:color w:val="auto"/>
          <w:lang w:val="es-ES"/>
        </w:rPr>
        <w:t xml:space="preserve"> incluye todos los requisitos de la modalidad</w:t>
      </w:r>
      <w:r w:rsidR="007E3139" w:rsidRPr="007E3139">
        <w:rPr>
          <w:rFonts w:asciiTheme="minorHAnsi" w:eastAsia="Calibri" w:hAnsiTheme="minorHAnsi" w:cstheme="minorHAnsi"/>
          <w:color w:val="auto"/>
          <w:lang w:val="es-ES"/>
        </w:rPr>
        <w:t xml:space="preserve"> de certificación mediante pruebas periódicas al producto</w:t>
      </w:r>
      <w:r w:rsidR="007E3139">
        <w:rPr>
          <w:rFonts w:asciiTheme="minorHAnsi" w:eastAsia="Calibri" w:hAnsiTheme="minorHAnsi" w:cstheme="minorHAnsi"/>
          <w:color w:val="auto"/>
          <w:lang w:val="es-ES"/>
        </w:rPr>
        <w:t>.</w:t>
      </w:r>
      <w:r w:rsidR="00FF1CF8">
        <w:rPr>
          <w:rStyle w:val="FootnoteReference"/>
          <w:rFonts w:asciiTheme="minorHAnsi" w:eastAsia="Calibri" w:hAnsiTheme="minorHAnsi" w:cstheme="minorHAnsi"/>
          <w:color w:val="auto"/>
        </w:rPr>
        <w:footnoteReference w:id="74"/>
      </w:r>
      <w:r w:rsidR="007E3139">
        <w:rPr>
          <w:rFonts w:asciiTheme="minorHAnsi" w:eastAsia="Calibri" w:hAnsiTheme="minorHAnsi" w:cstheme="minorHAnsi"/>
          <w:color w:val="auto"/>
          <w:lang w:val="es-ES"/>
        </w:rPr>
        <w:t xml:space="preserve"> </w:t>
      </w:r>
      <w:r>
        <w:rPr>
          <w:rFonts w:asciiTheme="minorHAnsi" w:eastAsia="Calibri" w:hAnsiTheme="minorHAnsi" w:cstheme="minorHAnsi"/>
          <w:color w:val="auto"/>
          <w:lang w:val="es-ES"/>
        </w:rPr>
        <w:t xml:space="preserve">El PEC incluye también </w:t>
      </w:r>
      <w:r w:rsidR="00413B72">
        <w:rPr>
          <w:rFonts w:asciiTheme="minorHAnsi" w:eastAsia="Calibri" w:hAnsiTheme="minorHAnsi" w:cstheme="minorHAnsi"/>
          <w:color w:val="auto"/>
          <w:lang w:val="es-ES"/>
        </w:rPr>
        <w:t>los requisitos de muestreo, los criterios de agrupación de lámparas por familia, los requisitos de seguimiento, etc.</w:t>
      </w:r>
      <w:r w:rsidR="00D80C67">
        <w:rPr>
          <w:rStyle w:val="FootnoteReference"/>
          <w:rFonts w:asciiTheme="minorHAnsi" w:eastAsia="Calibri" w:hAnsiTheme="minorHAnsi" w:cstheme="minorHAnsi"/>
          <w:color w:val="auto"/>
        </w:rPr>
        <w:footnoteReference w:id="75"/>
      </w:r>
    </w:p>
    <w:p w14:paraId="0242BB3F" w14:textId="54340E1D" w:rsidR="00522CDA" w:rsidRDefault="00ED11C6" w:rsidP="004205D7">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Entre las disposiciones principales con respecto al procedimiento para la evaluación de la conformidad se encuentran:</w:t>
      </w:r>
      <w:r w:rsidR="00803960">
        <w:rPr>
          <w:rStyle w:val="FootnoteReference"/>
          <w:rFonts w:asciiTheme="minorHAnsi" w:eastAsia="Calibri" w:hAnsiTheme="minorHAnsi" w:cstheme="minorHAnsi"/>
          <w:color w:val="auto"/>
        </w:rPr>
        <w:footnoteReference w:id="76"/>
      </w:r>
    </w:p>
    <w:p w14:paraId="7438B95B" w14:textId="417E6DD9" w:rsidR="00ED11C6" w:rsidRPr="003D13F1" w:rsidRDefault="00ED11C6" w:rsidP="001404E7">
      <w:pPr>
        <w:pStyle w:val="ListParagraph"/>
        <w:numPr>
          <w:ilvl w:val="0"/>
          <w:numId w:val="30"/>
        </w:numPr>
        <w:suppressAutoHyphens w:val="0"/>
        <w:rPr>
          <w:rFonts w:asciiTheme="minorHAnsi" w:eastAsia="Calibri" w:hAnsiTheme="minorHAnsi" w:cstheme="minorHAnsi"/>
          <w:color w:val="auto"/>
          <w:lang w:val="es-ES"/>
        </w:rPr>
      </w:pPr>
      <w:r w:rsidRPr="003D13F1">
        <w:rPr>
          <w:rFonts w:asciiTheme="minorHAnsi" w:eastAsia="Calibri" w:hAnsiTheme="minorHAnsi" w:cstheme="minorHAnsi"/>
          <w:color w:val="auto"/>
          <w:lang w:val="es-ES"/>
        </w:rPr>
        <w:lastRenderedPageBreak/>
        <w:t>La evaluación de conformidad debe realizarse por laboratorios de prueba y organismos de certificación de producto, acreditados y aprobados en la NOM, conforme a lo dispuesto en la LFMN;</w:t>
      </w:r>
    </w:p>
    <w:p w14:paraId="6488C2B2" w14:textId="4988633D" w:rsidR="00ED11C6" w:rsidRPr="003D13F1" w:rsidRDefault="00ED11C6" w:rsidP="001404E7">
      <w:pPr>
        <w:pStyle w:val="ListParagraph"/>
        <w:numPr>
          <w:ilvl w:val="0"/>
          <w:numId w:val="30"/>
        </w:numPr>
        <w:suppressAutoHyphens w:val="0"/>
        <w:rPr>
          <w:rFonts w:asciiTheme="minorHAnsi" w:eastAsia="Calibri" w:hAnsiTheme="minorHAnsi" w:cstheme="minorHAnsi"/>
          <w:color w:val="auto"/>
          <w:lang w:val="es-ES"/>
        </w:rPr>
      </w:pPr>
      <w:r w:rsidRPr="003D13F1">
        <w:rPr>
          <w:rFonts w:asciiTheme="minorHAnsi" w:eastAsia="Calibri" w:hAnsiTheme="minorHAnsi" w:cstheme="minorHAnsi"/>
          <w:color w:val="auto"/>
          <w:lang w:val="es-ES"/>
        </w:rPr>
        <w:t>Los certificados de la conformidad de producto se expedirán por producto o familia de productos;</w:t>
      </w:r>
    </w:p>
    <w:p w14:paraId="1053F5C0" w14:textId="4CC99F0A" w:rsidR="00ED11C6" w:rsidRPr="003D13F1" w:rsidRDefault="00ED11C6" w:rsidP="001404E7">
      <w:pPr>
        <w:pStyle w:val="ListParagraph"/>
        <w:numPr>
          <w:ilvl w:val="0"/>
          <w:numId w:val="30"/>
        </w:numPr>
        <w:suppressAutoHyphens w:val="0"/>
        <w:rPr>
          <w:rFonts w:asciiTheme="minorHAnsi" w:eastAsia="Calibri" w:hAnsiTheme="minorHAnsi" w:cstheme="minorHAnsi"/>
          <w:color w:val="auto"/>
          <w:lang w:val="es-ES"/>
        </w:rPr>
      </w:pPr>
      <w:r w:rsidRPr="003D13F1">
        <w:rPr>
          <w:rFonts w:asciiTheme="minorHAnsi" w:eastAsia="Calibri" w:hAnsiTheme="minorHAnsi" w:cstheme="minorHAnsi"/>
          <w:color w:val="auto"/>
          <w:lang w:val="es-ES"/>
        </w:rPr>
        <w:t xml:space="preserve">La vigencia de los certificados de cumplimiento del producto es un año en el caso de la verificación mediante pruebas periódicas al </w:t>
      </w:r>
      <w:r w:rsidR="00803960" w:rsidRPr="003D13F1">
        <w:rPr>
          <w:rFonts w:asciiTheme="minorHAnsi" w:eastAsia="Calibri" w:hAnsiTheme="minorHAnsi" w:cstheme="minorHAnsi"/>
          <w:color w:val="auto"/>
          <w:lang w:val="es-ES"/>
        </w:rPr>
        <w:t>producto, y tres años en el caso de la verificación mediante el sistema de aseguramiento de la calidad de la línea de producción;</w:t>
      </w:r>
    </w:p>
    <w:p w14:paraId="400A2883" w14:textId="5FBF6F0A" w:rsidR="00803960" w:rsidRPr="003D13F1" w:rsidRDefault="00803960" w:rsidP="001404E7">
      <w:pPr>
        <w:pStyle w:val="ListParagraph"/>
        <w:numPr>
          <w:ilvl w:val="0"/>
          <w:numId w:val="30"/>
        </w:numPr>
        <w:suppressAutoHyphens w:val="0"/>
        <w:rPr>
          <w:rFonts w:asciiTheme="minorHAnsi" w:eastAsia="Calibri" w:hAnsiTheme="minorHAnsi" w:cstheme="minorHAnsi"/>
          <w:color w:val="auto"/>
          <w:lang w:val="es-ES"/>
        </w:rPr>
      </w:pPr>
      <w:r w:rsidRPr="003D13F1">
        <w:rPr>
          <w:rFonts w:asciiTheme="minorHAnsi" w:eastAsia="Calibri" w:hAnsiTheme="minorHAnsi" w:cstheme="minorHAnsi"/>
          <w:color w:val="auto"/>
          <w:lang w:val="es-ES"/>
        </w:rPr>
        <w:t>El organismo de certificación de producto debe realizar el seguimiento del cumplimiento de los productos certificados, como mínimo una vez durante el periodo de vigencia del certificado, tanto de manera documental como por revisión y muestreo del producto certificado;</w:t>
      </w:r>
    </w:p>
    <w:p w14:paraId="712EB994" w14:textId="39E08C91" w:rsidR="002F6019" w:rsidRPr="003D13F1" w:rsidRDefault="00803960" w:rsidP="001404E7">
      <w:pPr>
        <w:pStyle w:val="ListParagraph"/>
        <w:numPr>
          <w:ilvl w:val="0"/>
          <w:numId w:val="30"/>
        </w:numPr>
        <w:suppressAutoHyphens w:val="0"/>
        <w:rPr>
          <w:rFonts w:asciiTheme="minorHAnsi" w:eastAsia="Calibri" w:hAnsiTheme="minorHAnsi" w:cstheme="minorHAnsi"/>
          <w:color w:val="auto"/>
          <w:lang w:val="es-ES"/>
        </w:rPr>
      </w:pPr>
      <w:r w:rsidRPr="003D13F1">
        <w:rPr>
          <w:rFonts w:asciiTheme="minorHAnsi" w:eastAsia="Calibri" w:hAnsiTheme="minorHAnsi" w:cstheme="minorHAnsi"/>
          <w:color w:val="auto"/>
          <w:lang w:val="es-ES"/>
        </w:rPr>
        <w:t xml:space="preserve">En la modalidad con seguimiento mediante pruebas periódicas al producto, el seguimiento se debe realizar en una muestra, seleccionada por el organismo de certificación de producto, de un modelo que integra la familia </w:t>
      </w:r>
      <w:r w:rsidR="002F6019" w:rsidRPr="003D13F1">
        <w:rPr>
          <w:rFonts w:asciiTheme="minorHAnsi" w:eastAsia="Calibri" w:hAnsiTheme="minorHAnsi" w:cstheme="minorHAnsi"/>
          <w:color w:val="auto"/>
          <w:lang w:val="es-ES"/>
        </w:rPr>
        <w:t xml:space="preserve">de productos, </w:t>
      </w:r>
      <w:r w:rsidR="007F2392">
        <w:rPr>
          <w:rFonts w:asciiTheme="minorHAnsi" w:eastAsia="Calibri" w:hAnsiTheme="minorHAnsi" w:cstheme="minorHAnsi"/>
          <w:color w:val="auto"/>
          <w:lang w:val="es-ES"/>
        </w:rPr>
        <w:t xml:space="preserve">tomada en la fábrica, bodegas o en lugares de comercialización del producto, </w:t>
      </w:r>
      <w:r w:rsidR="002F6019" w:rsidRPr="003D13F1">
        <w:rPr>
          <w:rFonts w:asciiTheme="minorHAnsi" w:eastAsia="Calibri" w:hAnsiTheme="minorHAnsi" w:cstheme="minorHAnsi"/>
          <w:color w:val="auto"/>
          <w:lang w:val="es-ES"/>
        </w:rPr>
        <w:t>una vez al año;</w:t>
      </w:r>
    </w:p>
    <w:p w14:paraId="21076730" w14:textId="1852BCEE" w:rsidR="00803960" w:rsidRPr="003D13F1" w:rsidRDefault="002F6019" w:rsidP="001404E7">
      <w:pPr>
        <w:pStyle w:val="ListParagraph"/>
        <w:numPr>
          <w:ilvl w:val="0"/>
          <w:numId w:val="30"/>
        </w:numPr>
        <w:suppressAutoHyphens w:val="0"/>
        <w:rPr>
          <w:rFonts w:asciiTheme="minorHAnsi" w:eastAsia="Calibri" w:hAnsiTheme="minorHAnsi" w:cstheme="minorHAnsi"/>
          <w:color w:val="auto"/>
          <w:lang w:val="es-ES"/>
        </w:rPr>
      </w:pPr>
      <w:r w:rsidRPr="003D13F1">
        <w:rPr>
          <w:rFonts w:asciiTheme="minorHAnsi" w:eastAsia="Calibri" w:hAnsiTheme="minorHAnsi" w:cstheme="minorHAnsi"/>
          <w:color w:val="auto"/>
          <w:lang w:val="es-ES"/>
        </w:rPr>
        <w:t xml:space="preserve">En la modalidad con certificación por medio del sistema de aseguramiento de la calidad de la línea de producción, el seguimiento se debe realizar en una muestra de un modelo diferente al seleccionado en la verificación anterior, </w:t>
      </w:r>
      <w:r w:rsidR="007F2392">
        <w:rPr>
          <w:rFonts w:asciiTheme="minorHAnsi" w:eastAsia="Calibri" w:hAnsiTheme="minorHAnsi" w:cstheme="minorHAnsi"/>
          <w:color w:val="auto"/>
          <w:lang w:val="es-ES"/>
        </w:rPr>
        <w:t xml:space="preserve">en la fábrica, bodegas o en lugares de comercialización del producto, </w:t>
      </w:r>
      <w:r w:rsidRPr="003D13F1">
        <w:rPr>
          <w:rFonts w:asciiTheme="minorHAnsi" w:eastAsia="Calibri" w:hAnsiTheme="minorHAnsi" w:cstheme="minorHAnsi"/>
          <w:color w:val="auto"/>
          <w:lang w:val="es-ES"/>
        </w:rPr>
        <w:t xml:space="preserve">y la verificación del sistema de aseguramiento de la calidad de la línea de producción, con la última </w:t>
      </w:r>
      <w:r w:rsidR="003D13F1" w:rsidRPr="003D13F1">
        <w:rPr>
          <w:rFonts w:asciiTheme="minorHAnsi" w:eastAsia="Calibri" w:hAnsiTheme="minorHAnsi" w:cstheme="minorHAnsi"/>
          <w:color w:val="auto"/>
          <w:lang w:val="es-ES"/>
        </w:rPr>
        <w:t>auditoría efectuada por un organismo de certificación de sistemas de aseguramiento de la calidad acreditado. El seguimiento se realizará por lo menos una vez durante la vigencia del certificado.</w:t>
      </w:r>
      <w:r w:rsidR="00803960" w:rsidRPr="003D13F1">
        <w:rPr>
          <w:rFonts w:asciiTheme="minorHAnsi" w:eastAsia="Calibri" w:hAnsiTheme="minorHAnsi" w:cstheme="minorHAnsi"/>
          <w:color w:val="auto"/>
          <w:lang w:val="es-ES"/>
        </w:rPr>
        <w:t xml:space="preserve"> </w:t>
      </w:r>
    </w:p>
    <w:p w14:paraId="7C7FC323" w14:textId="6A82BD7E" w:rsidR="00356C6B" w:rsidRPr="00356C6B" w:rsidRDefault="00356C6B" w:rsidP="00356C6B">
      <w:pPr>
        <w:pStyle w:val="Heading3"/>
        <w:rPr>
          <w:lang w:val="es-ES"/>
        </w:rPr>
      </w:pPr>
      <w:bookmarkStart w:id="47" w:name="_Toc516146016"/>
      <w:r>
        <w:rPr>
          <w:lang w:val="es-ES"/>
        </w:rPr>
        <w:t>Marcado</w:t>
      </w:r>
      <w:bookmarkEnd w:id="47"/>
    </w:p>
    <w:p w14:paraId="7BD8AD3B" w14:textId="521FFEC3" w:rsidR="00356C6B" w:rsidRDefault="00C71A8D" w:rsidP="00C71A8D">
      <w:pPr>
        <w:suppressAutoHyphens w:val="0"/>
        <w:rPr>
          <w:rFonts w:asciiTheme="minorHAnsi" w:eastAsia="Calibri" w:hAnsiTheme="minorHAnsi" w:cstheme="minorHAnsi"/>
          <w:color w:val="auto"/>
          <w:lang w:val="es-ES"/>
        </w:rPr>
      </w:pPr>
      <w:r>
        <w:rPr>
          <w:lang w:val="es-ES"/>
        </w:rPr>
        <w:t xml:space="preserve">Las NOM-ENER </w:t>
      </w:r>
      <w:r w:rsidR="00943076">
        <w:rPr>
          <w:lang w:val="es-ES"/>
        </w:rPr>
        <w:t xml:space="preserve">para lámparas </w:t>
      </w:r>
      <w:r>
        <w:rPr>
          <w:lang w:val="es-ES"/>
        </w:rPr>
        <w:t xml:space="preserve">no estipulan una etiqueta energética. Sin embargo, incluyen estipulaciones para el marcado de las lámparas en el </w:t>
      </w:r>
      <w:r w:rsidR="00195F25">
        <w:rPr>
          <w:lang w:val="es-ES"/>
        </w:rPr>
        <w:t xml:space="preserve">cuerpo del </w:t>
      </w:r>
      <w:r>
        <w:rPr>
          <w:lang w:val="es-ES"/>
        </w:rPr>
        <w:t xml:space="preserve">producto y en el empaque, de acuerdo a lo mencionado en la tabla </w:t>
      </w:r>
      <w:r w:rsidR="008526E3">
        <w:rPr>
          <w:lang w:val="es-ES"/>
        </w:rPr>
        <w:t>7</w:t>
      </w:r>
      <w:r>
        <w:rPr>
          <w:lang w:val="es-ES"/>
        </w:rPr>
        <w:t xml:space="preserve">. </w:t>
      </w:r>
    </w:p>
    <w:p w14:paraId="7C5B37A2" w14:textId="7DB961EF" w:rsidR="00D7433C" w:rsidRDefault="00D7433C">
      <w:pPr>
        <w:suppressAutoHyphens w:val="0"/>
        <w:rPr>
          <w:color w:val="A6A6A6" w:themeColor="background1" w:themeShade="A6"/>
          <w:lang w:val="es-ES"/>
        </w:rPr>
      </w:pPr>
      <w:r>
        <w:rPr>
          <w:color w:val="A6A6A6" w:themeColor="background1" w:themeShade="A6"/>
          <w:lang w:val="es-ES"/>
        </w:rPr>
        <w:br w:type="page"/>
      </w:r>
    </w:p>
    <w:p w14:paraId="52723E15" w14:textId="5394A119" w:rsidR="00943076" w:rsidRPr="00566934" w:rsidRDefault="00943076" w:rsidP="00943076">
      <w:pPr>
        <w:keepNext/>
        <w:keepLines/>
        <w:spacing w:before="0" w:after="0"/>
        <w:jc w:val="center"/>
        <w:rPr>
          <w:iCs/>
          <w:color w:val="002B7F"/>
          <w:szCs w:val="18"/>
          <w:lang w:val="es-ES"/>
        </w:rPr>
      </w:pPr>
      <w:r w:rsidRPr="00566934">
        <w:rPr>
          <w:iCs/>
          <w:color w:val="002B7F"/>
          <w:szCs w:val="18"/>
          <w:lang w:val="es-ES"/>
        </w:rPr>
        <w:lastRenderedPageBreak/>
        <w:t xml:space="preserve">Tabla </w:t>
      </w:r>
      <w:r w:rsidRPr="00566934">
        <w:rPr>
          <w:iCs/>
          <w:color w:val="002B7F"/>
          <w:szCs w:val="18"/>
          <w:lang w:val="es-ES"/>
        </w:rPr>
        <w:fldChar w:fldCharType="begin"/>
      </w:r>
      <w:r w:rsidRPr="00566934">
        <w:rPr>
          <w:iCs/>
          <w:color w:val="002B7F"/>
          <w:szCs w:val="18"/>
          <w:lang w:val="es-ES"/>
        </w:rPr>
        <w:instrText xml:space="preserve"> SEQ Tabla \* ARABIC </w:instrText>
      </w:r>
      <w:r w:rsidRPr="00566934">
        <w:rPr>
          <w:iCs/>
          <w:color w:val="002B7F"/>
          <w:szCs w:val="18"/>
          <w:lang w:val="es-ES"/>
        </w:rPr>
        <w:fldChar w:fldCharType="separate"/>
      </w:r>
      <w:r w:rsidR="005E6430">
        <w:rPr>
          <w:iCs/>
          <w:noProof/>
          <w:color w:val="002B7F"/>
          <w:szCs w:val="18"/>
          <w:lang w:val="es-ES"/>
        </w:rPr>
        <w:t>7</w:t>
      </w:r>
      <w:r w:rsidRPr="00566934">
        <w:rPr>
          <w:iCs/>
          <w:noProof/>
          <w:color w:val="002B7F"/>
          <w:szCs w:val="18"/>
          <w:lang w:val="es-ES"/>
        </w:rPr>
        <w:fldChar w:fldCharType="end"/>
      </w:r>
      <w:r w:rsidRPr="00566934">
        <w:rPr>
          <w:iCs/>
          <w:color w:val="002B7F"/>
          <w:szCs w:val="18"/>
          <w:lang w:val="es-ES"/>
        </w:rPr>
        <w:t xml:space="preserve"> – </w:t>
      </w:r>
      <w:r w:rsidR="00195F25">
        <w:rPr>
          <w:iCs/>
          <w:color w:val="002B7F"/>
          <w:szCs w:val="18"/>
          <w:lang w:val="es-ES"/>
        </w:rPr>
        <w:t xml:space="preserve">Marcado de </w:t>
      </w:r>
      <w:r>
        <w:rPr>
          <w:iCs/>
          <w:color w:val="002B7F"/>
          <w:szCs w:val="18"/>
          <w:lang w:val="es-ES"/>
        </w:rPr>
        <w:t>productos de iluminación</w:t>
      </w:r>
      <w:r w:rsidRPr="000B1B71">
        <w:rPr>
          <w:iCs/>
          <w:color w:val="002B7F"/>
          <w:szCs w:val="18"/>
          <w:lang w:val="es-ES"/>
        </w:rPr>
        <w:t xml:space="preserve"> – </w:t>
      </w:r>
      <w:r>
        <w:rPr>
          <w:iCs/>
          <w:color w:val="002B7F"/>
          <w:szCs w:val="18"/>
          <w:lang w:val="es-ES"/>
        </w:rPr>
        <w:t>México</w:t>
      </w:r>
    </w:p>
    <w:p w14:paraId="79F720B7" w14:textId="3012025E" w:rsidR="00943076" w:rsidRPr="00A96F74" w:rsidRDefault="00943076" w:rsidP="00943076">
      <w:pPr>
        <w:spacing w:before="0" w:after="140"/>
        <w:jc w:val="center"/>
        <w:rPr>
          <w:color w:val="002B7F"/>
          <w:lang w:val="es-ES"/>
        </w:rPr>
      </w:pPr>
      <w:r w:rsidRPr="00A96F74">
        <w:rPr>
          <w:i/>
          <w:color w:val="002B7F"/>
          <w:sz w:val="18"/>
          <w:lang w:val="es-ES"/>
        </w:rPr>
        <w:t>Fuente:</w:t>
      </w:r>
      <w:r w:rsidRPr="00E2630F">
        <w:rPr>
          <w:lang w:val="es-ES"/>
        </w:rPr>
        <w:t xml:space="preserve"> </w:t>
      </w:r>
      <w:r w:rsidRPr="00E2630F">
        <w:rPr>
          <w:rFonts w:cstheme="minorHAnsi"/>
          <w:color w:val="002B7F"/>
          <w:sz w:val="18"/>
          <w:lang w:val="es-PA"/>
        </w:rPr>
        <w:t xml:space="preserve">Elaboración propia en base de </w:t>
      </w:r>
      <w:r w:rsidR="00195F25">
        <w:rPr>
          <w:rFonts w:cstheme="minorHAnsi"/>
          <w:color w:val="002B7F"/>
          <w:sz w:val="18"/>
          <w:lang w:val="es-PA"/>
        </w:rPr>
        <w:t>las NOM-ENER mencionadas</w:t>
      </w:r>
    </w:p>
    <w:tbl>
      <w:tblPr>
        <w:tblW w:w="5084" w:type="pct"/>
        <w:jc w:val="center"/>
        <w:tblCellMar>
          <w:left w:w="10" w:type="dxa"/>
          <w:right w:w="10" w:type="dxa"/>
        </w:tblCellMar>
        <w:tblLook w:val="0000" w:firstRow="0" w:lastRow="0" w:firstColumn="0" w:lastColumn="0" w:noHBand="0" w:noVBand="0"/>
      </w:tblPr>
      <w:tblGrid>
        <w:gridCol w:w="2969"/>
        <w:gridCol w:w="2835"/>
        <w:gridCol w:w="2835"/>
      </w:tblGrid>
      <w:tr w:rsidR="00943076" w:rsidRPr="006C6495" w14:paraId="1138FC6F" w14:textId="77777777" w:rsidTr="00943076">
        <w:trPr>
          <w:jc w:val="center"/>
        </w:trPr>
        <w:tc>
          <w:tcPr>
            <w:tcW w:w="2969"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18AEF4DC" w14:textId="5D72DA01" w:rsidR="00943076" w:rsidRPr="00F87425" w:rsidRDefault="00943076" w:rsidP="00943076">
            <w:pPr>
              <w:suppressAutoHyphens w:val="0"/>
              <w:spacing w:before="0" w:after="0"/>
              <w:jc w:val="left"/>
              <w:textAlignment w:val="auto"/>
              <w:rPr>
                <w:rFonts w:eastAsia="Times New Roman"/>
                <w:b/>
                <w:color w:val="FFFFFF" w:themeColor="background1"/>
                <w:lang w:val="es-ES"/>
              </w:rPr>
            </w:pPr>
            <w:r>
              <w:rPr>
                <w:rFonts w:eastAsia="Times New Roman"/>
                <w:b/>
                <w:color w:val="FFFFFF" w:themeColor="background1"/>
                <w:lang w:val="es-ES"/>
              </w:rPr>
              <w:t>NOM-ENER</w:t>
            </w:r>
          </w:p>
        </w:tc>
        <w:tc>
          <w:tcPr>
            <w:tcW w:w="5670" w:type="dxa"/>
            <w:gridSpan w:val="2"/>
            <w:tcBorders>
              <w:top w:val="single" w:sz="6" w:space="0" w:color="5B9BD5"/>
              <w:bottom w:val="single" w:sz="6" w:space="0" w:color="5B9BD5"/>
            </w:tcBorders>
            <w:shd w:val="clear" w:color="auto" w:fill="5B9BD5"/>
            <w:tcMar>
              <w:top w:w="0" w:type="dxa"/>
              <w:left w:w="108" w:type="dxa"/>
              <w:bottom w:w="0" w:type="dxa"/>
              <w:right w:w="108" w:type="dxa"/>
            </w:tcMar>
          </w:tcPr>
          <w:p w14:paraId="59BF0BEA" w14:textId="20BB5C85" w:rsidR="00943076" w:rsidRPr="00F87425" w:rsidRDefault="00943076" w:rsidP="00943076">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Requisitos de marcado</w:t>
            </w:r>
          </w:p>
        </w:tc>
      </w:tr>
      <w:tr w:rsidR="00943076" w:rsidRPr="006C6495" w14:paraId="7D3A2B0D" w14:textId="77777777" w:rsidTr="00E77773">
        <w:trPr>
          <w:jc w:val="center"/>
        </w:trPr>
        <w:tc>
          <w:tcPr>
            <w:tcW w:w="2969" w:type="dxa"/>
            <w:tcBorders>
              <w:top w:val="single" w:sz="6" w:space="0" w:color="5B9BD5"/>
              <w:left w:val="single" w:sz="6" w:space="0" w:color="5B9BD5"/>
              <w:bottom w:val="single" w:sz="6" w:space="0" w:color="5B9BD5"/>
            </w:tcBorders>
            <w:shd w:val="clear" w:color="auto" w:fill="9CC2E5"/>
            <w:tcMar>
              <w:top w:w="0" w:type="dxa"/>
              <w:left w:w="108" w:type="dxa"/>
              <w:bottom w:w="0" w:type="dxa"/>
              <w:right w:w="108" w:type="dxa"/>
            </w:tcMar>
          </w:tcPr>
          <w:p w14:paraId="1B6E672D" w14:textId="77777777" w:rsidR="00943076" w:rsidRDefault="00943076" w:rsidP="00943076">
            <w:pPr>
              <w:suppressAutoHyphens w:val="0"/>
              <w:spacing w:before="0" w:after="0"/>
              <w:jc w:val="left"/>
              <w:textAlignment w:val="auto"/>
              <w:rPr>
                <w:rFonts w:eastAsia="Times New Roman"/>
                <w:b/>
                <w:color w:val="FFFFFF" w:themeColor="background1"/>
                <w:lang w:val="es-ES"/>
              </w:rPr>
            </w:pPr>
          </w:p>
        </w:tc>
        <w:tc>
          <w:tcPr>
            <w:tcW w:w="2835" w:type="dxa"/>
            <w:tcBorders>
              <w:top w:val="single" w:sz="6" w:space="0" w:color="5B9BD5"/>
              <w:bottom w:val="single" w:sz="6" w:space="0" w:color="5B9BD5"/>
            </w:tcBorders>
            <w:shd w:val="clear" w:color="auto" w:fill="9CC2E5"/>
            <w:tcMar>
              <w:top w:w="0" w:type="dxa"/>
              <w:left w:w="108" w:type="dxa"/>
              <w:bottom w:w="0" w:type="dxa"/>
              <w:right w:w="108" w:type="dxa"/>
            </w:tcMar>
          </w:tcPr>
          <w:p w14:paraId="7578F89E" w14:textId="4A37C28B" w:rsidR="00943076" w:rsidRDefault="00943076" w:rsidP="00943076">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 xml:space="preserve">En el </w:t>
            </w:r>
            <w:r w:rsidR="00E77773">
              <w:rPr>
                <w:rFonts w:cs="Calibri"/>
                <w:b/>
                <w:bCs/>
                <w:color w:val="FFFFFF" w:themeColor="background1"/>
                <w:lang w:val="es-PA"/>
              </w:rPr>
              <w:t xml:space="preserve">cuerpo del </w:t>
            </w:r>
            <w:r>
              <w:rPr>
                <w:rFonts w:cs="Calibri"/>
                <w:b/>
                <w:bCs/>
                <w:color w:val="FFFFFF" w:themeColor="background1"/>
                <w:lang w:val="es-PA"/>
              </w:rPr>
              <w:t>producto</w:t>
            </w:r>
          </w:p>
        </w:tc>
        <w:tc>
          <w:tcPr>
            <w:tcW w:w="2835" w:type="dxa"/>
            <w:tcBorders>
              <w:top w:val="single" w:sz="6" w:space="0" w:color="5B9BD5"/>
              <w:bottom w:val="single" w:sz="6" w:space="0" w:color="5B9BD5"/>
            </w:tcBorders>
            <w:shd w:val="clear" w:color="auto" w:fill="9CC2E5"/>
            <w:tcMar>
              <w:top w:w="0" w:type="dxa"/>
              <w:left w:w="108" w:type="dxa"/>
              <w:bottom w:w="0" w:type="dxa"/>
              <w:right w:w="108" w:type="dxa"/>
            </w:tcMar>
          </w:tcPr>
          <w:p w14:paraId="3CE6CC58" w14:textId="36BB25D1" w:rsidR="00943076" w:rsidRDefault="00943076" w:rsidP="00943076">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En el empaque</w:t>
            </w:r>
          </w:p>
        </w:tc>
      </w:tr>
      <w:tr w:rsidR="00943076" w:rsidRPr="00E77773" w14:paraId="01522B60" w14:textId="77777777" w:rsidTr="00E77773">
        <w:trPr>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F8C4C9D" w14:textId="0F91D75F" w:rsidR="00943076" w:rsidRPr="00D7433C" w:rsidRDefault="00943076" w:rsidP="00943076">
            <w:pPr>
              <w:suppressAutoHyphens w:val="0"/>
              <w:spacing w:before="0" w:after="0"/>
              <w:jc w:val="left"/>
              <w:textAlignment w:val="auto"/>
              <w:rPr>
                <w:rFonts w:eastAsia="Times New Roman"/>
                <w:color w:val="auto"/>
                <w:sz w:val="20"/>
                <w:szCs w:val="20"/>
                <w:lang w:val="es-ES"/>
              </w:rPr>
            </w:pPr>
            <w:r w:rsidRPr="00D7433C">
              <w:rPr>
                <w:rFonts w:eastAsia="Times New Roman"/>
                <w:color w:val="auto"/>
                <w:sz w:val="20"/>
                <w:szCs w:val="20"/>
                <w:lang w:val="es-ES"/>
              </w:rPr>
              <w:t>NOM-028-ENER-2010</w:t>
            </w:r>
          </w:p>
          <w:p w14:paraId="5238DB6E" w14:textId="1FE42241" w:rsidR="00943076" w:rsidRPr="00D7433C" w:rsidRDefault="00943076" w:rsidP="00943076">
            <w:pPr>
              <w:suppressAutoHyphens w:val="0"/>
              <w:spacing w:before="0" w:after="0"/>
              <w:jc w:val="left"/>
              <w:textAlignment w:val="auto"/>
              <w:rPr>
                <w:rFonts w:eastAsia="Times New Roman"/>
                <w:color w:val="auto"/>
                <w:sz w:val="20"/>
                <w:szCs w:val="20"/>
                <w:lang w:val="es-ES"/>
              </w:rPr>
            </w:pPr>
            <w:r w:rsidRPr="00D7433C">
              <w:rPr>
                <w:rFonts w:eastAsia="Times New Roman"/>
                <w:color w:val="auto"/>
                <w:sz w:val="20"/>
                <w:szCs w:val="20"/>
                <w:lang w:val="es-ES"/>
              </w:rPr>
              <w:t xml:space="preserve">Lámparas para uso general </w:t>
            </w: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A46F223" w14:textId="07BA2853" w:rsidR="00E77773" w:rsidRPr="00D7433C" w:rsidRDefault="00E77773" w:rsidP="00E77773">
            <w:pPr>
              <w:suppressAutoHyphens w:val="0"/>
              <w:spacing w:before="0" w:after="0"/>
              <w:jc w:val="center"/>
              <w:textAlignment w:val="auto"/>
              <w:rPr>
                <w:rFonts w:eastAsia="Times New Roman"/>
                <w:sz w:val="20"/>
                <w:szCs w:val="20"/>
                <w:lang w:val="es-ES"/>
              </w:rPr>
            </w:pPr>
            <w:r w:rsidRPr="00D7433C">
              <w:rPr>
                <w:rFonts w:eastAsia="Times New Roman"/>
                <w:sz w:val="20"/>
                <w:szCs w:val="20"/>
                <w:lang w:val="es-ES"/>
              </w:rPr>
              <w:t>–</w:t>
            </w: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EC40720" w14:textId="60DA8417" w:rsidR="00E77773" w:rsidRPr="00D7433C" w:rsidRDefault="00E77773" w:rsidP="00E77773">
            <w:pPr>
              <w:suppressAutoHyphens w:val="0"/>
              <w:spacing w:before="0" w:after="0"/>
              <w:jc w:val="center"/>
              <w:textAlignment w:val="auto"/>
              <w:rPr>
                <w:rFonts w:eastAsia="Times New Roman"/>
                <w:sz w:val="20"/>
                <w:szCs w:val="20"/>
                <w:lang w:val="es-ES"/>
              </w:rPr>
            </w:pPr>
            <w:r w:rsidRPr="00D7433C">
              <w:rPr>
                <w:rFonts w:eastAsia="Times New Roman"/>
                <w:sz w:val="20"/>
                <w:szCs w:val="20"/>
                <w:lang w:val="es-ES"/>
              </w:rPr>
              <w:t>–</w:t>
            </w:r>
          </w:p>
        </w:tc>
      </w:tr>
      <w:tr w:rsidR="00943076" w:rsidRPr="00914127" w14:paraId="774C57F8" w14:textId="77777777" w:rsidTr="00E77773">
        <w:trPr>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8569FB2" w14:textId="77D6131E" w:rsidR="00943076" w:rsidRPr="00D7433C" w:rsidRDefault="00943076" w:rsidP="00943076">
            <w:pPr>
              <w:suppressAutoHyphens w:val="0"/>
              <w:spacing w:before="0" w:after="0"/>
              <w:jc w:val="left"/>
              <w:textAlignment w:val="auto"/>
              <w:rPr>
                <w:rFonts w:eastAsia="Times New Roman"/>
                <w:color w:val="auto"/>
                <w:sz w:val="20"/>
                <w:szCs w:val="20"/>
                <w:lang w:val="es-ES"/>
              </w:rPr>
            </w:pPr>
            <w:r w:rsidRPr="00D7433C">
              <w:rPr>
                <w:rFonts w:eastAsia="Times New Roman"/>
                <w:color w:val="auto"/>
                <w:sz w:val="20"/>
                <w:szCs w:val="20"/>
                <w:lang w:val="es-ES"/>
              </w:rPr>
              <w:t>PROY-NOM-028-ENER-2017  Lámparas para uso general</w:t>
            </w: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E3954BE" w14:textId="174A48E4" w:rsidR="00943076" w:rsidRPr="00D7433C" w:rsidRDefault="00E77773" w:rsidP="00E77773">
            <w:pPr>
              <w:suppressAutoHyphens w:val="0"/>
              <w:spacing w:before="0" w:after="0"/>
              <w:jc w:val="center"/>
              <w:textAlignment w:val="auto"/>
              <w:rPr>
                <w:rFonts w:eastAsia="Times New Roman"/>
                <w:sz w:val="20"/>
                <w:szCs w:val="20"/>
                <w:lang w:val="es-ES"/>
              </w:rPr>
            </w:pPr>
            <w:r w:rsidRPr="00D7433C">
              <w:rPr>
                <w:rFonts w:eastAsia="Times New Roman"/>
                <w:sz w:val="20"/>
                <w:szCs w:val="20"/>
                <w:lang w:val="es-ES"/>
              </w:rPr>
              <w:t>–</w:t>
            </w: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C9D12CF" w14:textId="77777777" w:rsidR="00943076" w:rsidRPr="00D7433C" w:rsidRDefault="00E77773" w:rsidP="00E77773">
            <w:pPr>
              <w:suppressAutoHyphens w:val="0"/>
              <w:spacing w:before="0" w:after="0"/>
              <w:jc w:val="left"/>
              <w:textAlignment w:val="auto"/>
              <w:rPr>
                <w:rFonts w:eastAsia="Times New Roman"/>
                <w:sz w:val="20"/>
                <w:szCs w:val="20"/>
                <w:lang w:val="es-ES"/>
              </w:rPr>
            </w:pPr>
            <w:r w:rsidRPr="00D7433C">
              <w:rPr>
                <w:rFonts w:eastAsia="Times New Roman"/>
                <w:sz w:val="20"/>
                <w:szCs w:val="20"/>
                <w:lang w:val="es-ES"/>
              </w:rPr>
              <w:t>Datos eléctricos nominales: tensión, frecuencia, potencia e intensidad de corriente eléctrica</w:t>
            </w:r>
          </w:p>
          <w:p w14:paraId="3874E39A" w14:textId="29FB21C7" w:rsidR="00E77773" w:rsidRPr="00D7433C" w:rsidRDefault="001B568B" w:rsidP="001B568B">
            <w:pPr>
              <w:suppressAutoHyphens w:val="0"/>
              <w:spacing w:before="0" w:after="0"/>
              <w:jc w:val="left"/>
              <w:textAlignment w:val="auto"/>
              <w:rPr>
                <w:rFonts w:eastAsia="Times New Roman"/>
                <w:sz w:val="20"/>
                <w:szCs w:val="20"/>
                <w:lang w:val="es-ES"/>
              </w:rPr>
            </w:pPr>
            <w:r w:rsidRPr="00D7433C">
              <w:rPr>
                <w:rFonts w:eastAsia="Times New Roman"/>
                <w:sz w:val="20"/>
                <w:szCs w:val="20"/>
                <w:lang w:val="es-ES"/>
              </w:rPr>
              <w:t>Indicación de "Espectro Modificado" (</w:t>
            </w:r>
            <w:r w:rsidR="00552BF6" w:rsidRPr="00D7433C">
              <w:rPr>
                <w:rFonts w:eastAsia="Times New Roman"/>
                <w:sz w:val="20"/>
                <w:szCs w:val="20"/>
                <w:lang w:val="es-ES"/>
              </w:rPr>
              <w:t>Lámparas</w:t>
            </w:r>
            <w:r w:rsidRPr="00D7433C">
              <w:rPr>
                <w:rFonts w:eastAsia="Times New Roman"/>
                <w:sz w:val="20"/>
                <w:szCs w:val="20"/>
                <w:lang w:val="es-ES"/>
              </w:rPr>
              <w:t xml:space="preserve"> incandescentes e incandescentes con halógeno de espectro modificado)</w:t>
            </w:r>
          </w:p>
        </w:tc>
      </w:tr>
      <w:tr w:rsidR="00943076" w:rsidRPr="00F87425" w14:paraId="18B60397" w14:textId="77777777" w:rsidTr="00E77773">
        <w:trPr>
          <w:trHeight w:val="242"/>
          <w:jc w:val="center"/>
        </w:trPr>
        <w:tc>
          <w:tcPr>
            <w:tcW w:w="2969"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691FA593" w14:textId="77777777" w:rsidR="00943076" w:rsidRPr="00D7433C" w:rsidRDefault="00943076" w:rsidP="00943076">
            <w:pPr>
              <w:suppressAutoHyphens w:val="0"/>
              <w:spacing w:before="0" w:after="0"/>
              <w:jc w:val="left"/>
              <w:textAlignment w:val="auto"/>
              <w:rPr>
                <w:rFonts w:eastAsia="Times New Roman"/>
                <w:color w:val="auto"/>
                <w:sz w:val="20"/>
                <w:szCs w:val="20"/>
                <w:lang w:val="es-ES"/>
              </w:rPr>
            </w:pPr>
            <w:r w:rsidRPr="00D7433C">
              <w:rPr>
                <w:rFonts w:eastAsia="Times New Roman"/>
                <w:color w:val="auto"/>
                <w:sz w:val="20"/>
                <w:szCs w:val="20"/>
                <w:lang w:val="es-ES"/>
              </w:rPr>
              <w:t>NOM-017-ENER/SCFI-2012</w:t>
            </w:r>
          </w:p>
          <w:p w14:paraId="46D7BACE" w14:textId="43983CE6" w:rsidR="00943076" w:rsidRPr="00D7433C" w:rsidRDefault="00943076" w:rsidP="00943076">
            <w:pPr>
              <w:suppressAutoHyphens w:val="0"/>
              <w:spacing w:before="0" w:after="0"/>
              <w:jc w:val="left"/>
              <w:textAlignment w:val="auto"/>
              <w:rPr>
                <w:rFonts w:eastAsia="Times New Roman"/>
                <w:color w:val="auto"/>
                <w:sz w:val="20"/>
                <w:szCs w:val="20"/>
                <w:lang w:val="es-ES"/>
              </w:rPr>
            </w:pPr>
            <w:r w:rsidRPr="00D7433C">
              <w:rPr>
                <w:rFonts w:eastAsia="Times New Roman"/>
                <w:color w:val="auto"/>
                <w:sz w:val="20"/>
                <w:szCs w:val="20"/>
                <w:lang w:val="es-ES"/>
              </w:rPr>
              <w:t xml:space="preserve">LFC autobalastradas </w:t>
            </w:r>
          </w:p>
        </w:tc>
        <w:tc>
          <w:tcPr>
            <w:tcW w:w="2835"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06A1FBA3" w14:textId="77777777" w:rsidR="00E77773" w:rsidRPr="00D7433C" w:rsidRDefault="00E77773" w:rsidP="00E77773">
            <w:pPr>
              <w:suppressAutoHyphens w:val="0"/>
              <w:spacing w:before="0" w:after="0"/>
              <w:jc w:val="left"/>
              <w:textAlignment w:val="auto"/>
              <w:rPr>
                <w:rFonts w:eastAsia="Times New Roman"/>
                <w:sz w:val="20"/>
                <w:szCs w:val="20"/>
                <w:lang w:val="es-ES"/>
              </w:rPr>
            </w:pPr>
            <w:r w:rsidRPr="00D7433C">
              <w:rPr>
                <w:rFonts w:eastAsia="Times New Roman"/>
                <w:sz w:val="20"/>
                <w:szCs w:val="20"/>
                <w:lang w:val="es-ES"/>
              </w:rPr>
              <w:t xml:space="preserve">Datos eléctricos nominales: tensión, frecuencia, potencia e intensidad de corriente eléctrica </w:t>
            </w:r>
          </w:p>
          <w:p w14:paraId="5D265876" w14:textId="0F3F5E28" w:rsidR="00943076" w:rsidRPr="00D7433C" w:rsidRDefault="00E77773" w:rsidP="00E77773">
            <w:pPr>
              <w:suppressAutoHyphens w:val="0"/>
              <w:spacing w:before="0" w:after="0"/>
              <w:jc w:val="left"/>
              <w:textAlignment w:val="auto"/>
              <w:rPr>
                <w:rFonts w:eastAsia="Times New Roman"/>
                <w:sz w:val="20"/>
                <w:szCs w:val="20"/>
                <w:lang w:val="es-ES"/>
              </w:rPr>
            </w:pPr>
            <w:r w:rsidRPr="00D7433C">
              <w:rPr>
                <w:rFonts w:eastAsia="Times New Roman"/>
                <w:sz w:val="20"/>
                <w:szCs w:val="20"/>
                <w:lang w:val="es-ES"/>
              </w:rPr>
              <w:t>Facultativo: (alto) factor de potencia</w:t>
            </w:r>
          </w:p>
        </w:tc>
        <w:tc>
          <w:tcPr>
            <w:tcW w:w="2835"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153DF800" w14:textId="77777777" w:rsidR="00E77773" w:rsidRPr="00D7433C" w:rsidRDefault="00E77773" w:rsidP="00E77773">
            <w:pPr>
              <w:suppressAutoHyphens w:val="0"/>
              <w:spacing w:before="0" w:after="0"/>
              <w:jc w:val="left"/>
              <w:textAlignment w:val="auto"/>
              <w:rPr>
                <w:rFonts w:eastAsia="Times New Roman"/>
                <w:sz w:val="20"/>
                <w:szCs w:val="20"/>
                <w:lang w:val="es-ES"/>
              </w:rPr>
            </w:pPr>
            <w:r w:rsidRPr="00D7433C">
              <w:rPr>
                <w:rFonts w:eastAsia="Times New Roman"/>
                <w:sz w:val="20"/>
                <w:szCs w:val="20"/>
                <w:lang w:val="es-ES"/>
              </w:rPr>
              <w:t>Datos eléctricos nominales: tensión, frecuencia, potencia e intensidad de corriente eléctrica</w:t>
            </w:r>
          </w:p>
          <w:p w14:paraId="055FE481" w14:textId="77777777" w:rsidR="00E77773" w:rsidRPr="00D7433C" w:rsidRDefault="00E77773" w:rsidP="00E77773">
            <w:pPr>
              <w:suppressAutoHyphens w:val="0"/>
              <w:spacing w:before="0" w:after="0"/>
              <w:jc w:val="left"/>
              <w:textAlignment w:val="auto"/>
              <w:rPr>
                <w:rFonts w:eastAsia="Times New Roman"/>
                <w:sz w:val="20"/>
                <w:szCs w:val="20"/>
                <w:lang w:val="es-ES"/>
              </w:rPr>
            </w:pPr>
            <w:r w:rsidRPr="00D7433C">
              <w:rPr>
                <w:rFonts w:eastAsia="Times New Roman"/>
                <w:sz w:val="20"/>
                <w:szCs w:val="20"/>
                <w:lang w:val="es-ES"/>
              </w:rPr>
              <w:t>Indicación de la equivalencia en potencia eléctrica consumida y flujo luminoso total, respecto a las lámparas incandescentes que sustituye</w:t>
            </w:r>
          </w:p>
          <w:p w14:paraId="231C88BA" w14:textId="4ACDEDCC" w:rsidR="00943076" w:rsidRPr="00D7433C" w:rsidRDefault="00E77773" w:rsidP="00E77773">
            <w:pPr>
              <w:suppressAutoHyphens w:val="0"/>
              <w:spacing w:before="0" w:after="0"/>
              <w:jc w:val="left"/>
              <w:textAlignment w:val="auto"/>
              <w:rPr>
                <w:rFonts w:eastAsia="Times New Roman"/>
                <w:sz w:val="20"/>
                <w:szCs w:val="20"/>
                <w:lang w:val="es-ES"/>
              </w:rPr>
            </w:pPr>
            <w:r w:rsidRPr="00D7433C">
              <w:rPr>
                <w:rFonts w:eastAsia="Times New Roman"/>
                <w:sz w:val="20"/>
                <w:szCs w:val="20"/>
                <w:lang w:val="es-ES"/>
              </w:rPr>
              <w:t>Indicación que contiene mercurio</w:t>
            </w:r>
          </w:p>
        </w:tc>
      </w:tr>
      <w:tr w:rsidR="00943076" w:rsidRPr="00914127" w14:paraId="0007FF90" w14:textId="77777777" w:rsidTr="00E77773">
        <w:trPr>
          <w:trHeight w:val="276"/>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E2832DD" w14:textId="77777777" w:rsidR="00943076" w:rsidRPr="00D7433C" w:rsidRDefault="00943076" w:rsidP="00943076">
            <w:pPr>
              <w:suppressAutoHyphens w:val="0"/>
              <w:spacing w:before="0" w:after="0"/>
              <w:jc w:val="left"/>
              <w:textAlignment w:val="auto"/>
              <w:rPr>
                <w:rFonts w:eastAsia="Times New Roman"/>
                <w:color w:val="auto"/>
                <w:sz w:val="20"/>
                <w:szCs w:val="20"/>
                <w:lang w:val="es-ES"/>
              </w:rPr>
            </w:pPr>
            <w:r w:rsidRPr="00D7433C">
              <w:rPr>
                <w:rFonts w:eastAsia="Times New Roman"/>
                <w:color w:val="auto"/>
                <w:sz w:val="20"/>
                <w:szCs w:val="20"/>
                <w:lang w:val="es-ES"/>
              </w:rPr>
              <w:t>NOM-030-ENER-2016</w:t>
            </w:r>
          </w:p>
          <w:p w14:paraId="19B47E4A" w14:textId="3733F578" w:rsidR="00943076" w:rsidRPr="00D7433C" w:rsidRDefault="00943076" w:rsidP="00943076">
            <w:pPr>
              <w:suppressAutoHyphens w:val="0"/>
              <w:spacing w:before="0" w:after="0"/>
              <w:jc w:val="left"/>
              <w:textAlignment w:val="auto"/>
              <w:rPr>
                <w:rFonts w:eastAsia="Times New Roman"/>
                <w:color w:val="auto"/>
                <w:sz w:val="20"/>
                <w:szCs w:val="20"/>
                <w:lang w:val="es-ES"/>
              </w:rPr>
            </w:pPr>
            <w:r w:rsidRPr="00D7433C">
              <w:rPr>
                <w:rFonts w:eastAsia="Times New Roman"/>
                <w:color w:val="auto"/>
                <w:sz w:val="20"/>
                <w:szCs w:val="20"/>
                <w:lang w:val="es-ES"/>
              </w:rPr>
              <w:t>Lámparas LED integradas para iluminación general</w:t>
            </w: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6FE04F6" w14:textId="77777777" w:rsidR="00943076" w:rsidRPr="00D7433C" w:rsidRDefault="001B568B" w:rsidP="00E77773">
            <w:pPr>
              <w:suppressAutoHyphens w:val="0"/>
              <w:spacing w:before="0" w:after="0"/>
              <w:jc w:val="left"/>
              <w:textAlignment w:val="auto"/>
              <w:rPr>
                <w:rFonts w:eastAsia="Times New Roman"/>
                <w:sz w:val="20"/>
                <w:szCs w:val="20"/>
                <w:lang w:val="es-ES"/>
              </w:rPr>
            </w:pPr>
            <w:r w:rsidRPr="00D7433C">
              <w:rPr>
                <w:rFonts w:eastAsia="Times New Roman"/>
                <w:sz w:val="20"/>
                <w:szCs w:val="20"/>
                <w:lang w:val="es-ES"/>
              </w:rPr>
              <w:t>Datos eléctricos nominales: tensión, frecuencia, potencia e intensidad de corriente eléctrica</w:t>
            </w:r>
          </w:p>
          <w:p w14:paraId="10FE8B6F" w14:textId="77777777" w:rsidR="001B568B" w:rsidRPr="00D7433C" w:rsidRDefault="001B568B" w:rsidP="00E77773">
            <w:pPr>
              <w:suppressAutoHyphens w:val="0"/>
              <w:spacing w:before="0" w:after="0"/>
              <w:jc w:val="left"/>
              <w:textAlignment w:val="auto"/>
              <w:rPr>
                <w:rFonts w:eastAsia="Times New Roman"/>
                <w:sz w:val="20"/>
                <w:szCs w:val="20"/>
                <w:lang w:val="es-ES"/>
              </w:rPr>
            </w:pPr>
            <w:r w:rsidRPr="00D7433C">
              <w:rPr>
                <w:rFonts w:eastAsia="Times New Roman"/>
                <w:sz w:val="20"/>
                <w:szCs w:val="20"/>
                <w:lang w:val="es-ES"/>
              </w:rPr>
              <w:t>Flujo luminoso</w:t>
            </w:r>
          </w:p>
          <w:p w14:paraId="3C5DACD5" w14:textId="09FC7064" w:rsidR="001B568B" w:rsidRPr="00D7433C" w:rsidRDefault="001B568B" w:rsidP="00E77773">
            <w:pPr>
              <w:suppressAutoHyphens w:val="0"/>
              <w:spacing w:before="0" w:after="0"/>
              <w:jc w:val="left"/>
              <w:textAlignment w:val="auto"/>
              <w:rPr>
                <w:rFonts w:eastAsia="Times New Roman"/>
                <w:sz w:val="20"/>
                <w:szCs w:val="20"/>
                <w:lang w:val="es-ES"/>
              </w:rPr>
            </w:pPr>
            <w:r w:rsidRPr="00D7433C">
              <w:rPr>
                <w:rFonts w:eastAsia="Times New Roman"/>
                <w:sz w:val="20"/>
                <w:szCs w:val="20"/>
                <w:lang w:val="es-ES"/>
              </w:rPr>
              <w:t>Facultativo: (alto) factor de potencia</w:t>
            </w: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943F44A" w14:textId="77777777" w:rsidR="00943076" w:rsidRPr="00D7433C" w:rsidRDefault="001B568B" w:rsidP="00E77773">
            <w:pPr>
              <w:suppressAutoHyphens w:val="0"/>
              <w:spacing w:before="0" w:after="0"/>
              <w:jc w:val="left"/>
              <w:textAlignment w:val="auto"/>
              <w:rPr>
                <w:rFonts w:eastAsia="Times New Roman"/>
                <w:sz w:val="20"/>
                <w:szCs w:val="20"/>
                <w:lang w:val="es-ES"/>
              </w:rPr>
            </w:pPr>
            <w:r w:rsidRPr="00D7433C">
              <w:rPr>
                <w:rFonts w:eastAsia="Times New Roman"/>
                <w:sz w:val="20"/>
                <w:szCs w:val="20"/>
                <w:lang w:val="es-ES"/>
              </w:rPr>
              <w:t>Datos eléctricos nominales: tensión, frecuencia, potencia e intensidad de corriente eléctrica</w:t>
            </w:r>
          </w:p>
          <w:p w14:paraId="043619DC" w14:textId="30A31475" w:rsidR="001B568B" w:rsidRPr="00D7433C" w:rsidRDefault="001B568B" w:rsidP="00E77773">
            <w:pPr>
              <w:suppressAutoHyphens w:val="0"/>
              <w:spacing w:before="0" w:after="0"/>
              <w:jc w:val="left"/>
              <w:textAlignment w:val="auto"/>
              <w:rPr>
                <w:rFonts w:eastAsia="Times New Roman"/>
                <w:sz w:val="20"/>
                <w:szCs w:val="20"/>
                <w:lang w:val="es-ES"/>
              </w:rPr>
            </w:pPr>
            <w:r w:rsidRPr="00D7433C">
              <w:rPr>
                <w:rFonts w:eastAsia="Times New Roman"/>
                <w:sz w:val="20"/>
                <w:szCs w:val="20"/>
                <w:lang w:val="es-ES"/>
              </w:rPr>
              <w:t xml:space="preserve">Tipo de distribución </w:t>
            </w:r>
            <w:r w:rsidR="00601518">
              <w:rPr>
                <w:rFonts w:eastAsia="Times New Roman"/>
                <w:sz w:val="20"/>
                <w:szCs w:val="20"/>
                <w:lang w:val="es-ES"/>
              </w:rPr>
              <w:t>e</w:t>
            </w:r>
            <w:r w:rsidRPr="00D7433C">
              <w:rPr>
                <w:rFonts w:eastAsia="Times New Roman"/>
                <w:sz w:val="20"/>
                <w:szCs w:val="20"/>
                <w:lang w:val="es-ES"/>
              </w:rPr>
              <w:t>spacial de luz y tipo de bulbo</w:t>
            </w:r>
          </w:p>
          <w:p w14:paraId="10D09EF4" w14:textId="77777777" w:rsidR="001B568B" w:rsidRPr="00D7433C" w:rsidRDefault="001B568B" w:rsidP="00E77773">
            <w:pPr>
              <w:suppressAutoHyphens w:val="0"/>
              <w:spacing w:before="0" w:after="0"/>
              <w:jc w:val="left"/>
              <w:textAlignment w:val="auto"/>
              <w:rPr>
                <w:rFonts w:eastAsia="Times New Roman"/>
                <w:sz w:val="20"/>
                <w:szCs w:val="20"/>
                <w:lang w:val="es-ES"/>
              </w:rPr>
            </w:pPr>
            <w:r w:rsidRPr="00D7433C">
              <w:rPr>
                <w:rFonts w:eastAsia="Times New Roman"/>
                <w:sz w:val="20"/>
                <w:szCs w:val="20"/>
                <w:lang w:val="es-ES"/>
              </w:rPr>
              <w:t>Flujo luminoso nominal</w:t>
            </w:r>
          </w:p>
          <w:p w14:paraId="238E750F" w14:textId="77777777" w:rsidR="001B568B" w:rsidRPr="00D7433C" w:rsidRDefault="001B568B" w:rsidP="00E77773">
            <w:pPr>
              <w:suppressAutoHyphens w:val="0"/>
              <w:spacing w:before="0" w:after="0"/>
              <w:jc w:val="left"/>
              <w:textAlignment w:val="auto"/>
              <w:rPr>
                <w:rFonts w:eastAsia="Times New Roman"/>
                <w:sz w:val="20"/>
                <w:szCs w:val="20"/>
                <w:lang w:val="es-ES"/>
              </w:rPr>
            </w:pPr>
            <w:r w:rsidRPr="00D7433C">
              <w:rPr>
                <w:rFonts w:eastAsia="Times New Roman"/>
                <w:sz w:val="20"/>
                <w:szCs w:val="20"/>
                <w:lang w:val="es-ES"/>
              </w:rPr>
              <w:t>Temperatura de color correlacionada</w:t>
            </w:r>
          </w:p>
          <w:p w14:paraId="7204D6E0" w14:textId="77777777" w:rsidR="001B568B" w:rsidRPr="00D7433C" w:rsidRDefault="001B568B" w:rsidP="00E77773">
            <w:pPr>
              <w:suppressAutoHyphens w:val="0"/>
              <w:spacing w:before="0" w:after="0"/>
              <w:jc w:val="left"/>
              <w:textAlignment w:val="auto"/>
              <w:rPr>
                <w:rFonts w:eastAsia="Times New Roman"/>
                <w:sz w:val="20"/>
                <w:szCs w:val="20"/>
                <w:lang w:val="es-ES"/>
              </w:rPr>
            </w:pPr>
            <w:r w:rsidRPr="00D7433C">
              <w:rPr>
                <w:rFonts w:eastAsia="Times New Roman"/>
                <w:sz w:val="20"/>
                <w:szCs w:val="20"/>
                <w:lang w:val="es-ES"/>
              </w:rPr>
              <w:t>Vida útil nominal (en horas)</w:t>
            </w:r>
          </w:p>
          <w:p w14:paraId="70BC39F2" w14:textId="60E6434A" w:rsidR="001B568B" w:rsidRPr="00D7433C" w:rsidRDefault="001B568B" w:rsidP="00E77773">
            <w:pPr>
              <w:suppressAutoHyphens w:val="0"/>
              <w:spacing w:before="0" w:after="0"/>
              <w:jc w:val="left"/>
              <w:textAlignment w:val="auto"/>
              <w:rPr>
                <w:rFonts w:eastAsia="Times New Roman"/>
                <w:sz w:val="20"/>
                <w:szCs w:val="20"/>
                <w:lang w:val="es-ES"/>
              </w:rPr>
            </w:pPr>
            <w:r w:rsidRPr="00D7433C">
              <w:rPr>
                <w:rFonts w:eastAsia="Times New Roman"/>
                <w:sz w:val="20"/>
                <w:szCs w:val="20"/>
                <w:lang w:val="es-ES"/>
              </w:rPr>
              <w:t>Indicación de la equivalencia en potencia eléctrica consumida y flujo luminoso total, respecto a las lámparas incandescentes que sustituye</w:t>
            </w:r>
          </w:p>
        </w:tc>
      </w:tr>
      <w:tr w:rsidR="00943076" w:rsidRPr="00914127" w14:paraId="1E319497" w14:textId="77777777" w:rsidTr="00E77773">
        <w:trPr>
          <w:trHeight w:val="276"/>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BE1B410" w14:textId="77777777" w:rsidR="00943076" w:rsidRPr="00D7433C" w:rsidRDefault="00943076" w:rsidP="00943076">
            <w:pPr>
              <w:suppressAutoHyphens w:val="0"/>
              <w:spacing w:before="0" w:after="0"/>
              <w:jc w:val="left"/>
              <w:textAlignment w:val="auto"/>
              <w:rPr>
                <w:rFonts w:eastAsia="Times New Roman"/>
                <w:color w:val="auto"/>
                <w:sz w:val="20"/>
                <w:szCs w:val="20"/>
                <w:lang w:val="es-ES"/>
              </w:rPr>
            </w:pPr>
            <w:r w:rsidRPr="00D7433C">
              <w:rPr>
                <w:rFonts w:eastAsia="Times New Roman"/>
                <w:color w:val="auto"/>
                <w:sz w:val="20"/>
                <w:szCs w:val="20"/>
                <w:lang w:val="es-ES"/>
              </w:rPr>
              <w:t>NOM-031-ENER-2012</w:t>
            </w:r>
          </w:p>
          <w:p w14:paraId="4DE3FA86" w14:textId="2C3E4A36" w:rsidR="00943076" w:rsidRPr="00D7433C" w:rsidRDefault="00943076" w:rsidP="00943076">
            <w:pPr>
              <w:suppressAutoHyphens w:val="0"/>
              <w:spacing w:before="0" w:after="0"/>
              <w:jc w:val="left"/>
              <w:textAlignment w:val="auto"/>
              <w:rPr>
                <w:rFonts w:eastAsia="Times New Roman"/>
                <w:color w:val="auto"/>
                <w:sz w:val="20"/>
                <w:szCs w:val="20"/>
                <w:lang w:val="es-ES"/>
              </w:rPr>
            </w:pPr>
            <w:r w:rsidRPr="00D7433C">
              <w:rPr>
                <w:rFonts w:eastAsia="Times New Roman"/>
                <w:color w:val="auto"/>
                <w:sz w:val="20"/>
                <w:szCs w:val="20"/>
                <w:lang w:val="es-ES"/>
              </w:rPr>
              <w:t>Lámparas LED vialidades y áreas exteriores públicas</w:t>
            </w:r>
            <w:r w:rsidR="00193D25">
              <w:rPr>
                <w:rFonts w:eastAsia="Times New Roman"/>
                <w:color w:val="auto"/>
                <w:sz w:val="20"/>
                <w:szCs w:val="20"/>
                <w:lang w:val="es-ES"/>
              </w:rPr>
              <w:t xml:space="preserve"> *) </w:t>
            </w: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6A3A231" w14:textId="77777777" w:rsidR="00943076" w:rsidRDefault="00193D25" w:rsidP="00193D25">
            <w:pPr>
              <w:suppressAutoHyphens w:val="0"/>
              <w:spacing w:before="0" w:after="0"/>
              <w:jc w:val="left"/>
              <w:textAlignment w:val="auto"/>
              <w:rPr>
                <w:rFonts w:eastAsia="Times New Roman"/>
                <w:sz w:val="20"/>
                <w:szCs w:val="20"/>
                <w:lang w:val="es-ES"/>
              </w:rPr>
            </w:pPr>
            <w:r>
              <w:rPr>
                <w:rFonts w:eastAsia="Times New Roman"/>
                <w:sz w:val="20"/>
                <w:szCs w:val="20"/>
                <w:lang w:val="es-ES"/>
              </w:rPr>
              <w:t>Condiciones ambientales de operación (temperatura, humedad, etc.)</w:t>
            </w:r>
          </w:p>
          <w:p w14:paraId="3E0EBDE6" w14:textId="170B464A" w:rsidR="00193D25" w:rsidRPr="00D7433C" w:rsidRDefault="00193D25" w:rsidP="00193D25">
            <w:pPr>
              <w:suppressAutoHyphens w:val="0"/>
              <w:spacing w:before="0" w:after="0"/>
              <w:jc w:val="left"/>
              <w:textAlignment w:val="auto"/>
              <w:rPr>
                <w:rFonts w:eastAsia="Times New Roman"/>
                <w:sz w:val="20"/>
                <w:szCs w:val="20"/>
                <w:lang w:val="es-ES"/>
              </w:rPr>
            </w:pPr>
            <w:r>
              <w:rPr>
                <w:rFonts w:eastAsia="Times New Roman"/>
                <w:sz w:val="20"/>
                <w:szCs w:val="20"/>
                <w:lang w:val="es-ES"/>
              </w:rPr>
              <w:t xml:space="preserve">Intervalos de </w:t>
            </w:r>
            <w:r w:rsidRPr="00193D25">
              <w:rPr>
                <w:rFonts w:eastAsia="Times New Roman"/>
                <w:sz w:val="20"/>
                <w:szCs w:val="20"/>
                <w:lang w:val="es-ES"/>
              </w:rPr>
              <w:t xml:space="preserve">tensión, </w:t>
            </w:r>
            <w:r>
              <w:rPr>
                <w:rFonts w:eastAsia="Times New Roman"/>
                <w:sz w:val="20"/>
                <w:szCs w:val="20"/>
                <w:lang w:val="es-ES"/>
              </w:rPr>
              <w:t xml:space="preserve">corriente, </w:t>
            </w:r>
            <w:r w:rsidRPr="00193D25">
              <w:rPr>
                <w:rFonts w:eastAsia="Times New Roman"/>
                <w:sz w:val="20"/>
                <w:szCs w:val="20"/>
                <w:lang w:val="es-ES"/>
              </w:rPr>
              <w:t xml:space="preserve"> potencia</w:t>
            </w:r>
            <w:r>
              <w:rPr>
                <w:rFonts w:eastAsia="Times New Roman"/>
                <w:sz w:val="20"/>
                <w:szCs w:val="20"/>
                <w:lang w:val="es-ES"/>
              </w:rPr>
              <w:t>, factor de potencia y distorsión armónica (entrada y salida de los componentes eléctricos y electrónicos)</w:t>
            </w: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697F227" w14:textId="4CA159E0" w:rsidR="00943076" w:rsidRPr="00D7433C" w:rsidRDefault="000C7C1A" w:rsidP="00193D25">
            <w:pPr>
              <w:suppressAutoHyphens w:val="0"/>
              <w:spacing w:before="0" w:after="0"/>
              <w:jc w:val="left"/>
              <w:textAlignment w:val="auto"/>
              <w:rPr>
                <w:rFonts w:eastAsia="Times New Roman"/>
                <w:sz w:val="20"/>
                <w:szCs w:val="20"/>
                <w:lang w:val="es-ES"/>
              </w:rPr>
            </w:pPr>
            <w:r w:rsidRPr="000C7C1A">
              <w:rPr>
                <w:rFonts w:eastAsia="Times New Roman"/>
                <w:sz w:val="20"/>
                <w:szCs w:val="20"/>
                <w:lang w:val="es-ES"/>
              </w:rPr>
              <w:t>Datos eléctricos nominales: tensión, frecuencia, potencia e intensidad de corriente eléctrica</w:t>
            </w:r>
            <w:r>
              <w:rPr>
                <w:rFonts w:eastAsia="Times New Roman"/>
                <w:sz w:val="20"/>
                <w:szCs w:val="20"/>
                <w:lang w:val="es-ES"/>
              </w:rPr>
              <w:t xml:space="preserve"> (de entrada)</w:t>
            </w:r>
          </w:p>
        </w:tc>
      </w:tr>
    </w:tbl>
    <w:p w14:paraId="283AAEC6" w14:textId="0DBE3379" w:rsidR="00943076" w:rsidRPr="000C7C1A" w:rsidRDefault="00193D25" w:rsidP="000C7C1A">
      <w:pPr>
        <w:pStyle w:val="ListParagraph"/>
        <w:suppressAutoHyphens w:val="0"/>
        <w:spacing w:after="0"/>
        <w:ind w:left="0"/>
        <w:rPr>
          <w:sz w:val="20"/>
          <w:szCs w:val="20"/>
          <w:lang w:val="es-ES"/>
        </w:rPr>
      </w:pPr>
      <w:r w:rsidRPr="000C7C1A">
        <w:rPr>
          <w:sz w:val="20"/>
          <w:szCs w:val="20"/>
          <w:lang w:val="es-ES"/>
        </w:rPr>
        <w:t>Nota:</w:t>
      </w:r>
      <w:r w:rsidR="000C7C1A">
        <w:rPr>
          <w:sz w:val="20"/>
          <w:szCs w:val="20"/>
          <w:lang w:val="es-ES"/>
        </w:rPr>
        <w:t xml:space="preserve"> Además de la información mencionada en la tabla, se requiere información comercial (como p.ej. la marca,</w:t>
      </w:r>
      <w:r w:rsidR="00195F25">
        <w:rPr>
          <w:sz w:val="20"/>
          <w:szCs w:val="20"/>
          <w:lang w:val="es-ES"/>
        </w:rPr>
        <w:t xml:space="preserve"> el modelo</w:t>
      </w:r>
      <w:r w:rsidR="000C7C1A">
        <w:rPr>
          <w:sz w:val="20"/>
          <w:szCs w:val="20"/>
          <w:lang w:val="es-ES"/>
        </w:rPr>
        <w:t xml:space="preserve"> el país de origen, el período de fabricación), algunos detalles técnicos adicionales (en el cuerpo del productos y/o en el empaque), y representaciones </w:t>
      </w:r>
      <w:r w:rsidR="00195F25">
        <w:rPr>
          <w:sz w:val="20"/>
          <w:szCs w:val="20"/>
          <w:lang w:val="es-ES"/>
        </w:rPr>
        <w:t>gráficas de productos en el empaque, etc</w:t>
      </w:r>
      <w:r w:rsidR="000C7C1A">
        <w:rPr>
          <w:sz w:val="20"/>
          <w:szCs w:val="20"/>
          <w:lang w:val="es-ES"/>
        </w:rPr>
        <w:t>.</w:t>
      </w:r>
    </w:p>
    <w:p w14:paraId="1DE0CB97" w14:textId="409C2077" w:rsidR="00356C6B" w:rsidRPr="000C7C1A" w:rsidRDefault="00193D25" w:rsidP="000C7C1A">
      <w:pPr>
        <w:suppressAutoHyphens w:val="0"/>
        <w:spacing w:before="0"/>
        <w:rPr>
          <w:rFonts w:asciiTheme="minorHAnsi" w:eastAsia="Calibri" w:hAnsiTheme="minorHAnsi" w:cstheme="minorHAnsi"/>
          <w:color w:val="auto"/>
          <w:sz w:val="20"/>
          <w:szCs w:val="20"/>
          <w:lang w:val="es-ES"/>
        </w:rPr>
      </w:pPr>
      <w:r w:rsidRPr="000C7C1A">
        <w:rPr>
          <w:rFonts w:asciiTheme="minorHAnsi" w:eastAsia="Calibri" w:hAnsiTheme="minorHAnsi" w:cstheme="minorHAnsi"/>
          <w:color w:val="auto"/>
          <w:sz w:val="20"/>
          <w:szCs w:val="20"/>
          <w:lang w:val="es-ES"/>
        </w:rPr>
        <w:t xml:space="preserve">*) Los datos marcados en el cuerpo de productos pueden incluirse de forma alternativa </w:t>
      </w:r>
      <w:r w:rsidR="000C7C1A">
        <w:rPr>
          <w:rFonts w:asciiTheme="minorHAnsi" w:eastAsia="Calibri" w:hAnsiTheme="minorHAnsi" w:cstheme="minorHAnsi"/>
          <w:color w:val="auto"/>
          <w:sz w:val="20"/>
          <w:szCs w:val="20"/>
          <w:lang w:val="es-ES"/>
        </w:rPr>
        <w:t>en el instructivo del producto, que debe incluir también información adicional. p.ej. con respecto a la instalación</w:t>
      </w:r>
      <w:r w:rsidR="00FA42C8">
        <w:rPr>
          <w:rFonts w:asciiTheme="minorHAnsi" w:eastAsia="Calibri" w:hAnsiTheme="minorHAnsi" w:cstheme="minorHAnsi"/>
          <w:color w:val="auto"/>
          <w:sz w:val="20"/>
          <w:szCs w:val="20"/>
          <w:lang w:val="es-ES"/>
        </w:rPr>
        <w:t xml:space="preserve"> y la</w:t>
      </w:r>
      <w:r w:rsidR="000C7C1A">
        <w:rPr>
          <w:rFonts w:asciiTheme="minorHAnsi" w:eastAsia="Calibri" w:hAnsiTheme="minorHAnsi" w:cstheme="minorHAnsi"/>
          <w:color w:val="auto"/>
          <w:sz w:val="20"/>
          <w:szCs w:val="20"/>
          <w:lang w:val="es-ES"/>
        </w:rPr>
        <w:t xml:space="preserve"> conexión de los componentes del producto.</w:t>
      </w:r>
    </w:p>
    <w:p w14:paraId="174FB5BD" w14:textId="6C9E97E7" w:rsidR="00040E7F" w:rsidRPr="00040E7F" w:rsidRDefault="00040E7F" w:rsidP="00040E7F">
      <w:pPr>
        <w:pStyle w:val="Heading2"/>
        <w:rPr>
          <w:lang w:val="es-ES"/>
        </w:rPr>
      </w:pPr>
      <w:bookmarkStart w:id="48" w:name="_Toc516146017"/>
      <w:r>
        <w:rPr>
          <w:lang w:val="es-ES"/>
        </w:rPr>
        <w:lastRenderedPageBreak/>
        <w:t>Observaciones a los reglamentos de desempeño energético mínimo, los métodos de prueba</w:t>
      </w:r>
      <w:r w:rsidR="005540D1">
        <w:rPr>
          <w:lang w:val="es-ES"/>
        </w:rPr>
        <w:t>,</w:t>
      </w:r>
      <w:r>
        <w:rPr>
          <w:lang w:val="es-ES"/>
        </w:rPr>
        <w:t xml:space="preserve"> los procedimientos de evaluación de la conformidad </w:t>
      </w:r>
      <w:r w:rsidR="005540D1">
        <w:rPr>
          <w:lang w:val="es-ES"/>
        </w:rPr>
        <w:t xml:space="preserve">y los reglamentos de etiquetado y marcado </w:t>
      </w:r>
      <w:r>
        <w:rPr>
          <w:lang w:val="es-ES"/>
        </w:rPr>
        <w:t>aplicados en EE.UU., la Unión Europea y México</w:t>
      </w:r>
      <w:r w:rsidR="002050A4">
        <w:rPr>
          <w:lang w:val="es-ES"/>
        </w:rPr>
        <w:t xml:space="preserve"> y sus implicancias para Panamá</w:t>
      </w:r>
      <w:bookmarkEnd w:id="48"/>
      <w:r w:rsidR="002050A4">
        <w:rPr>
          <w:lang w:val="es-ES"/>
        </w:rPr>
        <w:t xml:space="preserve"> </w:t>
      </w:r>
    </w:p>
    <w:p w14:paraId="27B25C28" w14:textId="1D4D7E76" w:rsidR="00CD5E63" w:rsidRPr="004205D7" w:rsidRDefault="00CD5E63" w:rsidP="00CD5E63">
      <w:pPr>
        <w:pStyle w:val="Heading3"/>
        <w:rPr>
          <w:lang w:val="es-ES"/>
        </w:rPr>
      </w:pPr>
      <w:bookmarkStart w:id="49" w:name="_Toc516146018"/>
      <w:r>
        <w:rPr>
          <w:lang w:val="es-ES"/>
        </w:rPr>
        <w:t>Reglamentos de desempeño energético mínimo</w:t>
      </w:r>
      <w:bookmarkEnd w:id="49"/>
    </w:p>
    <w:p w14:paraId="56D2B69F" w14:textId="000C6AC7" w:rsidR="008C6B1E" w:rsidRDefault="008C6B1E" w:rsidP="00CD5E63">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 xml:space="preserve">La figura </w:t>
      </w:r>
      <w:r w:rsidR="008526E3">
        <w:rPr>
          <w:rFonts w:asciiTheme="minorHAnsi" w:eastAsia="Calibri" w:hAnsiTheme="minorHAnsi" w:cstheme="minorHAnsi"/>
          <w:color w:val="auto"/>
          <w:lang w:val="es-ES"/>
        </w:rPr>
        <w:t>8</w:t>
      </w:r>
      <w:r>
        <w:rPr>
          <w:rFonts w:asciiTheme="minorHAnsi" w:eastAsia="Calibri" w:hAnsiTheme="minorHAnsi" w:cstheme="minorHAnsi"/>
          <w:color w:val="auto"/>
          <w:lang w:val="es-ES"/>
        </w:rPr>
        <w:t xml:space="preserve"> muestra los límites de desempeño energético para varios tipos de lámparas seleccionadas, de acuerdo a los reglamentos de EE.UU., de la Unión Europea y de México.</w:t>
      </w:r>
    </w:p>
    <w:p w14:paraId="7723E710" w14:textId="0E2D3FA0" w:rsidR="00DA1F70" w:rsidRDefault="00DA1F70">
      <w:pPr>
        <w:suppressAutoHyphens w:val="0"/>
        <w:rPr>
          <w:rFonts w:asciiTheme="minorHAnsi" w:eastAsia="Calibri" w:hAnsiTheme="minorHAnsi" w:cstheme="minorHAnsi"/>
          <w:color w:val="auto"/>
          <w:lang w:val="es-ES"/>
        </w:rPr>
      </w:pPr>
    </w:p>
    <w:p w14:paraId="28BFCCD1" w14:textId="28786251" w:rsidR="008C6B1E" w:rsidRDefault="008C6B1E" w:rsidP="008C6B1E">
      <w:pPr>
        <w:pStyle w:val="Caption"/>
        <w:spacing w:after="0"/>
        <w:rPr>
          <w:lang w:val="es-ES"/>
        </w:rPr>
      </w:pPr>
      <w:r w:rsidRPr="00A96F74">
        <w:rPr>
          <w:lang w:val="es-ES"/>
        </w:rPr>
        <w:t xml:space="preserve">Figura </w:t>
      </w:r>
      <w:r w:rsidRPr="00A96F74">
        <w:rPr>
          <w:lang w:val="es-ES"/>
        </w:rPr>
        <w:fldChar w:fldCharType="begin"/>
      </w:r>
      <w:r w:rsidRPr="00A96F74">
        <w:rPr>
          <w:lang w:val="es-ES"/>
        </w:rPr>
        <w:instrText xml:space="preserve"> SEQ Figura \* ARABIC </w:instrText>
      </w:r>
      <w:r w:rsidRPr="00A96F74">
        <w:rPr>
          <w:lang w:val="es-ES"/>
        </w:rPr>
        <w:fldChar w:fldCharType="separate"/>
      </w:r>
      <w:r w:rsidR="005E6430">
        <w:rPr>
          <w:noProof/>
          <w:lang w:val="es-ES"/>
        </w:rPr>
        <w:t>8</w:t>
      </w:r>
      <w:r w:rsidRPr="00A96F74">
        <w:rPr>
          <w:noProof/>
          <w:lang w:val="es-ES"/>
        </w:rPr>
        <w:fldChar w:fldCharType="end"/>
      </w:r>
      <w:r w:rsidRPr="00A96F74">
        <w:rPr>
          <w:lang w:val="es-ES"/>
        </w:rPr>
        <w:t xml:space="preserve"> – </w:t>
      </w:r>
      <w:r>
        <w:rPr>
          <w:lang w:val="es-ES"/>
        </w:rPr>
        <w:t xml:space="preserve">Límites de desempeño energético para tipos de lámparas seleccionadas </w:t>
      </w:r>
      <w:r w:rsidRPr="00E2630F">
        <w:rPr>
          <w:lang w:val="es-ES"/>
        </w:rPr>
        <w:t xml:space="preserve">– </w:t>
      </w:r>
      <w:r>
        <w:rPr>
          <w:lang w:val="es-ES"/>
        </w:rPr>
        <w:t>EE.UU., Unión Europea, México</w:t>
      </w:r>
    </w:p>
    <w:p w14:paraId="61213422" w14:textId="31C1D4FD" w:rsidR="008C6B1E" w:rsidRPr="00A96F74" w:rsidRDefault="008C6B1E" w:rsidP="008C6B1E">
      <w:pPr>
        <w:spacing w:before="0" w:after="140"/>
        <w:jc w:val="center"/>
        <w:rPr>
          <w:color w:val="002B7F"/>
          <w:lang w:val="es-ES"/>
        </w:rPr>
      </w:pPr>
      <w:r w:rsidRPr="00A96F74">
        <w:rPr>
          <w:i/>
          <w:color w:val="002B7F"/>
          <w:sz w:val="18"/>
          <w:lang w:val="es-ES"/>
        </w:rPr>
        <w:t>Fuente:</w:t>
      </w:r>
      <w:r w:rsidRPr="00E2630F">
        <w:rPr>
          <w:lang w:val="es-ES"/>
        </w:rPr>
        <w:t xml:space="preserve"> </w:t>
      </w:r>
      <w:r w:rsidRPr="00E2630F">
        <w:rPr>
          <w:rFonts w:cstheme="minorHAnsi"/>
          <w:color w:val="002B7F"/>
          <w:sz w:val="18"/>
          <w:lang w:val="es-PA"/>
        </w:rPr>
        <w:t xml:space="preserve">Elaboración propia en base </w:t>
      </w:r>
      <w:r>
        <w:rPr>
          <w:rFonts w:cstheme="minorHAnsi"/>
          <w:color w:val="002B7F"/>
          <w:sz w:val="18"/>
          <w:lang w:val="es-PA"/>
        </w:rPr>
        <w:t>de los reglamentos mencionados</w:t>
      </w:r>
    </w:p>
    <w:p w14:paraId="7AECB848" w14:textId="023B12FB" w:rsidR="008C6B1E" w:rsidRDefault="00791A62" w:rsidP="00CD5E63">
      <w:pPr>
        <w:suppressAutoHyphens w:val="0"/>
        <w:rPr>
          <w:rFonts w:asciiTheme="minorHAnsi" w:eastAsia="Calibri" w:hAnsiTheme="minorHAnsi" w:cstheme="minorHAnsi"/>
          <w:color w:val="auto"/>
          <w:lang w:val="es-ES"/>
        </w:rPr>
      </w:pPr>
      <w:r>
        <w:rPr>
          <w:noProof/>
          <w:lang w:val="en-US"/>
        </w:rPr>
        <w:drawing>
          <wp:inline distT="0" distB="0" distL="0" distR="0" wp14:anchorId="2F53E440" wp14:editId="72BACBA1">
            <wp:extent cx="5400040" cy="3180080"/>
            <wp:effectExtent l="0" t="0" r="10160" b="127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733AF8" w14:textId="77777777" w:rsidR="00791A62" w:rsidRDefault="00791A62" w:rsidP="00791A62">
      <w:pPr>
        <w:pStyle w:val="BodyText"/>
        <w:spacing w:after="0"/>
        <w:rPr>
          <w:sz w:val="20"/>
          <w:szCs w:val="20"/>
          <w:lang w:val="es-ES"/>
        </w:rPr>
      </w:pPr>
      <w:r w:rsidRPr="008A52BB">
        <w:rPr>
          <w:sz w:val="20"/>
          <w:szCs w:val="20"/>
          <w:lang w:val="es-ES"/>
        </w:rPr>
        <w:t>Leyenda:</w:t>
      </w:r>
    </w:p>
    <w:p w14:paraId="6A11FCC8" w14:textId="15A42C31" w:rsidR="00791A62" w:rsidRDefault="00791A62" w:rsidP="00791A62">
      <w:pPr>
        <w:pStyle w:val="BodyText"/>
        <w:spacing w:after="0"/>
        <w:rPr>
          <w:sz w:val="20"/>
          <w:szCs w:val="20"/>
          <w:lang w:val="es-ES"/>
        </w:rPr>
      </w:pPr>
      <w:r>
        <w:rPr>
          <w:sz w:val="20"/>
          <w:szCs w:val="20"/>
          <w:lang w:val="es-ES"/>
        </w:rPr>
        <w:t xml:space="preserve">Colores: </w:t>
      </w:r>
      <w:r w:rsidR="00A04DFA">
        <w:rPr>
          <w:sz w:val="20"/>
          <w:szCs w:val="20"/>
          <w:lang w:val="es-ES"/>
        </w:rPr>
        <w:t xml:space="preserve">EE.UU. (rojo), </w:t>
      </w:r>
      <w:r>
        <w:rPr>
          <w:sz w:val="20"/>
          <w:szCs w:val="20"/>
          <w:lang w:val="es-ES"/>
        </w:rPr>
        <w:t>Unión Europea (azul), México (verde)</w:t>
      </w:r>
    </w:p>
    <w:p w14:paraId="74735914" w14:textId="77777777" w:rsidR="001D40AC" w:rsidRDefault="00791A62" w:rsidP="00791A62">
      <w:pPr>
        <w:pStyle w:val="BodyText"/>
        <w:spacing w:after="0"/>
        <w:rPr>
          <w:sz w:val="20"/>
          <w:szCs w:val="20"/>
          <w:lang w:val="es-ES"/>
        </w:rPr>
      </w:pPr>
      <w:r>
        <w:rPr>
          <w:sz w:val="20"/>
          <w:szCs w:val="20"/>
          <w:lang w:val="es-ES"/>
        </w:rPr>
        <w:t>L</w:t>
      </w:r>
      <w:r w:rsidR="009E0E64">
        <w:rPr>
          <w:sz w:val="20"/>
          <w:szCs w:val="20"/>
          <w:lang w:val="es-ES"/>
        </w:rPr>
        <w:t>í</w:t>
      </w:r>
      <w:r>
        <w:rPr>
          <w:sz w:val="20"/>
          <w:szCs w:val="20"/>
          <w:lang w:val="es-ES"/>
        </w:rPr>
        <w:t>neas sólidas</w:t>
      </w:r>
      <w:r w:rsidR="009E0E64">
        <w:rPr>
          <w:sz w:val="20"/>
          <w:szCs w:val="20"/>
          <w:lang w:val="es-ES"/>
        </w:rPr>
        <w:t xml:space="preserve">: </w:t>
      </w:r>
    </w:p>
    <w:p w14:paraId="02E39825" w14:textId="70B82062" w:rsidR="009E0E64" w:rsidRDefault="00A37E0E" w:rsidP="004229F3">
      <w:pPr>
        <w:pStyle w:val="BodyText"/>
        <w:spacing w:after="0"/>
        <w:ind w:left="1134" w:hanging="1134"/>
        <w:rPr>
          <w:sz w:val="20"/>
          <w:szCs w:val="20"/>
          <w:lang w:val="es-ES"/>
        </w:rPr>
      </w:pPr>
      <w:r>
        <w:rPr>
          <w:noProof/>
          <w:sz w:val="20"/>
          <w:szCs w:val="20"/>
          <w:lang w:val="en-US"/>
        </w:rPr>
        <mc:AlternateContent>
          <mc:Choice Requires="wps">
            <w:drawing>
              <wp:anchor distT="0" distB="0" distL="114300" distR="114300" simplePos="0" relativeHeight="251662336" behindDoc="0" locked="0" layoutInCell="1" allowOverlap="1" wp14:anchorId="62BF30C8" wp14:editId="2DF15EB2">
                <wp:simplePos x="0" y="0"/>
                <wp:positionH relativeFrom="column">
                  <wp:posOffset>-3810</wp:posOffset>
                </wp:positionH>
                <wp:positionV relativeFrom="paragraph">
                  <wp:posOffset>77470</wp:posOffset>
                </wp:positionV>
                <wp:extent cx="575310" cy="0"/>
                <wp:effectExtent l="0" t="0" r="34290" b="19050"/>
                <wp:wrapNone/>
                <wp:docPr id="23" name="Straight Connector 23"/>
                <wp:cNvGraphicFramePr/>
                <a:graphic xmlns:a="http://schemas.openxmlformats.org/drawingml/2006/main">
                  <a:graphicData uri="http://schemas.microsoft.com/office/word/2010/wordprocessingShape">
                    <wps:wsp>
                      <wps:cNvCnPr/>
                      <wps:spPr>
                        <a:xfrm>
                          <a:off x="0" y="0"/>
                          <a:ext cx="5753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2DF9E8" id="Straight Connector 2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pt,6.1pt" to="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" strokecolor="black [3213]" strokeweight="1.5pt">
                <v:stroke joinstyle="miter"/>
              </v:line>
            </w:pict>
          </mc:Fallback>
        </mc:AlternateContent>
      </w:r>
      <w:r w:rsidR="00102FB0">
        <w:rPr>
          <w:sz w:val="20"/>
          <w:szCs w:val="20"/>
          <w:lang w:val="es-ES"/>
        </w:rPr>
        <w:tab/>
      </w:r>
      <w:r w:rsidR="009E0E64">
        <w:rPr>
          <w:sz w:val="20"/>
          <w:szCs w:val="20"/>
          <w:lang w:val="es-ES"/>
        </w:rPr>
        <w:t>Lámparas de uso general (lámparas incandescentes, LFC, lámparas LED integradas)</w:t>
      </w:r>
      <w:r w:rsidR="001D40AC">
        <w:rPr>
          <w:sz w:val="20"/>
          <w:szCs w:val="20"/>
          <w:lang w:val="es-ES"/>
        </w:rPr>
        <w:t xml:space="preserve"> </w:t>
      </w:r>
      <w:r w:rsidR="001D40AC" w:rsidRPr="001D40AC">
        <w:rPr>
          <w:sz w:val="20"/>
          <w:szCs w:val="20"/>
          <w:lang w:val="es-ES"/>
        </w:rPr>
        <w:t>–</w:t>
      </w:r>
      <w:r w:rsidR="001D40AC">
        <w:rPr>
          <w:sz w:val="20"/>
          <w:szCs w:val="20"/>
          <w:lang w:val="es-ES"/>
        </w:rPr>
        <w:t xml:space="preserve"> DOE GSL Proposed Rule, EU Other light sources</w:t>
      </w:r>
    </w:p>
    <w:p w14:paraId="22A5ED75" w14:textId="2F77F321" w:rsidR="00791A62" w:rsidRPr="00BF7375" w:rsidRDefault="009E0E64" w:rsidP="00791A62">
      <w:pPr>
        <w:pStyle w:val="BodyText"/>
        <w:spacing w:after="0"/>
        <w:rPr>
          <w:sz w:val="20"/>
          <w:szCs w:val="20"/>
          <w:lang w:val="es-ES"/>
        </w:rPr>
      </w:pPr>
      <w:r w:rsidRPr="00BF7375">
        <w:rPr>
          <w:sz w:val="20"/>
          <w:szCs w:val="20"/>
          <w:lang w:val="es-ES"/>
        </w:rPr>
        <w:t xml:space="preserve">Líneas discontinuas:  </w:t>
      </w:r>
    </w:p>
    <w:p w14:paraId="63567D2E" w14:textId="42147EB9" w:rsidR="009E0E64" w:rsidRPr="00BC092A" w:rsidRDefault="00A37E0E" w:rsidP="004229F3">
      <w:pPr>
        <w:pStyle w:val="BodyText"/>
        <w:spacing w:after="0"/>
        <w:ind w:left="1134" w:hanging="1134"/>
        <w:rPr>
          <w:sz w:val="20"/>
          <w:szCs w:val="20"/>
          <w:lang w:val="fr-FR"/>
        </w:rPr>
      </w:pPr>
      <w:r>
        <w:rPr>
          <w:noProof/>
          <w:sz w:val="20"/>
          <w:szCs w:val="20"/>
          <w:lang w:val="en-US"/>
        </w:rPr>
        <mc:AlternateContent>
          <mc:Choice Requires="wps">
            <w:drawing>
              <wp:anchor distT="0" distB="0" distL="114300" distR="114300" simplePos="0" relativeHeight="251661312" behindDoc="0" locked="0" layoutInCell="1" allowOverlap="1" wp14:anchorId="274E5FF1" wp14:editId="7023828A">
                <wp:simplePos x="0" y="0"/>
                <wp:positionH relativeFrom="column">
                  <wp:posOffset>-3810</wp:posOffset>
                </wp:positionH>
                <wp:positionV relativeFrom="paragraph">
                  <wp:posOffset>69850</wp:posOffset>
                </wp:positionV>
                <wp:extent cx="575310" cy="0"/>
                <wp:effectExtent l="0" t="0" r="15240" b="19050"/>
                <wp:wrapNone/>
                <wp:docPr id="9" name="Straight Connector 9"/>
                <wp:cNvGraphicFramePr/>
                <a:graphic xmlns:a="http://schemas.openxmlformats.org/drawingml/2006/main">
                  <a:graphicData uri="http://schemas.microsoft.com/office/word/2010/wordprocessingShape">
                    <wps:wsp>
                      <wps:cNvCnPr/>
                      <wps:spPr>
                        <a:xfrm>
                          <a:off x="0" y="0"/>
                          <a:ext cx="57531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E56EF1"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pt,5.5pt" to="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" strokecolor="black [3213]" strokeweight="1.5pt">
                <v:stroke dashstyle="dash" joinstyle="miter"/>
              </v:line>
            </w:pict>
          </mc:Fallback>
        </mc:AlternateContent>
      </w:r>
      <w:r w:rsidR="00102FB0" w:rsidRPr="00BC092A">
        <w:rPr>
          <w:sz w:val="20"/>
          <w:szCs w:val="20"/>
          <w:lang w:val="fr-FR"/>
        </w:rPr>
        <w:tab/>
      </w:r>
      <w:r w:rsidR="001D40AC" w:rsidRPr="00BC092A">
        <w:rPr>
          <w:sz w:val="20"/>
          <w:szCs w:val="20"/>
          <w:lang w:val="fr-FR"/>
        </w:rPr>
        <w:t>Lámparas fluorescentes lineales – DOE Fluorescent GSL (T5, 2018), EU LFL T5-HE, EU LFL T5-HO, MX LFL T5 (2012)</w:t>
      </w:r>
    </w:p>
    <w:p w14:paraId="4499E2DA" w14:textId="45D63C67" w:rsidR="001D40AC" w:rsidRDefault="00A37E0E" w:rsidP="004229F3">
      <w:pPr>
        <w:pStyle w:val="BodyText"/>
        <w:spacing w:after="0"/>
        <w:ind w:left="1134" w:hanging="1134"/>
        <w:rPr>
          <w:sz w:val="20"/>
          <w:szCs w:val="20"/>
          <w:lang w:val="es-ES"/>
        </w:rPr>
      </w:pPr>
      <w:r>
        <w:rPr>
          <w:noProof/>
          <w:sz w:val="20"/>
          <w:szCs w:val="20"/>
          <w:lang w:val="en-US"/>
        </w:rPr>
        <mc:AlternateContent>
          <mc:Choice Requires="wps">
            <w:drawing>
              <wp:anchor distT="0" distB="0" distL="114300" distR="114300" simplePos="0" relativeHeight="251663360" behindDoc="0" locked="0" layoutInCell="1" allowOverlap="1" wp14:anchorId="46D81FE6" wp14:editId="2171361F">
                <wp:simplePos x="0" y="0"/>
                <wp:positionH relativeFrom="column">
                  <wp:posOffset>-3810</wp:posOffset>
                </wp:positionH>
                <wp:positionV relativeFrom="paragraph">
                  <wp:posOffset>102870</wp:posOffset>
                </wp:positionV>
                <wp:extent cx="575310" cy="0"/>
                <wp:effectExtent l="0" t="0" r="15240" b="19050"/>
                <wp:wrapNone/>
                <wp:docPr id="24" name="Straight Connector 24"/>
                <wp:cNvGraphicFramePr/>
                <a:graphic xmlns:a="http://schemas.openxmlformats.org/drawingml/2006/main">
                  <a:graphicData uri="http://schemas.microsoft.com/office/word/2010/wordprocessingShape">
                    <wps:wsp>
                      <wps:cNvCnPr/>
                      <wps:spPr>
                        <a:xfrm>
                          <a:off x="0" y="0"/>
                          <a:ext cx="575310" cy="0"/>
                        </a:xfrm>
                        <a:prstGeom prst="line">
                          <a:avLst/>
                        </a:prstGeom>
                        <a:ln w="1905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A380F0" id="Straight Connector 2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pt,8.1pt" to="4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" strokecolor="black [3213]" strokeweight="1.5pt">
                <v:stroke dashstyle="dashDot" joinstyle="miter"/>
              </v:line>
            </w:pict>
          </mc:Fallback>
        </mc:AlternateContent>
      </w:r>
      <w:r w:rsidR="00102FB0" w:rsidRPr="00091BC1">
        <w:rPr>
          <w:sz w:val="20"/>
          <w:szCs w:val="20"/>
          <w:lang w:val="es-ES"/>
        </w:rPr>
        <w:tab/>
      </w:r>
      <w:r w:rsidR="001D40AC">
        <w:rPr>
          <w:sz w:val="20"/>
          <w:szCs w:val="20"/>
          <w:lang w:val="es-ES"/>
        </w:rPr>
        <w:t xml:space="preserve">Lámparas de uso general (lámparas incandescentes, LFC) </w:t>
      </w:r>
      <w:r w:rsidR="001D40AC" w:rsidRPr="001D40AC">
        <w:rPr>
          <w:sz w:val="20"/>
          <w:szCs w:val="20"/>
          <w:lang w:val="es-ES"/>
        </w:rPr>
        <w:t>–</w:t>
      </w:r>
      <w:r w:rsidR="001D40AC">
        <w:rPr>
          <w:sz w:val="20"/>
          <w:szCs w:val="20"/>
          <w:lang w:val="es-ES"/>
        </w:rPr>
        <w:t xml:space="preserve"> MX </w:t>
      </w:r>
      <w:r w:rsidR="00102FB0">
        <w:rPr>
          <w:sz w:val="20"/>
          <w:szCs w:val="20"/>
          <w:lang w:val="es-ES"/>
        </w:rPr>
        <w:t>Etapa 3 (2020) / LFC (sin envolvente)</w:t>
      </w:r>
    </w:p>
    <w:p w14:paraId="188419A9" w14:textId="27E582D1" w:rsidR="001D40AC" w:rsidRDefault="00A37E0E" w:rsidP="004229F3">
      <w:pPr>
        <w:pStyle w:val="BodyText"/>
        <w:spacing w:after="0"/>
        <w:ind w:left="1134" w:hanging="1134"/>
        <w:rPr>
          <w:sz w:val="20"/>
          <w:szCs w:val="20"/>
          <w:lang w:val="es-ES"/>
        </w:rPr>
      </w:pPr>
      <w:r>
        <w:rPr>
          <w:noProof/>
          <w:sz w:val="20"/>
          <w:szCs w:val="20"/>
          <w:lang w:val="en-US"/>
        </w:rPr>
        <mc:AlternateContent>
          <mc:Choice Requires="wps">
            <w:drawing>
              <wp:anchor distT="0" distB="0" distL="114300" distR="114300" simplePos="0" relativeHeight="251664384" behindDoc="0" locked="0" layoutInCell="1" allowOverlap="1" wp14:anchorId="2AD86637" wp14:editId="1A0EB3C6">
                <wp:simplePos x="0" y="0"/>
                <wp:positionH relativeFrom="column">
                  <wp:posOffset>-3810</wp:posOffset>
                </wp:positionH>
                <wp:positionV relativeFrom="paragraph">
                  <wp:posOffset>135255</wp:posOffset>
                </wp:positionV>
                <wp:extent cx="575310" cy="0"/>
                <wp:effectExtent l="0" t="0" r="15240" b="19050"/>
                <wp:wrapNone/>
                <wp:docPr id="25" name="Straight Connector 25"/>
                <wp:cNvGraphicFramePr/>
                <a:graphic xmlns:a="http://schemas.openxmlformats.org/drawingml/2006/main">
                  <a:graphicData uri="http://schemas.microsoft.com/office/word/2010/wordprocessingShape">
                    <wps:wsp>
                      <wps:cNvCnPr/>
                      <wps:spPr>
                        <a:xfrm>
                          <a:off x="0" y="0"/>
                          <a:ext cx="575310" cy="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BD2871" id="Straight Connector 2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pt,10.65pt" to="4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" strokecolor="black [3213]" strokeweight="1.5pt">
                <v:stroke dashstyle="3 1" joinstyle="miter"/>
              </v:line>
            </w:pict>
          </mc:Fallback>
        </mc:AlternateContent>
      </w:r>
      <w:r w:rsidR="00102FB0">
        <w:rPr>
          <w:sz w:val="20"/>
          <w:szCs w:val="20"/>
          <w:lang w:val="es-ES"/>
        </w:rPr>
        <w:tab/>
      </w:r>
      <w:r w:rsidR="001D40AC">
        <w:rPr>
          <w:sz w:val="20"/>
          <w:szCs w:val="20"/>
          <w:lang w:val="es-ES"/>
        </w:rPr>
        <w:t xml:space="preserve">Lámparas incandescentes </w:t>
      </w:r>
      <w:r w:rsidR="001D40AC" w:rsidRPr="001D40AC">
        <w:rPr>
          <w:sz w:val="20"/>
          <w:szCs w:val="20"/>
          <w:lang w:val="es-ES"/>
        </w:rPr>
        <w:t>–</w:t>
      </w:r>
      <w:r w:rsidR="001D40AC">
        <w:rPr>
          <w:sz w:val="20"/>
          <w:szCs w:val="20"/>
          <w:lang w:val="es-ES"/>
        </w:rPr>
        <w:t xml:space="preserve"> DOE Incandescent GSL, MX Lámp. incand. </w:t>
      </w:r>
      <w:r w:rsidR="001D40AC" w:rsidRPr="009E13C1">
        <w:rPr>
          <w:sz w:val="20"/>
          <w:szCs w:val="20"/>
          <w:lang w:val="es-ES"/>
        </w:rPr>
        <w:t>(proyecto 2017</w:t>
      </w:r>
      <w:r w:rsidR="001D40AC">
        <w:rPr>
          <w:sz w:val="20"/>
          <w:szCs w:val="20"/>
          <w:lang w:val="es-ES"/>
        </w:rPr>
        <w:t>), MX GSL (proyecto, 2019)</w:t>
      </w:r>
    </w:p>
    <w:p w14:paraId="71639117" w14:textId="0C45CD54" w:rsidR="001D40AC" w:rsidRDefault="00AF1018" w:rsidP="004229F3">
      <w:pPr>
        <w:pStyle w:val="BodyText"/>
        <w:spacing w:after="0"/>
        <w:ind w:left="1134" w:hanging="1134"/>
        <w:rPr>
          <w:sz w:val="20"/>
          <w:szCs w:val="20"/>
          <w:lang w:val="es-ES"/>
        </w:rPr>
      </w:pPr>
      <w:r>
        <w:rPr>
          <w:noProof/>
          <w:sz w:val="20"/>
          <w:szCs w:val="20"/>
          <w:lang w:val="en-US"/>
        </w:rPr>
        <mc:AlternateContent>
          <mc:Choice Requires="wps">
            <w:drawing>
              <wp:anchor distT="0" distB="0" distL="114300" distR="114300" simplePos="0" relativeHeight="251665408" behindDoc="0" locked="0" layoutInCell="1" allowOverlap="1" wp14:anchorId="6CE2D592" wp14:editId="62E04FB7">
                <wp:simplePos x="0" y="0"/>
                <wp:positionH relativeFrom="column">
                  <wp:posOffset>-3810</wp:posOffset>
                </wp:positionH>
                <wp:positionV relativeFrom="paragraph">
                  <wp:posOffset>53975</wp:posOffset>
                </wp:positionV>
                <wp:extent cx="575310" cy="0"/>
                <wp:effectExtent l="0" t="0" r="15240" b="19050"/>
                <wp:wrapNone/>
                <wp:docPr id="26" name="Straight Connector 26"/>
                <wp:cNvGraphicFramePr/>
                <a:graphic xmlns:a="http://schemas.openxmlformats.org/drawingml/2006/main">
                  <a:graphicData uri="http://schemas.microsoft.com/office/word/2010/wordprocessingShape">
                    <wps:wsp>
                      <wps:cNvCnPr/>
                      <wps:spPr>
                        <a:xfrm>
                          <a:off x="0" y="0"/>
                          <a:ext cx="57531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FF4A8" id="Straight Connector 2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pt,4.25pt" to="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" strokecolor="black [3213]" strokeweight="1.5pt">
                <v:stroke dashstyle="1 1" joinstyle="miter"/>
              </v:line>
            </w:pict>
          </mc:Fallback>
        </mc:AlternateContent>
      </w:r>
      <w:r w:rsidR="00102FB0">
        <w:rPr>
          <w:sz w:val="20"/>
          <w:szCs w:val="20"/>
          <w:lang w:val="es-ES"/>
        </w:rPr>
        <w:tab/>
      </w:r>
      <w:r w:rsidR="001D40AC">
        <w:rPr>
          <w:sz w:val="20"/>
          <w:szCs w:val="20"/>
          <w:lang w:val="es-ES"/>
        </w:rPr>
        <w:t xml:space="preserve">Lámparas LED integradas </w:t>
      </w:r>
      <w:r w:rsidR="001D40AC" w:rsidRPr="001D40AC">
        <w:rPr>
          <w:sz w:val="20"/>
          <w:szCs w:val="20"/>
          <w:lang w:val="es-ES"/>
        </w:rPr>
        <w:t>–</w:t>
      </w:r>
      <w:r w:rsidR="001D40AC">
        <w:rPr>
          <w:sz w:val="20"/>
          <w:szCs w:val="20"/>
          <w:lang w:val="es-ES"/>
        </w:rPr>
        <w:t xml:space="preserve"> </w:t>
      </w:r>
      <w:r w:rsidR="00102FB0">
        <w:rPr>
          <w:sz w:val="20"/>
          <w:szCs w:val="20"/>
          <w:lang w:val="es-ES"/>
        </w:rPr>
        <w:t>MX LED Integrada</w:t>
      </w:r>
    </w:p>
    <w:p w14:paraId="6308DEB8" w14:textId="77777777" w:rsidR="001D40AC" w:rsidRDefault="001D40AC" w:rsidP="00791A62">
      <w:pPr>
        <w:pStyle w:val="BodyText"/>
        <w:spacing w:after="0"/>
        <w:rPr>
          <w:sz w:val="20"/>
          <w:szCs w:val="20"/>
          <w:lang w:val="es-ES"/>
        </w:rPr>
      </w:pPr>
    </w:p>
    <w:p w14:paraId="61648A4A" w14:textId="4FB10741" w:rsidR="008C6B1E" w:rsidRDefault="008C6B1E" w:rsidP="00CD5E63">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Se puede apreciar de la figura lo siguiente:</w:t>
      </w:r>
    </w:p>
    <w:p w14:paraId="35CA0A9B" w14:textId="161DEAE5" w:rsidR="008171F4" w:rsidRPr="0035041A" w:rsidRDefault="008C6B1E" w:rsidP="009574AA">
      <w:pPr>
        <w:pStyle w:val="ListParagraph"/>
        <w:numPr>
          <w:ilvl w:val="0"/>
          <w:numId w:val="23"/>
        </w:numPr>
        <w:suppressAutoHyphens w:val="0"/>
        <w:rPr>
          <w:rFonts w:asciiTheme="minorHAnsi" w:eastAsia="Calibri" w:hAnsiTheme="minorHAnsi" w:cstheme="minorHAnsi"/>
          <w:color w:val="auto"/>
          <w:lang w:val="es-ES"/>
        </w:rPr>
      </w:pPr>
      <w:r w:rsidRPr="0035041A">
        <w:rPr>
          <w:rFonts w:asciiTheme="minorHAnsi" w:eastAsia="Calibri" w:hAnsiTheme="minorHAnsi" w:cstheme="minorHAnsi"/>
          <w:color w:val="auto"/>
          <w:lang w:val="es-ES"/>
        </w:rPr>
        <w:t xml:space="preserve">Tanto los requerimientos de EE.UU. </w:t>
      </w:r>
      <w:r w:rsidR="009574AA">
        <w:rPr>
          <w:rFonts w:asciiTheme="minorHAnsi" w:eastAsia="Calibri" w:hAnsiTheme="minorHAnsi" w:cstheme="minorHAnsi"/>
          <w:color w:val="auto"/>
          <w:lang w:val="es-ES"/>
        </w:rPr>
        <w:t xml:space="preserve">vigentes, </w:t>
      </w:r>
      <w:r w:rsidR="00D80C67" w:rsidRPr="0035041A">
        <w:rPr>
          <w:rFonts w:asciiTheme="minorHAnsi" w:eastAsia="Calibri" w:hAnsiTheme="minorHAnsi" w:cstheme="minorHAnsi"/>
          <w:color w:val="auto"/>
          <w:lang w:val="es-ES"/>
        </w:rPr>
        <w:t xml:space="preserve">como los requerimientos </w:t>
      </w:r>
      <w:r w:rsidR="009574AA">
        <w:rPr>
          <w:rFonts w:asciiTheme="minorHAnsi" w:eastAsia="Calibri" w:hAnsiTheme="minorHAnsi" w:cstheme="minorHAnsi"/>
          <w:color w:val="auto"/>
          <w:lang w:val="es-ES"/>
        </w:rPr>
        <w:t xml:space="preserve">de la </w:t>
      </w:r>
      <w:r w:rsidR="009574AA" w:rsidRPr="009574AA">
        <w:rPr>
          <w:rFonts w:asciiTheme="minorHAnsi" w:eastAsia="Calibri" w:hAnsiTheme="minorHAnsi" w:cstheme="minorHAnsi"/>
          <w:color w:val="auto"/>
          <w:lang w:val="es-ES"/>
        </w:rPr>
        <w:t>NOM-028-ENER-2010</w:t>
      </w:r>
      <w:r w:rsidR="009574AA">
        <w:rPr>
          <w:rFonts w:asciiTheme="minorHAnsi" w:eastAsia="Calibri" w:hAnsiTheme="minorHAnsi" w:cstheme="minorHAnsi"/>
          <w:color w:val="auto"/>
          <w:lang w:val="es-ES"/>
        </w:rPr>
        <w:t xml:space="preserve"> </w:t>
      </w:r>
      <w:r w:rsidR="00D80C67" w:rsidRPr="0035041A">
        <w:rPr>
          <w:rFonts w:asciiTheme="minorHAnsi" w:eastAsia="Calibri" w:hAnsiTheme="minorHAnsi" w:cstheme="minorHAnsi"/>
          <w:color w:val="auto"/>
          <w:lang w:val="es-ES"/>
        </w:rPr>
        <w:t>para</w:t>
      </w:r>
      <w:r w:rsidRPr="0035041A">
        <w:rPr>
          <w:rFonts w:asciiTheme="minorHAnsi" w:eastAsia="Calibri" w:hAnsiTheme="minorHAnsi" w:cstheme="minorHAnsi"/>
          <w:color w:val="auto"/>
          <w:lang w:val="es-ES"/>
        </w:rPr>
        <w:t xml:space="preserve"> lámparas incandescentes</w:t>
      </w:r>
      <w:r w:rsidR="00D80C67" w:rsidRPr="0035041A">
        <w:rPr>
          <w:rFonts w:asciiTheme="minorHAnsi" w:eastAsia="Calibri" w:hAnsiTheme="minorHAnsi" w:cstheme="minorHAnsi"/>
          <w:color w:val="auto"/>
          <w:lang w:val="es-ES"/>
        </w:rPr>
        <w:t xml:space="preserve"> son obsoletos, en el sentido que impiden la </w:t>
      </w:r>
      <w:r w:rsidR="00D80C67" w:rsidRPr="0035041A">
        <w:rPr>
          <w:rFonts w:asciiTheme="minorHAnsi" w:eastAsia="Calibri" w:hAnsiTheme="minorHAnsi" w:cstheme="minorHAnsi"/>
          <w:color w:val="auto"/>
          <w:lang w:val="es-ES"/>
        </w:rPr>
        <w:lastRenderedPageBreak/>
        <w:t xml:space="preserve">eliminación de las lámparas incandescentes del mercado. El </w:t>
      </w:r>
      <w:r w:rsidR="00D80C67" w:rsidRPr="00813629">
        <w:rPr>
          <w:rFonts w:asciiTheme="minorHAnsi" w:eastAsia="Calibri" w:hAnsiTheme="minorHAnsi" w:cstheme="minorHAnsi"/>
          <w:color w:val="auto"/>
          <w:lang w:val="es-ES"/>
        </w:rPr>
        <w:t>PROY-NOM-028-ENER-2017</w:t>
      </w:r>
      <w:r w:rsidR="00D80C67" w:rsidRPr="0035041A">
        <w:rPr>
          <w:rFonts w:asciiTheme="minorHAnsi" w:eastAsia="Calibri" w:hAnsiTheme="minorHAnsi" w:cstheme="minorHAnsi"/>
          <w:color w:val="auto"/>
          <w:lang w:val="es-ES"/>
        </w:rPr>
        <w:t xml:space="preserve"> prevé para el año 2019 un límite único de 60 lm/W para lámparas incandescentes</w:t>
      </w:r>
      <w:r w:rsidR="0013180A">
        <w:rPr>
          <w:rFonts w:asciiTheme="minorHAnsi" w:eastAsia="Calibri" w:hAnsiTheme="minorHAnsi" w:cstheme="minorHAnsi"/>
          <w:color w:val="auto"/>
          <w:lang w:val="es-ES"/>
        </w:rPr>
        <w:t xml:space="preserve"> e </w:t>
      </w:r>
      <w:r w:rsidR="00D80C67" w:rsidRPr="0035041A">
        <w:rPr>
          <w:rFonts w:asciiTheme="minorHAnsi" w:eastAsia="Calibri" w:hAnsiTheme="minorHAnsi" w:cstheme="minorHAnsi"/>
          <w:color w:val="auto"/>
          <w:lang w:val="es-ES"/>
        </w:rPr>
        <w:t>incandescentes con halógenos, lo que resultará en la eliminación de lámparas incandescentes del mercado</w:t>
      </w:r>
      <w:r w:rsidR="0013180A">
        <w:rPr>
          <w:rFonts w:asciiTheme="minorHAnsi" w:eastAsia="Calibri" w:hAnsiTheme="minorHAnsi" w:cstheme="minorHAnsi"/>
          <w:color w:val="auto"/>
          <w:lang w:val="es-ES"/>
        </w:rPr>
        <w:t>. Sin embargo</w:t>
      </w:r>
      <w:r w:rsidR="00D80C67" w:rsidRPr="0035041A">
        <w:rPr>
          <w:rFonts w:asciiTheme="minorHAnsi" w:eastAsia="Calibri" w:hAnsiTheme="minorHAnsi" w:cstheme="minorHAnsi"/>
          <w:color w:val="auto"/>
          <w:lang w:val="es-ES"/>
        </w:rPr>
        <w:t xml:space="preserve">, </w:t>
      </w:r>
      <w:r w:rsidR="0013180A">
        <w:rPr>
          <w:rFonts w:asciiTheme="minorHAnsi" w:eastAsia="Calibri" w:hAnsiTheme="minorHAnsi" w:cstheme="minorHAnsi"/>
          <w:color w:val="auto"/>
          <w:lang w:val="es-ES"/>
        </w:rPr>
        <w:t xml:space="preserve">se </w:t>
      </w:r>
      <w:r w:rsidR="00D80C67" w:rsidRPr="0035041A">
        <w:rPr>
          <w:rFonts w:asciiTheme="minorHAnsi" w:eastAsia="Calibri" w:hAnsiTheme="minorHAnsi" w:cstheme="minorHAnsi"/>
          <w:color w:val="auto"/>
          <w:lang w:val="es-ES"/>
        </w:rPr>
        <w:t>preserv</w:t>
      </w:r>
      <w:r w:rsidR="0035041A">
        <w:rPr>
          <w:rFonts w:asciiTheme="minorHAnsi" w:eastAsia="Calibri" w:hAnsiTheme="minorHAnsi" w:cstheme="minorHAnsi"/>
          <w:color w:val="auto"/>
          <w:lang w:val="es-ES"/>
        </w:rPr>
        <w:t>a</w:t>
      </w:r>
      <w:r w:rsidR="00D80C67" w:rsidRPr="0035041A">
        <w:rPr>
          <w:rFonts w:asciiTheme="minorHAnsi" w:eastAsia="Calibri" w:hAnsiTheme="minorHAnsi" w:cstheme="minorHAnsi"/>
          <w:color w:val="auto"/>
          <w:lang w:val="es-ES"/>
        </w:rPr>
        <w:t>rá un mercado para LFC</w:t>
      </w:r>
      <w:r w:rsidR="0013180A">
        <w:rPr>
          <w:rFonts w:asciiTheme="minorHAnsi" w:eastAsia="Calibri" w:hAnsiTheme="minorHAnsi" w:cstheme="minorHAnsi"/>
          <w:color w:val="auto"/>
          <w:lang w:val="es-ES"/>
        </w:rPr>
        <w:t xml:space="preserve">, debido a los valores límites </w:t>
      </w:r>
      <w:r w:rsidR="003F798B">
        <w:rPr>
          <w:rFonts w:asciiTheme="minorHAnsi" w:eastAsia="Calibri" w:hAnsiTheme="minorHAnsi" w:cstheme="minorHAnsi"/>
          <w:color w:val="auto"/>
          <w:lang w:val="es-ES"/>
        </w:rPr>
        <w:t>incluidos en la NOM-017-ENER/SCFI-2012</w:t>
      </w:r>
      <w:r w:rsidR="008171F4" w:rsidRPr="0035041A">
        <w:rPr>
          <w:rFonts w:asciiTheme="minorHAnsi" w:eastAsia="Calibri" w:hAnsiTheme="minorHAnsi" w:cstheme="minorHAnsi"/>
          <w:color w:val="auto"/>
          <w:lang w:val="es-ES"/>
        </w:rPr>
        <w:t>. La propuesta (</w:t>
      </w:r>
      <w:r w:rsidR="008171F4" w:rsidRPr="0035041A">
        <w:rPr>
          <w:rFonts w:asciiTheme="minorHAnsi" w:eastAsia="Calibri" w:hAnsiTheme="minorHAnsi" w:cstheme="minorHAnsi"/>
          <w:i/>
          <w:color w:val="auto"/>
          <w:lang w:val="es-ES"/>
        </w:rPr>
        <w:t>Proposed Rule</w:t>
      </w:r>
      <w:r w:rsidR="008171F4" w:rsidRPr="0035041A">
        <w:rPr>
          <w:rFonts w:asciiTheme="minorHAnsi" w:eastAsia="Calibri" w:hAnsiTheme="minorHAnsi" w:cstheme="minorHAnsi"/>
          <w:color w:val="auto"/>
          <w:lang w:val="es-ES"/>
        </w:rPr>
        <w:t>) de DOE eliminará todos tipos de tecnologías ineficientes del mercado, mientras que no se apliquen límites específicos para ciertos tipos de lámparas (véase la sección 3.2.1).</w:t>
      </w:r>
    </w:p>
    <w:p w14:paraId="1A64A538" w14:textId="0FD0F86D" w:rsidR="00C3396B" w:rsidRPr="0035041A" w:rsidRDefault="008171F4" w:rsidP="001404E7">
      <w:pPr>
        <w:pStyle w:val="ListParagraph"/>
        <w:numPr>
          <w:ilvl w:val="0"/>
          <w:numId w:val="23"/>
        </w:numPr>
        <w:suppressAutoHyphens w:val="0"/>
        <w:rPr>
          <w:rFonts w:asciiTheme="minorHAnsi" w:eastAsia="Calibri" w:hAnsiTheme="minorHAnsi" w:cstheme="minorHAnsi"/>
          <w:color w:val="auto"/>
          <w:lang w:val="es-ES"/>
        </w:rPr>
      </w:pPr>
      <w:r w:rsidRPr="0035041A">
        <w:rPr>
          <w:rFonts w:asciiTheme="minorHAnsi" w:eastAsia="Calibri" w:hAnsiTheme="minorHAnsi" w:cstheme="minorHAnsi"/>
          <w:color w:val="auto"/>
          <w:lang w:val="es-ES"/>
        </w:rPr>
        <w:t>Los límites de desempeño energético mínimo de las NOM-ENER para productos de iluminación son más bajos que los límites de los reglamentos de EE.UU. y de la Unión Europea respectivamente. Ello significa que los proveedores de lámparas pueden comercializar en México productos de menor efic</w:t>
      </w:r>
      <w:r w:rsidR="0035041A">
        <w:rPr>
          <w:rFonts w:asciiTheme="minorHAnsi" w:eastAsia="Calibri" w:hAnsiTheme="minorHAnsi" w:cstheme="minorHAnsi"/>
          <w:color w:val="auto"/>
          <w:lang w:val="es-ES"/>
        </w:rPr>
        <w:t>acia</w:t>
      </w:r>
      <w:r w:rsidRPr="0035041A">
        <w:rPr>
          <w:rFonts w:asciiTheme="minorHAnsi" w:eastAsia="Calibri" w:hAnsiTheme="minorHAnsi" w:cstheme="minorHAnsi"/>
          <w:color w:val="auto"/>
          <w:lang w:val="es-ES"/>
        </w:rPr>
        <w:t xml:space="preserve"> que en otros mercados.</w:t>
      </w:r>
      <w:r w:rsidR="00C3396B" w:rsidRPr="0035041A">
        <w:rPr>
          <w:rFonts w:asciiTheme="minorHAnsi" w:eastAsia="Calibri" w:hAnsiTheme="minorHAnsi" w:cstheme="minorHAnsi"/>
          <w:color w:val="auto"/>
          <w:lang w:val="es-ES"/>
        </w:rPr>
        <w:t xml:space="preserve"> Esta afirmación supone que EE.UU. implementarán límites ambiciosos de acuerdo al </w:t>
      </w:r>
      <w:r w:rsidR="00C3396B" w:rsidRPr="0035041A">
        <w:rPr>
          <w:rFonts w:asciiTheme="minorHAnsi" w:eastAsia="Calibri" w:hAnsiTheme="minorHAnsi" w:cstheme="minorHAnsi"/>
          <w:i/>
          <w:color w:val="auto"/>
          <w:lang w:val="es-ES"/>
        </w:rPr>
        <w:t>Proposed Rule</w:t>
      </w:r>
      <w:r w:rsidR="00C3396B" w:rsidRPr="0035041A">
        <w:rPr>
          <w:rFonts w:asciiTheme="minorHAnsi" w:eastAsia="Calibri" w:hAnsiTheme="minorHAnsi" w:cstheme="minorHAnsi"/>
          <w:color w:val="auto"/>
          <w:lang w:val="es-ES"/>
        </w:rPr>
        <w:t xml:space="preserve"> de 2016 (incluidos límites más estrictos para lámparas ≥ 2.600 lm).</w:t>
      </w:r>
    </w:p>
    <w:p w14:paraId="246FD4A8" w14:textId="5684758A" w:rsidR="00D82142" w:rsidRDefault="00C3396B" w:rsidP="001404E7">
      <w:pPr>
        <w:pStyle w:val="ListParagraph"/>
        <w:numPr>
          <w:ilvl w:val="0"/>
          <w:numId w:val="23"/>
        </w:numPr>
        <w:suppressAutoHyphens w:val="0"/>
        <w:rPr>
          <w:rFonts w:asciiTheme="minorHAnsi" w:eastAsia="Calibri" w:hAnsiTheme="minorHAnsi" w:cstheme="minorHAnsi"/>
          <w:color w:val="auto"/>
          <w:lang w:val="es-ES"/>
        </w:rPr>
      </w:pPr>
      <w:r w:rsidRPr="0035041A">
        <w:rPr>
          <w:rFonts w:asciiTheme="minorHAnsi" w:eastAsia="Calibri" w:hAnsiTheme="minorHAnsi" w:cstheme="minorHAnsi"/>
          <w:color w:val="auto"/>
          <w:lang w:val="es-ES"/>
        </w:rPr>
        <w:t>Tanto en EE.UU. como en la Unión Europea existen tendencias hacia</w:t>
      </w:r>
      <w:r w:rsidRPr="0035041A">
        <w:rPr>
          <w:lang w:val="es-ES"/>
        </w:rPr>
        <w:t xml:space="preserve"> reglamentos de desempeño energético mínimo </w:t>
      </w:r>
      <w:r w:rsidR="00573932">
        <w:rPr>
          <w:lang w:val="es-ES"/>
        </w:rPr>
        <w:t>"</w:t>
      </w:r>
      <w:r w:rsidRPr="0035041A">
        <w:rPr>
          <w:rFonts w:asciiTheme="minorHAnsi" w:eastAsia="Calibri" w:hAnsiTheme="minorHAnsi" w:cstheme="minorHAnsi"/>
          <w:color w:val="auto"/>
          <w:lang w:val="es-ES"/>
        </w:rPr>
        <w:t>tecnológicamente neutrales</w:t>
      </w:r>
      <w:r w:rsidR="00573932">
        <w:rPr>
          <w:rFonts w:asciiTheme="minorHAnsi" w:eastAsia="Calibri" w:hAnsiTheme="minorHAnsi" w:cstheme="minorHAnsi"/>
          <w:color w:val="auto"/>
          <w:lang w:val="es-ES"/>
        </w:rPr>
        <w:t>"</w:t>
      </w:r>
      <w:r w:rsidRPr="0035041A">
        <w:rPr>
          <w:rFonts w:asciiTheme="minorHAnsi" w:eastAsia="Calibri" w:hAnsiTheme="minorHAnsi" w:cstheme="minorHAnsi"/>
          <w:color w:val="auto"/>
          <w:lang w:val="es-ES"/>
        </w:rPr>
        <w:t xml:space="preserve">, sea con </w:t>
      </w:r>
      <w:r w:rsidR="0035041A" w:rsidRPr="0035041A">
        <w:rPr>
          <w:rFonts w:asciiTheme="minorHAnsi" w:eastAsia="Calibri" w:hAnsiTheme="minorHAnsi" w:cstheme="minorHAnsi"/>
          <w:color w:val="auto"/>
          <w:lang w:val="es-ES"/>
        </w:rPr>
        <w:t xml:space="preserve">variaciones dependientes del tipo de lámpara (Unión Europea) o con un posible tratamiento </w:t>
      </w:r>
      <w:r w:rsidR="0035041A">
        <w:rPr>
          <w:rFonts w:asciiTheme="minorHAnsi" w:eastAsia="Calibri" w:hAnsiTheme="minorHAnsi" w:cstheme="minorHAnsi"/>
          <w:color w:val="auto"/>
          <w:lang w:val="es-ES"/>
        </w:rPr>
        <w:t xml:space="preserve">separado </w:t>
      </w:r>
      <w:r w:rsidR="0035041A" w:rsidRPr="0035041A">
        <w:rPr>
          <w:rFonts w:asciiTheme="minorHAnsi" w:eastAsia="Calibri" w:hAnsiTheme="minorHAnsi" w:cstheme="minorHAnsi"/>
          <w:color w:val="auto"/>
          <w:lang w:val="es-ES"/>
        </w:rPr>
        <w:t xml:space="preserve">de ciertos tipos de lámpara </w:t>
      </w:r>
      <w:r w:rsidR="00D72C91">
        <w:rPr>
          <w:rFonts w:asciiTheme="minorHAnsi" w:eastAsia="Calibri" w:hAnsiTheme="minorHAnsi" w:cstheme="minorHAnsi"/>
          <w:color w:val="auto"/>
          <w:lang w:val="es-ES"/>
        </w:rPr>
        <w:t>(</w:t>
      </w:r>
      <w:r w:rsidR="0035041A" w:rsidRPr="0035041A">
        <w:rPr>
          <w:rFonts w:asciiTheme="minorHAnsi" w:eastAsia="Calibri" w:hAnsiTheme="minorHAnsi" w:cstheme="minorHAnsi"/>
          <w:color w:val="auto"/>
          <w:lang w:val="es-ES"/>
        </w:rPr>
        <w:t>EE.UU.</w:t>
      </w:r>
      <w:r w:rsidR="00D72C91">
        <w:rPr>
          <w:rFonts w:asciiTheme="minorHAnsi" w:eastAsia="Calibri" w:hAnsiTheme="minorHAnsi" w:cstheme="minorHAnsi"/>
          <w:color w:val="auto"/>
          <w:lang w:val="es-ES"/>
        </w:rPr>
        <w:t>).</w:t>
      </w:r>
      <w:r w:rsidR="0035041A" w:rsidRPr="0035041A">
        <w:rPr>
          <w:rFonts w:asciiTheme="minorHAnsi" w:eastAsia="Calibri" w:hAnsiTheme="minorHAnsi" w:cstheme="minorHAnsi"/>
          <w:color w:val="auto"/>
          <w:lang w:val="es-ES"/>
        </w:rPr>
        <w:t xml:space="preserve"> </w:t>
      </w:r>
      <w:r w:rsidR="0035041A" w:rsidRPr="00335C9F">
        <w:rPr>
          <w:rFonts w:asciiTheme="minorHAnsi" w:eastAsia="Calibri" w:hAnsiTheme="minorHAnsi" w:cstheme="minorHAnsi"/>
          <w:color w:val="auto"/>
          <w:lang w:val="es-ES"/>
        </w:rPr>
        <w:t xml:space="preserve">Cabe mencionar que en ambos casos la discusión sobre los futuros reglamentos y límites todavía </w:t>
      </w:r>
      <w:r w:rsidR="00335C9F" w:rsidRPr="00335C9F">
        <w:rPr>
          <w:rFonts w:asciiTheme="minorHAnsi" w:eastAsia="Calibri" w:hAnsiTheme="minorHAnsi" w:cstheme="minorHAnsi"/>
          <w:color w:val="auto"/>
          <w:lang w:val="es-ES"/>
        </w:rPr>
        <w:t>no está concluida</w:t>
      </w:r>
      <w:r w:rsidR="0035041A" w:rsidRPr="0035041A">
        <w:rPr>
          <w:rFonts w:asciiTheme="minorHAnsi" w:eastAsia="Calibri" w:hAnsiTheme="minorHAnsi" w:cstheme="minorHAnsi"/>
          <w:color w:val="auto"/>
          <w:lang w:val="es-ES"/>
        </w:rPr>
        <w:t>.</w:t>
      </w:r>
      <w:r w:rsidRPr="0035041A">
        <w:rPr>
          <w:rFonts w:asciiTheme="minorHAnsi" w:eastAsia="Calibri" w:hAnsiTheme="minorHAnsi" w:cstheme="minorHAnsi"/>
          <w:color w:val="auto"/>
          <w:lang w:val="es-ES"/>
        </w:rPr>
        <w:t xml:space="preserve">  </w:t>
      </w:r>
    </w:p>
    <w:p w14:paraId="2A17303F" w14:textId="43A756AF" w:rsidR="00F647F8" w:rsidRDefault="00D82142" w:rsidP="001404E7">
      <w:pPr>
        <w:pStyle w:val="ListParagraph"/>
        <w:numPr>
          <w:ilvl w:val="0"/>
          <w:numId w:val="23"/>
        </w:num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 xml:space="preserve">Cabe mencionar que los límites de desempeño energético se establecen en EE.UU y en la Unión Europea en base de análisis de costo-beneficio rigorosa, observando los criterios de </w:t>
      </w:r>
      <w:r w:rsidRPr="00D82142">
        <w:rPr>
          <w:rFonts w:asciiTheme="minorHAnsi" w:eastAsia="Calibri" w:hAnsiTheme="minorHAnsi" w:cstheme="minorHAnsi"/>
          <w:color w:val="auto"/>
          <w:lang w:val="es-ES"/>
        </w:rPr>
        <w:t>factibilidad tecnológica</w:t>
      </w:r>
      <w:r w:rsidR="00F647F8">
        <w:rPr>
          <w:rFonts w:asciiTheme="minorHAnsi" w:eastAsia="Calibri" w:hAnsiTheme="minorHAnsi" w:cstheme="minorHAnsi"/>
          <w:color w:val="auto"/>
          <w:lang w:val="es-ES"/>
        </w:rPr>
        <w:t>, rentabilidad</w:t>
      </w:r>
      <w:r w:rsidRPr="00D82142">
        <w:rPr>
          <w:rFonts w:asciiTheme="minorHAnsi" w:eastAsia="Calibri" w:hAnsiTheme="minorHAnsi" w:cstheme="minorHAnsi"/>
          <w:color w:val="auto"/>
          <w:lang w:val="es-ES"/>
        </w:rPr>
        <w:t xml:space="preserve">, </w:t>
      </w:r>
      <w:r w:rsidR="00F647F8">
        <w:rPr>
          <w:rFonts w:asciiTheme="minorHAnsi" w:eastAsia="Calibri" w:hAnsiTheme="minorHAnsi" w:cstheme="minorHAnsi"/>
          <w:color w:val="auto"/>
          <w:lang w:val="es-ES"/>
        </w:rPr>
        <w:t>costos de ciclo de vida mínimas para el consumidor y ahorros energéticos significativos a nivel nacional respectivamente comunitario.</w:t>
      </w:r>
      <w:r w:rsidR="00F647F8">
        <w:rPr>
          <w:rStyle w:val="FootnoteReference"/>
          <w:rFonts w:asciiTheme="minorHAnsi" w:eastAsia="Calibri" w:hAnsiTheme="minorHAnsi" w:cstheme="minorHAnsi"/>
          <w:color w:val="auto"/>
        </w:rPr>
        <w:footnoteReference w:id="77"/>
      </w:r>
      <w:r w:rsidR="00F647F8">
        <w:rPr>
          <w:rFonts w:asciiTheme="minorHAnsi" w:eastAsia="Calibri" w:hAnsiTheme="minorHAnsi" w:cstheme="minorHAnsi"/>
          <w:color w:val="auto"/>
          <w:lang w:val="es-ES"/>
        </w:rPr>
        <w:t xml:space="preserve"> </w:t>
      </w:r>
    </w:p>
    <w:p w14:paraId="05B56114" w14:textId="309F9A38" w:rsidR="00016EFF" w:rsidRPr="00016EFF" w:rsidRDefault="00016EFF" w:rsidP="00016EFF">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Para el desarrollo de</w:t>
      </w:r>
      <w:r w:rsidR="00154DA5">
        <w:rPr>
          <w:rFonts w:asciiTheme="minorHAnsi" w:eastAsia="Calibri" w:hAnsiTheme="minorHAnsi" w:cstheme="minorHAnsi"/>
          <w:color w:val="auto"/>
          <w:lang w:val="es-ES"/>
        </w:rPr>
        <w:t xml:space="preserve"> </w:t>
      </w:r>
      <w:r>
        <w:rPr>
          <w:rFonts w:asciiTheme="minorHAnsi" w:eastAsia="Calibri" w:hAnsiTheme="minorHAnsi" w:cstheme="minorHAnsi"/>
          <w:color w:val="auto"/>
          <w:lang w:val="es-ES"/>
        </w:rPr>
        <w:t>l</w:t>
      </w:r>
      <w:r w:rsidR="00154DA5">
        <w:rPr>
          <w:rFonts w:asciiTheme="minorHAnsi" w:eastAsia="Calibri" w:hAnsiTheme="minorHAnsi" w:cstheme="minorHAnsi"/>
          <w:color w:val="auto"/>
          <w:lang w:val="es-ES"/>
        </w:rPr>
        <w:t xml:space="preserve">a norma / del </w:t>
      </w:r>
      <w:r>
        <w:rPr>
          <w:rFonts w:asciiTheme="minorHAnsi" w:eastAsia="Calibri" w:hAnsiTheme="minorHAnsi" w:cstheme="minorHAnsi"/>
          <w:color w:val="auto"/>
          <w:lang w:val="es-ES"/>
        </w:rPr>
        <w:t xml:space="preserve">reglamento </w:t>
      </w:r>
      <w:r w:rsidR="00154DA5">
        <w:rPr>
          <w:rFonts w:asciiTheme="minorHAnsi" w:eastAsia="Calibri" w:hAnsiTheme="minorHAnsi" w:cstheme="minorHAnsi"/>
          <w:color w:val="auto"/>
          <w:lang w:val="es-ES"/>
        </w:rPr>
        <w:t xml:space="preserve">DGNTI-COPANIT para productos de iluminación se deben tomar en consideración varios criterios: (i) la alineación con otras economías, </w:t>
      </w:r>
      <w:r w:rsidR="003F798B">
        <w:rPr>
          <w:rFonts w:asciiTheme="minorHAnsi" w:eastAsia="Calibri" w:hAnsiTheme="minorHAnsi" w:cstheme="minorHAnsi"/>
          <w:color w:val="auto"/>
          <w:lang w:val="es-ES"/>
        </w:rPr>
        <w:t xml:space="preserve">(ii) el alcance de productos de iluminación incluidos, </w:t>
      </w:r>
      <w:r w:rsidR="00154DA5">
        <w:rPr>
          <w:rFonts w:asciiTheme="minorHAnsi" w:eastAsia="Calibri" w:hAnsiTheme="minorHAnsi" w:cstheme="minorHAnsi"/>
          <w:color w:val="auto"/>
          <w:lang w:val="es-ES"/>
        </w:rPr>
        <w:t>(</w:t>
      </w:r>
      <w:r w:rsidR="003F798B">
        <w:rPr>
          <w:rFonts w:asciiTheme="minorHAnsi" w:eastAsia="Calibri" w:hAnsiTheme="minorHAnsi" w:cstheme="minorHAnsi"/>
          <w:color w:val="auto"/>
          <w:lang w:val="es-ES"/>
        </w:rPr>
        <w:t>i</w:t>
      </w:r>
      <w:r w:rsidR="00154DA5">
        <w:rPr>
          <w:rFonts w:asciiTheme="minorHAnsi" w:eastAsia="Calibri" w:hAnsiTheme="minorHAnsi" w:cstheme="minorHAnsi"/>
          <w:color w:val="auto"/>
          <w:lang w:val="es-ES"/>
        </w:rPr>
        <w:t>ii) el grado de ambición de implementar límites de desempeño energético mínimo exigentes</w:t>
      </w:r>
      <w:r w:rsidR="00253F6D">
        <w:rPr>
          <w:rFonts w:asciiTheme="minorHAnsi" w:eastAsia="Calibri" w:hAnsiTheme="minorHAnsi" w:cstheme="minorHAnsi"/>
          <w:color w:val="auto"/>
          <w:lang w:val="es-ES"/>
        </w:rPr>
        <w:t xml:space="preserve">, de </w:t>
      </w:r>
      <w:r w:rsidR="008A6671">
        <w:rPr>
          <w:rFonts w:asciiTheme="minorHAnsi" w:eastAsia="Calibri" w:hAnsiTheme="minorHAnsi" w:cstheme="minorHAnsi"/>
          <w:color w:val="auto"/>
          <w:lang w:val="es-ES"/>
        </w:rPr>
        <w:t>acuerdo a los análisis de costo-beneficio realizados</w:t>
      </w:r>
      <w:r w:rsidR="00154DA5">
        <w:rPr>
          <w:rFonts w:asciiTheme="minorHAnsi" w:eastAsia="Calibri" w:hAnsiTheme="minorHAnsi" w:cstheme="minorHAnsi"/>
          <w:color w:val="auto"/>
          <w:lang w:val="es-ES"/>
        </w:rPr>
        <w:t>, para lograr una transición efectiva del mercado de productos de iluminación, y (i</w:t>
      </w:r>
      <w:r w:rsidR="003F798B">
        <w:rPr>
          <w:rFonts w:asciiTheme="minorHAnsi" w:eastAsia="Calibri" w:hAnsiTheme="minorHAnsi" w:cstheme="minorHAnsi"/>
          <w:color w:val="auto"/>
          <w:lang w:val="es-ES"/>
        </w:rPr>
        <w:t>v</w:t>
      </w:r>
      <w:r w:rsidR="00154DA5">
        <w:rPr>
          <w:rFonts w:asciiTheme="minorHAnsi" w:eastAsia="Calibri" w:hAnsiTheme="minorHAnsi" w:cstheme="minorHAnsi"/>
          <w:color w:val="auto"/>
          <w:lang w:val="es-ES"/>
        </w:rPr>
        <w:t xml:space="preserve">) el grado de </w:t>
      </w:r>
      <w:r w:rsidR="00573932">
        <w:rPr>
          <w:rFonts w:asciiTheme="minorHAnsi" w:eastAsia="Calibri" w:hAnsiTheme="minorHAnsi" w:cstheme="minorHAnsi"/>
          <w:color w:val="auto"/>
          <w:lang w:val="es-ES"/>
        </w:rPr>
        <w:t>"</w:t>
      </w:r>
      <w:r w:rsidR="00154DA5">
        <w:rPr>
          <w:rFonts w:asciiTheme="minorHAnsi" w:eastAsia="Calibri" w:hAnsiTheme="minorHAnsi" w:cstheme="minorHAnsi"/>
          <w:color w:val="auto"/>
          <w:lang w:val="es-ES"/>
        </w:rPr>
        <w:t>neutralidad tecnológica</w:t>
      </w:r>
      <w:r w:rsidR="00573932">
        <w:rPr>
          <w:rFonts w:asciiTheme="minorHAnsi" w:eastAsia="Calibri" w:hAnsiTheme="minorHAnsi" w:cstheme="minorHAnsi"/>
          <w:color w:val="auto"/>
          <w:lang w:val="es-ES"/>
        </w:rPr>
        <w:t>"</w:t>
      </w:r>
      <w:r w:rsidR="00154DA5">
        <w:rPr>
          <w:rFonts w:asciiTheme="minorHAnsi" w:eastAsia="Calibri" w:hAnsiTheme="minorHAnsi" w:cstheme="minorHAnsi"/>
          <w:color w:val="auto"/>
          <w:lang w:val="es-ES"/>
        </w:rPr>
        <w:t xml:space="preserve"> de la norma / del reglamento.</w:t>
      </w:r>
    </w:p>
    <w:p w14:paraId="3107C50C" w14:textId="7B7C1D16" w:rsidR="00CD5E63" w:rsidRPr="00CD5E63" w:rsidRDefault="00CD5E63" w:rsidP="00CD5E63">
      <w:pPr>
        <w:pStyle w:val="Heading3"/>
        <w:rPr>
          <w:lang w:val="es-ES"/>
        </w:rPr>
      </w:pPr>
      <w:bookmarkStart w:id="50" w:name="_Toc516146019"/>
      <w:r>
        <w:rPr>
          <w:lang w:val="es-ES"/>
        </w:rPr>
        <w:t>Métodos de prueba</w:t>
      </w:r>
      <w:bookmarkEnd w:id="50"/>
    </w:p>
    <w:p w14:paraId="109E5161" w14:textId="0A6753B5" w:rsidR="002050A4" w:rsidRDefault="002050A4" w:rsidP="00CD5E63">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Se observan, de lo expuesto anteriormente, diferencias entre los métodos de prueba para productos de iluminación aplicados en EE.UU., la Unión Europea y México:</w:t>
      </w:r>
    </w:p>
    <w:p w14:paraId="080B8D4B" w14:textId="1D48B242" w:rsidR="002050A4" w:rsidRPr="00390A3F" w:rsidRDefault="002050A4" w:rsidP="001404E7">
      <w:pPr>
        <w:pStyle w:val="ListParagraph"/>
        <w:numPr>
          <w:ilvl w:val="0"/>
          <w:numId w:val="24"/>
        </w:numPr>
        <w:suppressAutoHyphens w:val="0"/>
        <w:rPr>
          <w:rFonts w:asciiTheme="minorHAnsi" w:eastAsia="Calibri" w:hAnsiTheme="minorHAnsi" w:cstheme="minorHAnsi"/>
          <w:color w:val="auto"/>
          <w:lang w:val="es-ES"/>
        </w:rPr>
      </w:pPr>
      <w:r w:rsidRPr="00390A3F">
        <w:rPr>
          <w:rFonts w:asciiTheme="minorHAnsi" w:eastAsia="Calibri" w:hAnsiTheme="minorHAnsi" w:cstheme="minorHAnsi"/>
          <w:color w:val="auto"/>
          <w:lang w:val="es-ES"/>
        </w:rPr>
        <w:t>Los métodos de prueba aplicados en EE.UU. son bien específicos, en el sentido que las normas</w:t>
      </w:r>
      <w:r w:rsidR="00C875A4">
        <w:rPr>
          <w:rFonts w:asciiTheme="minorHAnsi" w:eastAsia="Calibri" w:hAnsiTheme="minorHAnsi" w:cstheme="minorHAnsi"/>
          <w:color w:val="auto"/>
          <w:lang w:val="es-ES"/>
        </w:rPr>
        <w:t xml:space="preserve"> y</w:t>
      </w:r>
      <w:r w:rsidRPr="00390A3F">
        <w:rPr>
          <w:rFonts w:asciiTheme="minorHAnsi" w:eastAsia="Calibri" w:hAnsiTheme="minorHAnsi" w:cstheme="minorHAnsi"/>
          <w:color w:val="auto"/>
          <w:lang w:val="es-ES"/>
        </w:rPr>
        <w:t xml:space="preserve"> guías IES/IESNA incorporadas por referencia no son equivalentes con las normas internacionales IEC correspondientes. De otra parte, los métodos de prueba definidas por las guías IES/IESNA son más detalladas que los métodos incluidos en las normas IEC.</w:t>
      </w:r>
      <w:r>
        <w:rPr>
          <w:rStyle w:val="FootnoteReference"/>
          <w:rFonts w:asciiTheme="minorHAnsi" w:eastAsia="Calibri" w:hAnsiTheme="minorHAnsi" w:cstheme="minorHAnsi"/>
          <w:color w:val="auto"/>
        </w:rPr>
        <w:footnoteReference w:id="78"/>
      </w:r>
      <w:r w:rsidRPr="00390A3F">
        <w:rPr>
          <w:rFonts w:asciiTheme="minorHAnsi" w:eastAsia="Calibri" w:hAnsiTheme="minorHAnsi" w:cstheme="minorHAnsi"/>
          <w:color w:val="auto"/>
          <w:lang w:val="es-ES"/>
        </w:rPr>
        <w:t xml:space="preserve"> </w:t>
      </w:r>
    </w:p>
    <w:p w14:paraId="2ADD7CF0" w14:textId="329E0394" w:rsidR="001C480E" w:rsidRPr="00390A3F" w:rsidRDefault="001C480E" w:rsidP="001404E7">
      <w:pPr>
        <w:pStyle w:val="ListParagraph"/>
        <w:numPr>
          <w:ilvl w:val="0"/>
          <w:numId w:val="24"/>
        </w:numPr>
        <w:suppressAutoHyphens w:val="0"/>
        <w:rPr>
          <w:rFonts w:asciiTheme="minorHAnsi" w:eastAsia="Calibri" w:hAnsiTheme="minorHAnsi" w:cstheme="minorHAnsi"/>
          <w:color w:val="auto"/>
          <w:lang w:val="es-ES"/>
        </w:rPr>
      </w:pPr>
      <w:r w:rsidRPr="00390A3F">
        <w:rPr>
          <w:rFonts w:asciiTheme="minorHAnsi" w:eastAsia="Calibri" w:hAnsiTheme="minorHAnsi" w:cstheme="minorHAnsi"/>
          <w:color w:val="auto"/>
          <w:lang w:val="es-ES"/>
        </w:rPr>
        <w:t xml:space="preserve">En la </w:t>
      </w:r>
      <w:r w:rsidR="00390A3F" w:rsidRPr="00390A3F">
        <w:rPr>
          <w:rFonts w:asciiTheme="minorHAnsi" w:eastAsia="Calibri" w:hAnsiTheme="minorHAnsi" w:cstheme="minorHAnsi"/>
          <w:color w:val="auto"/>
          <w:lang w:val="es-ES"/>
        </w:rPr>
        <w:t>Unión Europea se aplican las normas armonizadas europeas (EN), elaboradas o actualiza</w:t>
      </w:r>
      <w:r w:rsidR="004562C3">
        <w:rPr>
          <w:rFonts w:asciiTheme="minorHAnsi" w:eastAsia="Calibri" w:hAnsiTheme="minorHAnsi" w:cstheme="minorHAnsi"/>
          <w:color w:val="auto"/>
          <w:lang w:val="es-ES"/>
        </w:rPr>
        <w:t>das</w:t>
      </w:r>
      <w:r w:rsidR="00390A3F" w:rsidRPr="00390A3F">
        <w:rPr>
          <w:rFonts w:asciiTheme="minorHAnsi" w:eastAsia="Calibri" w:hAnsiTheme="minorHAnsi" w:cstheme="minorHAnsi"/>
          <w:color w:val="auto"/>
          <w:lang w:val="es-ES"/>
        </w:rPr>
        <w:t xml:space="preserve"> por los organismos de normalización europeos por mandato de la Comisión Europea. La elaboración de las normas EN es coordinada con la elaboración / actualización de las normas internacionales correspondientes de parte de la Comisión Electrotécnica Internacional (IEC).</w:t>
      </w:r>
      <w:r w:rsidRPr="00390A3F">
        <w:rPr>
          <w:rFonts w:asciiTheme="minorHAnsi" w:eastAsia="Calibri" w:hAnsiTheme="minorHAnsi" w:cstheme="minorHAnsi"/>
          <w:color w:val="auto"/>
          <w:lang w:val="es-ES"/>
        </w:rPr>
        <w:t xml:space="preserve"> </w:t>
      </w:r>
    </w:p>
    <w:p w14:paraId="149558CE" w14:textId="44FAC75F" w:rsidR="002050A4" w:rsidRPr="00390A3F" w:rsidRDefault="001C480E" w:rsidP="001404E7">
      <w:pPr>
        <w:pStyle w:val="ListParagraph"/>
        <w:numPr>
          <w:ilvl w:val="0"/>
          <w:numId w:val="24"/>
        </w:numPr>
        <w:suppressAutoHyphens w:val="0"/>
        <w:rPr>
          <w:rFonts w:asciiTheme="minorHAnsi" w:eastAsia="Calibri" w:hAnsiTheme="minorHAnsi" w:cstheme="minorHAnsi"/>
          <w:color w:val="auto"/>
          <w:lang w:val="es-ES"/>
        </w:rPr>
      </w:pPr>
      <w:r w:rsidRPr="00390A3F">
        <w:rPr>
          <w:rFonts w:asciiTheme="minorHAnsi" w:eastAsia="Calibri" w:hAnsiTheme="minorHAnsi" w:cstheme="minorHAnsi"/>
          <w:color w:val="auto"/>
          <w:lang w:val="es-ES"/>
        </w:rPr>
        <w:lastRenderedPageBreak/>
        <w:t>Los métodos de prueba incluidos en las NOM-ENER para productos de iluminación se refieren a normas mexicanas NMX, de las cuales varias tienen un cierto grad</w:t>
      </w:r>
      <w:r w:rsidR="00D72C91">
        <w:rPr>
          <w:rFonts w:asciiTheme="minorHAnsi" w:eastAsia="Calibri" w:hAnsiTheme="minorHAnsi" w:cstheme="minorHAnsi"/>
          <w:color w:val="auto"/>
          <w:lang w:val="es-ES"/>
        </w:rPr>
        <w:t>o</w:t>
      </w:r>
      <w:r w:rsidRPr="00390A3F">
        <w:rPr>
          <w:rFonts w:asciiTheme="minorHAnsi" w:eastAsia="Calibri" w:hAnsiTheme="minorHAnsi" w:cstheme="minorHAnsi"/>
          <w:color w:val="auto"/>
          <w:lang w:val="es-ES"/>
        </w:rPr>
        <w:t xml:space="preserve"> de equivalencia (coincidencia  básica) con las normas internacionales IEC correspondientes. </w:t>
      </w:r>
    </w:p>
    <w:p w14:paraId="121F2B37" w14:textId="384A4712" w:rsidR="00CD5E63" w:rsidRDefault="00224CE7" w:rsidP="00CD5E63">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Un criterio importante para la aplicación de métodos de prueba es su grado de equivalencia con los métodos de prueba internacionales o nacionales de otras economías que influyen en el mercado nacional.</w:t>
      </w:r>
    </w:p>
    <w:p w14:paraId="63054C02" w14:textId="3409AFEB" w:rsidR="00224CE7" w:rsidRDefault="00224CE7" w:rsidP="00CD5E63">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 xml:space="preserve">Las economías con mayor influencia en el mercado panameño de productos consumidores de energía son supuestamente México y EE.UU., que tienen sus propios métodos de prueba. Mientras que los métodos de prueba de EE.UU. no son equivalentes a normas internacionales IEC, los métodos de prueba mexicanas tienen un cierto grado de </w:t>
      </w:r>
      <w:r w:rsidR="00D72C91">
        <w:rPr>
          <w:rFonts w:asciiTheme="minorHAnsi" w:eastAsia="Calibri" w:hAnsiTheme="minorHAnsi" w:cstheme="minorHAnsi"/>
          <w:color w:val="auto"/>
          <w:lang w:val="es-ES"/>
        </w:rPr>
        <w:t>coincidencia</w:t>
      </w:r>
      <w:r>
        <w:rPr>
          <w:rFonts w:asciiTheme="minorHAnsi" w:eastAsia="Calibri" w:hAnsiTheme="minorHAnsi" w:cstheme="minorHAnsi"/>
          <w:color w:val="auto"/>
          <w:lang w:val="es-ES"/>
        </w:rPr>
        <w:t xml:space="preserve"> con las normas IEC correspondientes. De otra parte, las normas de medición armonizadas europeas (normas EN) están armonizadas con las normas internacionales </w:t>
      </w:r>
      <w:r w:rsidR="009F7BAD">
        <w:rPr>
          <w:rFonts w:asciiTheme="minorHAnsi" w:eastAsia="Calibri" w:hAnsiTheme="minorHAnsi" w:cstheme="minorHAnsi"/>
          <w:color w:val="auto"/>
          <w:lang w:val="es-ES"/>
        </w:rPr>
        <w:t xml:space="preserve">ISO/IEC </w:t>
      </w:r>
      <w:r>
        <w:rPr>
          <w:rFonts w:asciiTheme="minorHAnsi" w:eastAsia="Calibri" w:hAnsiTheme="minorHAnsi" w:cstheme="minorHAnsi"/>
          <w:color w:val="auto"/>
          <w:lang w:val="es-ES"/>
        </w:rPr>
        <w:t xml:space="preserve">correspondientes, debido al </w:t>
      </w:r>
      <w:r w:rsidR="009F7BAD" w:rsidRPr="009F7BAD">
        <w:rPr>
          <w:rFonts w:asciiTheme="minorHAnsi" w:eastAsia="Calibri" w:hAnsiTheme="minorHAnsi" w:cstheme="minorHAnsi"/>
          <w:color w:val="auto"/>
          <w:lang w:val="es-ES"/>
        </w:rPr>
        <w:t xml:space="preserve"> Acuerdo de Cooperación Técnica entre CEN e ISO ("Acuerdo de Viena") de 1991</w:t>
      </w:r>
      <w:r w:rsidR="009F7BAD">
        <w:rPr>
          <w:rFonts w:asciiTheme="minorHAnsi" w:eastAsia="Calibri" w:hAnsiTheme="minorHAnsi" w:cstheme="minorHAnsi"/>
          <w:color w:val="auto"/>
          <w:lang w:val="es-ES"/>
        </w:rPr>
        <w:t>.</w:t>
      </w:r>
    </w:p>
    <w:p w14:paraId="61F059D0" w14:textId="490A54AC" w:rsidR="00F33EF6" w:rsidRDefault="009F7BAD" w:rsidP="00CD5E63">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 xml:space="preserve">Tomando en consideración la cercanía relativa entre los métodos de prueba mexicanos y las EN, no existe un argumento fuerte en favor de una alineación de los métodos de prueba panameños a los de EE.UU. Tomando en consideración, de otra parte, que el diseño de las lámparas no muestra particularidades regionales (como es por ejemplo el caso con los refrigeradores), </w:t>
      </w:r>
      <w:r w:rsidRPr="00AF36E3">
        <w:rPr>
          <w:rFonts w:asciiTheme="minorHAnsi" w:eastAsia="Calibri" w:hAnsiTheme="minorHAnsi" w:cstheme="minorHAnsi"/>
          <w:color w:val="auto"/>
          <w:lang w:val="es-ES"/>
        </w:rPr>
        <w:t>se puede considerar una alineación con normas internacionales IEC, sin el "desvío" a través de los métodos de prueba mexicanos</w:t>
      </w:r>
      <w:r>
        <w:rPr>
          <w:rFonts w:asciiTheme="minorHAnsi" w:eastAsia="Calibri" w:hAnsiTheme="minorHAnsi" w:cstheme="minorHAnsi"/>
          <w:color w:val="auto"/>
          <w:lang w:val="es-ES"/>
        </w:rPr>
        <w:t>.</w:t>
      </w:r>
      <w:r w:rsidR="00AF36E3">
        <w:rPr>
          <w:rStyle w:val="FootnoteReference"/>
          <w:rFonts w:asciiTheme="minorHAnsi" w:eastAsia="Calibri" w:hAnsiTheme="minorHAnsi" w:cstheme="minorHAnsi"/>
          <w:color w:val="auto"/>
        </w:rPr>
        <w:footnoteReference w:id="79"/>
      </w:r>
    </w:p>
    <w:p w14:paraId="627DE594" w14:textId="77777777" w:rsidR="00CD5E63" w:rsidRPr="00CD5E63" w:rsidRDefault="00CD5E63" w:rsidP="00CD5E63">
      <w:pPr>
        <w:pStyle w:val="Heading3"/>
        <w:rPr>
          <w:lang w:val="es-ES"/>
        </w:rPr>
      </w:pPr>
      <w:bookmarkStart w:id="51" w:name="_Toc516146020"/>
      <w:r w:rsidRPr="00CD5E63">
        <w:rPr>
          <w:lang w:val="es-ES"/>
        </w:rPr>
        <w:t>Procedimientos de evaluación de la conformidad</w:t>
      </w:r>
      <w:bookmarkEnd w:id="51"/>
    </w:p>
    <w:p w14:paraId="58D3DAE3" w14:textId="05EB7E60" w:rsidR="00515208" w:rsidRDefault="00515208" w:rsidP="00CD5E63">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Los procedimientos de evaluación de la conformidad de acuerdo al reglamento de EE.UU.,</w:t>
      </w:r>
      <w:r w:rsidR="00C86C19">
        <w:rPr>
          <w:rFonts w:asciiTheme="minorHAnsi" w:eastAsia="Calibri" w:hAnsiTheme="minorHAnsi" w:cstheme="minorHAnsi"/>
          <w:color w:val="auto"/>
          <w:lang w:val="es-ES"/>
        </w:rPr>
        <w:t xml:space="preserve"> a</w:t>
      </w:r>
      <w:r>
        <w:rPr>
          <w:rFonts w:asciiTheme="minorHAnsi" w:eastAsia="Calibri" w:hAnsiTheme="minorHAnsi" w:cstheme="minorHAnsi"/>
          <w:color w:val="auto"/>
          <w:lang w:val="es-ES"/>
        </w:rPr>
        <w:t xml:space="preserve"> </w:t>
      </w:r>
      <w:r w:rsidR="009A6B13">
        <w:rPr>
          <w:rFonts w:asciiTheme="minorHAnsi" w:eastAsia="Calibri" w:hAnsiTheme="minorHAnsi" w:cstheme="minorHAnsi"/>
          <w:color w:val="auto"/>
          <w:lang w:val="es-ES"/>
        </w:rPr>
        <w:t xml:space="preserve">la Directiva Europea 2009/125/EC de diseño ecológico y </w:t>
      </w:r>
      <w:r w:rsidR="00C86C19">
        <w:rPr>
          <w:rFonts w:asciiTheme="minorHAnsi" w:eastAsia="Calibri" w:hAnsiTheme="minorHAnsi" w:cstheme="minorHAnsi"/>
          <w:color w:val="auto"/>
          <w:lang w:val="es-ES"/>
        </w:rPr>
        <w:t xml:space="preserve">a </w:t>
      </w:r>
      <w:r w:rsidR="009A6B13">
        <w:rPr>
          <w:rFonts w:asciiTheme="minorHAnsi" w:eastAsia="Calibri" w:hAnsiTheme="minorHAnsi" w:cstheme="minorHAnsi"/>
          <w:color w:val="auto"/>
          <w:lang w:val="es-ES"/>
        </w:rPr>
        <w:t xml:space="preserve">las NOM-ENER para productos de iluminación </w:t>
      </w:r>
      <w:r w:rsidR="00C86C19">
        <w:rPr>
          <w:rFonts w:asciiTheme="minorHAnsi" w:eastAsia="Calibri" w:hAnsiTheme="minorHAnsi" w:cstheme="minorHAnsi"/>
          <w:color w:val="auto"/>
          <w:lang w:val="es-ES"/>
        </w:rPr>
        <w:t>se distinguen por su alcance, detalle y referencias:</w:t>
      </w:r>
    </w:p>
    <w:p w14:paraId="10DD3C81" w14:textId="3BCDD8EC" w:rsidR="00746D4E" w:rsidRPr="00960FCD" w:rsidRDefault="00746D4E" w:rsidP="001404E7">
      <w:pPr>
        <w:pStyle w:val="ListParagraph"/>
        <w:numPr>
          <w:ilvl w:val="0"/>
          <w:numId w:val="31"/>
        </w:numPr>
        <w:suppressAutoHyphens w:val="0"/>
        <w:rPr>
          <w:rFonts w:asciiTheme="minorHAnsi" w:eastAsia="Calibri" w:hAnsiTheme="minorHAnsi" w:cstheme="minorHAnsi"/>
          <w:color w:val="auto"/>
          <w:lang w:val="es-ES"/>
        </w:rPr>
      </w:pPr>
      <w:r w:rsidRPr="00960FCD">
        <w:rPr>
          <w:rFonts w:asciiTheme="minorHAnsi" w:eastAsia="Calibri" w:hAnsiTheme="minorHAnsi" w:cstheme="minorHAnsi"/>
          <w:color w:val="auto"/>
          <w:lang w:val="es-ES"/>
        </w:rPr>
        <w:t xml:space="preserve">Los procedimientos de certificación en EE.UU., de acuerdo al rubro </w:t>
      </w:r>
      <w:r w:rsidRPr="00960FCD">
        <w:rPr>
          <w:rFonts w:asciiTheme="minorHAnsi" w:eastAsia="Calibri" w:hAnsiTheme="minorHAnsi" w:cstheme="minorHAnsi"/>
          <w:i/>
          <w:color w:val="auto"/>
          <w:lang w:val="es-ES"/>
        </w:rPr>
        <w:t>Enforcement for Consumer Products and Commercial and Industrial Equipment (Title 10: Energy, Chapter II, Subchapter D, Part 429)</w:t>
      </w:r>
      <w:r w:rsidRPr="00960FCD">
        <w:rPr>
          <w:rFonts w:asciiTheme="minorHAnsi" w:eastAsia="Calibri" w:hAnsiTheme="minorHAnsi" w:cstheme="minorHAnsi"/>
          <w:color w:val="auto"/>
          <w:lang w:val="es-ES"/>
        </w:rPr>
        <w:t xml:space="preserve"> incluyen</w:t>
      </w:r>
      <w:r w:rsidRPr="00960FCD">
        <w:rPr>
          <w:lang w:val="es-ES"/>
        </w:rPr>
        <w:t xml:space="preserve"> </w:t>
      </w:r>
      <w:r w:rsidRPr="00960FCD">
        <w:rPr>
          <w:rFonts w:asciiTheme="minorHAnsi" w:eastAsia="Calibri" w:hAnsiTheme="minorHAnsi" w:cstheme="minorHAnsi"/>
          <w:color w:val="auto"/>
          <w:lang w:val="es-ES"/>
        </w:rPr>
        <w:t xml:space="preserve">estipulaciones con respecto al muestreo, los informes de certificación y la presentación de los datos de los ensayos. </w:t>
      </w:r>
    </w:p>
    <w:p w14:paraId="40940F3F" w14:textId="495C82E2" w:rsidR="00E838E4" w:rsidRPr="00960FCD" w:rsidRDefault="00E838E4" w:rsidP="001404E7">
      <w:pPr>
        <w:pStyle w:val="ListParagraph"/>
        <w:numPr>
          <w:ilvl w:val="0"/>
          <w:numId w:val="31"/>
        </w:numPr>
        <w:suppressAutoHyphens w:val="0"/>
        <w:rPr>
          <w:rFonts w:asciiTheme="minorHAnsi" w:eastAsia="Calibri" w:hAnsiTheme="minorHAnsi" w:cstheme="minorHAnsi"/>
          <w:color w:val="auto"/>
          <w:lang w:val="es-ES"/>
        </w:rPr>
      </w:pPr>
      <w:r w:rsidRPr="00960FCD">
        <w:rPr>
          <w:rFonts w:asciiTheme="minorHAnsi" w:eastAsia="Calibri" w:hAnsiTheme="minorHAnsi" w:cstheme="minorHAnsi"/>
          <w:color w:val="auto"/>
          <w:lang w:val="es-ES"/>
        </w:rPr>
        <w:t>De acuerdo al Artículo 8 de la Directiva 2009/125/CE de diseño ecológico, se permiten dos métodos: (i) Control interno de diseño, y (ii) Sistema de gestión para la evaluación de la conformidad, que se detallan los Anexos IV y V de la Directiva.</w:t>
      </w:r>
      <w:r w:rsidR="00C86C19" w:rsidRPr="00960FCD">
        <w:rPr>
          <w:rFonts w:asciiTheme="minorHAnsi" w:eastAsia="Calibri" w:hAnsiTheme="minorHAnsi" w:cstheme="minorHAnsi"/>
          <w:color w:val="auto"/>
          <w:lang w:val="es-ES"/>
        </w:rPr>
        <w:t xml:space="preserve"> Ambos métodos se refieren al marco comunitario de los procedimientos de evaluación de la conformidad, de acuerdo a la Decisión de la Comisión Europea 768/2008/CE.</w:t>
      </w:r>
    </w:p>
    <w:p w14:paraId="13C610D3" w14:textId="455ED427" w:rsidR="00E838E4" w:rsidRPr="00960FCD" w:rsidRDefault="00E838E4" w:rsidP="001404E7">
      <w:pPr>
        <w:pStyle w:val="ListParagraph"/>
        <w:numPr>
          <w:ilvl w:val="0"/>
          <w:numId w:val="31"/>
        </w:numPr>
        <w:suppressAutoHyphens w:val="0"/>
        <w:rPr>
          <w:rFonts w:asciiTheme="minorHAnsi" w:eastAsia="Calibri" w:hAnsiTheme="minorHAnsi" w:cstheme="minorHAnsi"/>
          <w:color w:val="auto"/>
          <w:lang w:val="es-ES"/>
        </w:rPr>
      </w:pPr>
      <w:r w:rsidRPr="00960FCD">
        <w:rPr>
          <w:rFonts w:asciiTheme="minorHAnsi" w:eastAsia="Calibri" w:hAnsiTheme="minorHAnsi" w:cstheme="minorHAnsi"/>
          <w:color w:val="auto"/>
          <w:lang w:val="es-ES"/>
        </w:rPr>
        <w:t>De acuerdo a las NOM-ENER para productos de iluminación, el solicitante del certificado de conformidad puede optar por la modalidad de certificación mediante pruebas periódicas al producto, o por la modalidad de certificación mediante el sistema de aseguramiento de la calidad de la línea de producción.</w:t>
      </w:r>
      <w:r w:rsidR="00C86C19" w:rsidRPr="00960FCD">
        <w:rPr>
          <w:rFonts w:asciiTheme="minorHAnsi" w:eastAsia="Calibri" w:hAnsiTheme="minorHAnsi" w:cstheme="minorHAnsi"/>
          <w:color w:val="auto"/>
          <w:lang w:val="es-ES"/>
        </w:rPr>
        <w:t xml:space="preserve"> Ambos métodos son especificados en detalle en las NOM-ENER, con referencia a la Ley Federal de </w:t>
      </w:r>
      <w:r w:rsidR="00A917D9">
        <w:rPr>
          <w:rFonts w:asciiTheme="minorHAnsi" w:eastAsia="Calibri" w:hAnsiTheme="minorHAnsi" w:cstheme="minorHAnsi"/>
          <w:color w:val="auto"/>
          <w:lang w:val="es-ES"/>
        </w:rPr>
        <w:t xml:space="preserve">Metrología y </w:t>
      </w:r>
      <w:r w:rsidR="00C86C19" w:rsidRPr="00960FCD">
        <w:rPr>
          <w:rFonts w:asciiTheme="minorHAnsi" w:eastAsia="Calibri" w:hAnsiTheme="minorHAnsi" w:cstheme="minorHAnsi"/>
          <w:color w:val="auto"/>
          <w:lang w:val="es-ES"/>
        </w:rPr>
        <w:t>Normalización y su Regl</w:t>
      </w:r>
      <w:r w:rsidR="00252B17" w:rsidRPr="00960FCD">
        <w:rPr>
          <w:rFonts w:asciiTheme="minorHAnsi" w:eastAsia="Calibri" w:hAnsiTheme="minorHAnsi" w:cstheme="minorHAnsi"/>
          <w:color w:val="auto"/>
          <w:lang w:val="es-ES"/>
        </w:rPr>
        <w:t>a</w:t>
      </w:r>
      <w:r w:rsidR="00C86C19" w:rsidRPr="00960FCD">
        <w:rPr>
          <w:rFonts w:asciiTheme="minorHAnsi" w:eastAsia="Calibri" w:hAnsiTheme="minorHAnsi" w:cstheme="minorHAnsi"/>
          <w:color w:val="auto"/>
          <w:lang w:val="es-ES"/>
        </w:rPr>
        <w:t>mento.</w:t>
      </w:r>
    </w:p>
    <w:p w14:paraId="3ABE5409" w14:textId="135C865F" w:rsidR="00C86C19" w:rsidRPr="00960FCD" w:rsidRDefault="00C86C19" w:rsidP="00960FCD">
      <w:pPr>
        <w:suppressAutoHyphens w:val="0"/>
        <w:rPr>
          <w:rFonts w:asciiTheme="minorHAnsi" w:eastAsia="Calibri" w:hAnsiTheme="minorHAnsi" w:cstheme="minorHAnsi"/>
          <w:color w:val="auto"/>
          <w:lang w:val="es-ES"/>
        </w:rPr>
      </w:pPr>
      <w:r w:rsidRPr="00960FCD">
        <w:rPr>
          <w:rFonts w:asciiTheme="minorHAnsi" w:eastAsia="Calibri" w:hAnsiTheme="minorHAnsi" w:cstheme="minorHAnsi"/>
          <w:color w:val="auto"/>
          <w:lang w:val="es-ES"/>
        </w:rPr>
        <w:t>Ello significa que por lo menos los procedimientos de la Unión Europea y de México se</w:t>
      </w:r>
      <w:r w:rsidR="00252B17" w:rsidRPr="00960FCD">
        <w:rPr>
          <w:rFonts w:asciiTheme="minorHAnsi" w:eastAsia="Calibri" w:hAnsiTheme="minorHAnsi" w:cstheme="minorHAnsi"/>
          <w:color w:val="auto"/>
          <w:lang w:val="es-ES"/>
        </w:rPr>
        <w:t xml:space="preserve"> refieren a actos legislativos comunitarios y nacionales respectivamente, que fund</w:t>
      </w:r>
      <w:r w:rsidR="00960FCD" w:rsidRPr="00960FCD">
        <w:rPr>
          <w:rFonts w:asciiTheme="minorHAnsi" w:eastAsia="Calibri" w:hAnsiTheme="minorHAnsi" w:cstheme="minorHAnsi"/>
          <w:color w:val="auto"/>
          <w:lang w:val="es-ES"/>
        </w:rPr>
        <w:t>a</w:t>
      </w:r>
      <w:r w:rsidR="00252B17" w:rsidRPr="00960FCD">
        <w:rPr>
          <w:rFonts w:asciiTheme="minorHAnsi" w:eastAsia="Calibri" w:hAnsiTheme="minorHAnsi" w:cstheme="minorHAnsi"/>
          <w:color w:val="auto"/>
          <w:lang w:val="es-ES"/>
        </w:rPr>
        <w:t>mentan los procedimientos estipulados en los reglamentos europeos y las NOM-ENER para productos de iluminación.</w:t>
      </w:r>
      <w:r w:rsidRPr="00960FCD">
        <w:rPr>
          <w:rFonts w:asciiTheme="minorHAnsi" w:eastAsia="Calibri" w:hAnsiTheme="minorHAnsi" w:cstheme="minorHAnsi"/>
          <w:color w:val="auto"/>
          <w:lang w:val="es-ES"/>
        </w:rPr>
        <w:t xml:space="preserve"> </w:t>
      </w:r>
      <w:r w:rsidR="00252B17" w:rsidRPr="00960FCD">
        <w:rPr>
          <w:rFonts w:asciiTheme="minorHAnsi" w:eastAsia="Calibri" w:hAnsiTheme="minorHAnsi" w:cstheme="minorHAnsi"/>
          <w:color w:val="auto"/>
          <w:lang w:val="es-ES"/>
        </w:rPr>
        <w:t xml:space="preserve">Los procedimientos de certificación de EE.UU. de otra parte, están enfocados a ensayos </w:t>
      </w:r>
      <w:r w:rsidR="00960FCD" w:rsidRPr="00960FCD">
        <w:rPr>
          <w:rFonts w:asciiTheme="minorHAnsi" w:eastAsia="Calibri" w:hAnsiTheme="minorHAnsi" w:cstheme="minorHAnsi"/>
          <w:color w:val="auto"/>
          <w:lang w:val="es-ES"/>
        </w:rPr>
        <w:t>de conformidad periódicos de los productos.</w:t>
      </w:r>
      <w:r w:rsidR="00252B17" w:rsidRPr="00960FCD">
        <w:rPr>
          <w:rFonts w:asciiTheme="minorHAnsi" w:eastAsia="Calibri" w:hAnsiTheme="minorHAnsi" w:cstheme="minorHAnsi"/>
          <w:color w:val="auto"/>
          <w:lang w:val="es-ES"/>
        </w:rPr>
        <w:t xml:space="preserve"> </w:t>
      </w:r>
      <w:r w:rsidR="00BB4774">
        <w:rPr>
          <w:rFonts w:asciiTheme="minorHAnsi" w:eastAsia="Calibri" w:hAnsiTheme="minorHAnsi" w:cstheme="minorHAnsi"/>
          <w:color w:val="auto"/>
          <w:lang w:val="es-ES"/>
        </w:rPr>
        <w:t>L</w:t>
      </w:r>
      <w:r w:rsidR="00960FCD">
        <w:rPr>
          <w:rFonts w:asciiTheme="minorHAnsi" w:eastAsia="Calibri" w:hAnsiTheme="minorHAnsi" w:cstheme="minorHAnsi"/>
          <w:color w:val="auto"/>
          <w:lang w:val="es-ES"/>
        </w:rPr>
        <w:t xml:space="preserve">os reglamentos europeos </w:t>
      </w:r>
      <w:r w:rsidR="00A917D9">
        <w:rPr>
          <w:rFonts w:asciiTheme="minorHAnsi" w:eastAsia="Calibri" w:hAnsiTheme="minorHAnsi" w:cstheme="minorHAnsi"/>
          <w:color w:val="auto"/>
          <w:lang w:val="es-ES"/>
        </w:rPr>
        <w:t>y</w:t>
      </w:r>
      <w:r w:rsidR="00960FCD">
        <w:rPr>
          <w:rFonts w:asciiTheme="minorHAnsi" w:eastAsia="Calibri" w:hAnsiTheme="minorHAnsi" w:cstheme="minorHAnsi"/>
          <w:color w:val="auto"/>
          <w:lang w:val="es-ES"/>
        </w:rPr>
        <w:t xml:space="preserve"> las NOM-ENER incluyen la opción de certificación mediante </w:t>
      </w:r>
      <w:r w:rsidR="00BB4774">
        <w:rPr>
          <w:rFonts w:asciiTheme="minorHAnsi" w:eastAsia="Calibri" w:hAnsiTheme="minorHAnsi" w:cstheme="minorHAnsi"/>
          <w:color w:val="auto"/>
          <w:lang w:val="es-ES"/>
        </w:rPr>
        <w:t xml:space="preserve">auditorías del proceso de producción y del </w:t>
      </w:r>
      <w:r w:rsidR="00960FCD">
        <w:rPr>
          <w:rFonts w:asciiTheme="minorHAnsi" w:eastAsia="Calibri" w:hAnsiTheme="minorHAnsi" w:cstheme="minorHAnsi"/>
          <w:color w:val="auto"/>
          <w:lang w:val="es-ES"/>
        </w:rPr>
        <w:lastRenderedPageBreak/>
        <w:t xml:space="preserve">sistema de </w:t>
      </w:r>
      <w:r w:rsidR="00BB4774">
        <w:rPr>
          <w:rFonts w:asciiTheme="minorHAnsi" w:eastAsia="Calibri" w:hAnsiTheme="minorHAnsi" w:cstheme="minorHAnsi"/>
          <w:color w:val="auto"/>
          <w:lang w:val="es-ES"/>
        </w:rPr>
        <w:t xml:space="preserve">gestión de calidad respectivamente. </w:t>
      </w:r>
      <w:r w:rsidR="00960FCD">
        <w:rPr>
          <w:rFonts w:asciiTheme="minorHAnsi" w:eastAsia="Calibri" w:hAnsiTheme="minorHAnsi" w:cstheme="minorHAnsi"/>
          <w:color w:val="auto"/>
          <w:lang w:val="es-ES"/>
        </w:rPr>
        <w:t>A</w:t>
      </w:r>
      <w:r w:rsidR="00967670">
        <w:rPr>
          <w:rFonts w:asciiTheme="minorHAnsi" w:eastAsia="Calibri" w:hAnsiTheme="minorHAnsi" w:cstheme="minorHAnsi"/>
          <w:color w:val="auto"/>
          <w:lang w:val="es-ES"/>
        </w:rPr>
        <w:t>mbos incluyen en la opción básica pruebas periódicas al producto.</w:t>
      </w:r>
      <w:r w:rsidRPr="00960FCD">
        <w:rPr>
          <w:rFonts w:asciiTheme="minorHAnsi" w:eastAsia="Calibri" w:hAnsiTheme="minorHAnsi" w:cstheme="minorHAnsi"/>
          <w:color w:val="auto"/>
          <w:lang w:val="es-ES"/>
        </w:rPr>
        <w:t xml:space="preserve"> </w:t>
      </w:r>
    </w:p>
    <w:p w14:paraId="3BF6F471" w14:textId="04AC911E" w:rsidR="00E838E4" w:rsidRDefault="00875325" w:rsidP="00E838E4">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Como alternativa a los procedimientos de evaluación de conformidad de la Unión Europea y de México</w:t>
      </w:r>
      <w:r w:rsidR="00FF3880">
        <w:rPr>
          <w:rFonts w:asciiTheme="minorHAnsi" w:eastAsia="Calibri" w:hAnsiTheme="minorHAnsi" w:cstheme="minorHAnsi"/>
          <w:color w:val="auto"/>
          <w:lang w:val="es-ES"/>
        </w:rPr>
        <w:t>,</w:t>
      </w:r>
      <w:r>
        <w:rPr>
          <w:rFonts w:asciiTheme="minorHAnsi" w:eastAsia="Calibri" w:hAnsiTheme="minorHAnsi" w:cstheme="minorHAnsi"/>
          <w:color w:val="auto"/>
          <w:lang w:val="es-ES"/>
        </w:rPr>
        <w:t xml:space="preserve"> </w:t>
      </w:r>
      <w:r w:rsidR="00BF5FFA">
        <w:rPr>
          <w:rFonts w:asciiTheme="minorHAnsi" w:eastAsia="Calibri" w:hAnsiTheme="minorHAnsi" w:cstheme="minorHAnsi"/>
          <w:color w:val="auto"/>
          <w:lang w:val="es-ES"/>
        </w:rPr>
        <w:t>que son de aplicación regional y nacional, respectivamente, y se refieren a las legislaciones respectivas</w:t>
      </w:r>
      <w:r w:rsidR="003E017F">
        <w:rPr>
          <w:rFonts w:asciiTheme="minorHAnsi" w:eastAsia="Calibri" w:hAnsiTheme="minorHAnsi" w:cstheme="minorHAnsi"/>
          <w:color w:val="auto"/>
          <w:lang w:val="es-ES"/>
        </w:rPr>
        <w:t xml:space="preserve"> de la UE y de México</w:t>
      </w:r>
      <w:r w:rsidR="00BF5FFA">
        <w:rPr>
          <w:rFonts w:asciiTheme="minorHAnsi" w:eastAsia="Calibri" w:hAnsiTheme="minorHAnsi" w:cstheme="minorHAnsi"/>
          <w:color w:val="auto"/>
          <w:lang w:val="es-ES"/>
        </w:rPr>
        <w:t xml:space="preserve">, </w:t>
      </w:r>
      <w:r>
        <w:rPr>
          <w:rFonts w:asciiTheme="minorHAnsi" w:eastAsia="Calibri" w:hAnsiTheme="minorHAnsi" w:cstheme="minorHAnsi"/>
          <w:color w:val="auto"/>
          <w:lang w:val="es-ES"/>
        </w:rPr>
        <w:t xml:space="preserve">se deben tomar en consideración los esquemas de evaluación </w:t>
      </w:r>
      <w:r w:rsidR="00930506">
        <w:rPr>
          <w:rFonts w:asciiTheme="minorHAnsi" w:eastAsia="Calibri" w:hAnsiTheme="minorHAnsi" w:cstheme="minorHAnsi"/>
          <w:color w:val="auto"/>
          <w:lang w:val="es-ES"/>
        </w:rPr>
        <w:t xml:space="preserve">de la conformidad </w:t>
      </w:r>
      <w:r>
        <w:rPr>
          <w:rFonts w:asciiTheme="minorHAnsi" w:eastAsia="Calibri" w:hAnsiTheme="minorHAnsi" w:cstheme="minorHAnsi"/>
          <w:color w:val="auto"/>
          <w:lang w:val="es-ES"/>
        </w:rPr>
        <w:t>incluidos en la norma ISO/IEC 1706</w:t>
      </w:r>
      <w:r w:rsidR="00E84F8A">
        <w:rPr>
          <w:rFonts w:asciiTheme="minorHAnsi" w:eastAsia="Calibri" w:hAnsiTheme="minorHAnsi" w:cstheme="minorHAnsi"/>
          <w:color w:val="auto"/>
          <w:lang w:val="es-ES"/>
        </w:rPr>
        <w:t>7</w:t>
      </w:r>
      <w:r>
        <w:rPr>
          <w:rFonts w:asciiTheme="minorHAnsi" w:eastAsia="Calibri" w:hAnsiTheme="minorHAnsi" w:cstheme="minorHAnsi"/>
          <w:color w:val="auto"/>
          <w:lang w:val="es-ES"/>
        </w:rPr>
        <w:t>, como ya fue discutido en el marco de la Guía de Implementación.</w:t>
      </w:r>
      <w:r w:rsidR="00967670">
        <w:rPr>
          <w:rStyle w:val="FootnoteReference"/>
          <w:rFonts w:asciiTheme="minorHAnsi" w:eastAsia="Calibri" w:hAnsiTheme="minorHAnsi" w:cstheme="minorHAnsi"/>
          <w:color w:val="auto"/>
        </w:rPr>
        <w:footnoteReference w:id="80"/>
      </w:r>
      <w:r w:rsidR="00BF5FFA">
        <w:rPr>
          <w:rFonts w:asciiTheme="minorHAnsi" w:eastAsia="Calibri" w:hAnsiTheme="minorHAnsi" w:cstheme="minorHAnsi"/>
          <w:color w:val="auto"/>
          <w:lang w:val="es-ES"/>
        </w:rPr>
        <w:t xml:space="preserve"> La aplicación de estos esquemas tiene la ventaja que son basados en una norma internacional reconocida a nivel global.</w:t>
      </w:r>
    </w:p>
    <w:p w14:paraId="102CAEBD" w14:textId="72FC1370" w:rsidR="00967670" w:rsidRDefault="00662383" w:rsidP="00E838E4">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La norma ISO/IEC 1706</w:t>
      </w:r>
      <w:r w:rsidR="00E84F8A">
        <w:rPr>
          <w:rFonts w:asciiTheme="minorHAnsi" w:eastAsia="Calibri" w:hAnsiTheme="minorHAnsi" w:cstheme="minorHAnsi"/>
          <w:color w:val="auto"/>
          <w:lang w:val="es-ES"/>
        </w:rPr>
        <w:t>7</w:t>
      </w:r>
      <w:r>
        <w:rPr>
          <w:rFonts w:asciiTheme="minorHAnsi" w:eastAsia="Calibri" w:hAnsiTheme="minorHAnsi" w:cstheme="minorHAnsi"/>
          <w:color w:val="auto"/>
          <w:lang w:val="es-ES"/>
        </w:rPr>
        <w:t xml:space="preserve"> contempla varios </w:t>
      </w:r>
      <w:r w:rsidR="00876AF0">
        <w:rPr>
          <w:rFonts w:asciiTheme="minorHAnsi" w:eastAsia="Calibri" w:hAnsiTheme="minorHAnsi" w:cstheme="minorHAnsi"/>
          <w:color w:val="auto"/>
          <w:lang w:val="es-ES"/>
        </w:rPr>
        <w:t>esquemas complementari</w:t>
      </w:r>
      <w:r w:rsidR="004562C3">
        <w:rPr>
          <w:rFonts w:asciiTheme="minorHAnsi" w:eastAsia="Calibri" w:hAnsiTheme="minorHAnsi" w:cstheme="minorHAnsi"/>
          <w:color w:val="auto"/>
          <w:lang w:val="es-ES"/>
        </w:rPr>
        <w:t>o</w:t>
      </w:r>
      <w:r w:rsidR="00876AF0">
        <w:rPr>
          <w:rFonts w:asciiTheme="minorHAnsi" w:eastAsia="Calibri" w:hAnsiTheme="minorHAnsi" w:cstheme="minorHAnsi"/>
          <w:color w:val="auto"/>
          <w:lang w:val="es-ES"/>
        </w:rPr>
        <w:t>s de certificación de productos, que se muestran en l</w:t>
      </w:r>
      <w:r>
        <w:rPr>
          <w:rFonts w:asciiTheme="minorHAnsi" w:eastAsia="Calibri" w:hAnsiTheme="minorHAnsi" w:cstheme="minorHAnsi"/>
          <w:color w:val="auto"/>
          <w:lang w:val="es-ES"/>
        </w:rPr>
        <w:t xml:space="preserve">a tabla </w:t>
      </w:r>
      <w:r w:rsidR="00876AF0">
        <w:rPr>
          <w:rFonts w:asciiTheme="minorHAnsi" w:eastAsia="Calibri" w:hAnsiTheme="minorHAnsi" w:cstheme="minorHAnsi"/>
          <w:color w:val="auto"/>
          <w:lang w:val="es-ES"/>
        </w:rPr>
        <w:t>8, junto con los procedimientos opcionales de las NOM-ENER</w:t>
      </w:r>
      <w:r w:rsidR="00BB4774">
        <w:rPr>
          <w:rFonts w:asciiTheme="minorHAnsi" w:eastAsia="Calibri" w:hAnsiTheme="minorHAnsi" w:cstheme="minorHAnsi"/>
          <w:color w:val="auto"/>
          <w:lang w:val="es-ES"/>
        </w:rPr>
        <w:t>.</w:t>
      </w:r>
    </w:p>
    <w:p w14:paraId="74B69395" w14:textId="5F231A34" w:rsidR="00876AF0" w:rsidRDefault="00876AF0" w:rsidP="00E838E4">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 xml:space="preserve">Los esquemas de certificación de productos </w:t>
      </w:r>
      <w:r w:rsidR="000953A9">
        <w:rPr>
          <w:rFonts w:asciiTheme="minorHAnsi" w:eastAsia="Calibri" w:hAnsiTheme="minorHAnsi" w:cstheme="minorHAnsi"/>
          <w:color w:val="auto"/>
          <w:lang w:val="es-ES"/>
        </w:rPr>
        <w:t>definidos</w:t>
      </w:r>
      <w:r>
        <w:rPr>
          <w:rFonts w:asciiTheme="minorHAnsi" w:eastAsia="Calibri" w:hAnsiTheme="minorHAnsi" w:cstheme="minorHAnsi"/>
          <w:color w:val="auto"/>
          <w:lang w:val="es-ES"/>
        </w:rPr>
        <w:t xml:space="preserve"> por la norma ISO/IEC 1706</w:t>
      </w:r>
      <w:r w:rsidR="00E84F8A">
        <w:rPr>
          <w:rFonts w:asciiTheme="minorHAnsi" w:eastAsia="Calibri" w:hAnsiTheme="minorHAnsi" w:cstheme="minorHAnsi"/>
          <w:color w:val="auto"/>
          <w:lang w:val="es-ES"/>
        </w:rPr>
        <w:t>7</w:t>
      </w:r>
      <w:r>
        <w:rPr>
          <w:rFonts w:asciiTheme="minorHAnsi" w:eastAsia="Calibri" w:hAnsiTheme="minorHAnsi" w:cstheme="minorHAnsi"/>
          <w:color w:val="auto"/>
          <w:lang w:val="es-ES"/>
        </w:rPr>
        <w:t xml:space="preserve"> son:</w:t>
      </w:r>
    </w:p>
    <w:p w14:paraId="1C1EB303" w14:textId="5B7A2FD1" w:rsidR="00876AF0" w:rsidRPr="00FF72C6" w:rsidRDefault="000953A9" w:rsidP="001404E7">
      <w:pPr>
        <w:pStyle w:val="ListParagraph"/>
        <w:numPr>
          <w:ilvl w:val="0"/>
          <w:numId w:val="32"/>
        </w:numPr>
        <w:suppressAutoHyphens w:val="0"/>
        <w:autoSpaceDN/>
        <w:spacing w:before="0" w:after="140"/>
        <w:textAlignment w:val="auto"/>
        <w:rPr>
          <w:rFonts w:asciiTheme="minorHAnsi" w:eastAsia="Calibri" w:hAnsiTheme="minorHAnsi" w:cstheme="minorHAnsi"/>
          <w:color w:val="auto"/>
          <w:lang w:val="es-ES"/>
        </w:rPr>
      </w:pPr>
      <w:r>
        <w:rPr>
          <w:rFonts w:asciiTheme="minorHAnsi" w:eastAsia="Calibri" w:hAnsiTheme="minorHAnsi" w:cstheme="minorHAnsi"/>
          <w:color w:val="auto"/>
          <w:lang w:val="es-ES"/>
        </w:rPr>
        <w:t>Esquema</w:t>
      </w:r>
      <w:r w:rsidR="00876AF0" w:rsidRPr="00FF72C6">
        <w:rPr>
          <w:rFonts w:asciiTheme="minorHAnsi" w:eastAsia="Calibri" w:hAnsiTheme="minorHAnsi" w:cstheme="minorHAnsi"/>
          <w:color w:val="auto"/>
          <w:lang w:val="es-ES"/>
        </w:rPr>
        <w:t xml:space="preserve"> 1a – basado en ensayos;</w:t>
      </w:r>
    </w:p>
    <w:p w14:paraId="60C64DEF" w14:textId="3D24C76F" w:rsidR="00876AF0" w:rsidRPr="00FF72C6" w:rsidRDefault="000953A9" w:rsidP="001404E7">
      <w:pPr>
        <w:pStyle w:val="ListParagraph"/>
        <w:numPr>
          <w:ilvl w:val="0"/>
          <w:numId w:val="32"/>
        </w:numPr>
        <w:suppressAutoHyphens w:val="0"/>
        <w:autoSpaceDN/>
        <w:spacing w:before="0" w:after="140"/>
        <w:textAlignment w:val="auto"/>
        <w:rPr>
          <w:rFonts w:asciiTheme="minorHAnsi" w:eastAsia="Calibri" w:hAnsiTheme="minorHAnsi" w:cstheme="minorHAnsi"/>
          <w:color w:val="auto"/>
          <w:lang w:val="es-ES"/>
        </w:rPr>
      </w:pPr>
      <w:r>
        <w:rPr>
          <w:rFonts w:asciiTheme="minorHAnsi" w:eastAsia="Calibri" w:hAnsiTheme="minorHAnsi" w:cstheme="minorHAnsi"/>
          <w:color w:val="auto"/>
          <w:lang w:val="es-ES"/>
        </w:rPr>
        <w:t xml:space="preserve">Esquema </w:t>
      </w:r>
      <w:r w:rsidR="00876AF0" w:rsidRPr="00FF72C6">
        <w:rPr>
          <w:rFonts w:asciiTheme="minorHAnsi" w:eastAsia="Calibri" w:hAnsiTheme="minorHAnsi" w:cstheme="minorHAnsi"/>
          <w:color w:val="auto"/>
          <w:lang w:val="es-ES"/>
        </w:rPr>
        <w:t>1b – basado en ensayos de todos los productos</w:t>
      </w:r>
      <w:r w:rsidR="00876AF0">
        <w:rPr>
          <w:rFonts w:asciiTheme="minorHAnsi" w:eastAsia="Calibri" w:hAnsiTheme="minorHAnsi" w:cstheme="minorHAnsi"/>
          <w:color w:val="auto"/>
          <w:lang w:val="es-ES"/>
        </w:rPr>
        <w:t xml:space="preserve"> (por lote)</w:t>
      </w:r>
      <w:r w:rsidR="00876AF0" w:rsidRPr="00FF72C6">
        <w:rPr>
          <w:rFonts w:asciiTheme="minorHAnsi" w:eastAsia="Calibri" w:hAnsiTheme="minorHAnsi" w:cstheme="minorHAnsi"/>
          <w:color w:val="auto"/>
          <w:lang w:val="es-ES"/>
        </w:rPr>
        <w:t>;</w:t>
      </w:r>
    </w:p>
    <w:p w14:paraId="32A8AD7B" w14:textId="045C7AF6" w:rsidR="00876AF0" w:rsidRPr="00FF72C6" w:rsidRDefault="000953A9" w:rsidP="001404E7">
      <w:pPr>
        <w:pStyle w:val="ListParagraph"/>
        <w:numPr>
          <w:ilvl w:val="0"/>
          <w:numId w:val="32"/>
        </w:numPr>
        <w:suppressAutoHyphens w:val="0"/>
        <w:autoSpaceDN/>
        <w:spacing w:before="0" w:after="140"/>
        <w:textAlignment w:val="auto"/>
        <w:rPr>
          <w:rFonts w:asciiTheme="minorHAnsi" w:eastAsia="Calibri" w:hAnsiTheme="minorHAnsi" w:cstheme="minorHAnsi"/>
          <w:color w:val="auto"/>
          <w:lang w:val="es-ES"/>
        </w:rPr>
      </w:pPr>
      <w:r>
        <w:rPr>
          <w:rFonts w:asciiTheme="minorHAnsi" w:eastAsia="Calibri" w:hAnsiTheme="minorHAnsi" w:cstheme="minorHAnsi"/>
          <w:color w:val="auto"/>
          <w:lang w:val="es-ES"/>
        </w:rPr>
        <w:t xml:space="preserve">Esquema </w:t>
      </w:r>
      <w:r w:rsidR="00876AF0" w:rsidRPr="00FF72C6">
        <w:rPr>
          <w:rFonts w:asciiTheme="minorHAnsi" w:eastAsia="Calibri" w:hAnsiTheme="minorHAnsi" w:cstheme="minorHAnsi"/>
          <w:color w:val="auto"/>
          <w:lang w:val="es-ES"/>
        </w:rPr>
        <w:t>2 – basado en ensayos además de vigilancia del mercado;</w:t>
      </w:r>
    </w:p>
    <w:p w14:paraId="0C14117E" w14:textId="3A5C15B0" w:rsidR="00876AF0" w:rsidRPr="00FF72C6" w:rsidRDefault="000953A9" w:rsidP="001404E7">
      <w:pPr>
        <w:pStyle w:val="ListParagraph"/>
        <w:numPr>
          <w:ilvl w:val="0"/>
          <w:numId w:val="32"/>
        </w:numPr>
        <w:suppressAutoHyphens w:val="0"/>
        <w:autoSpaceDN/>
        <w:spacing w:before="0" w:after="140"/>
        <w:textAlignment w:val="auto"/>
        <w:rPr>
          <w:rFonts w:asciiTheme="minorHAnsi" w:eastAsia="Calibri" w:hAnsiTheme="minorHAnsi" w:cstheme="minorHAnsi"/>
          <w:color w:val="auto"/>
          <w:lang w:val="es-ES"/>
        </w:rPr>
      </w:pPr>
      <w:r>
        <w:rPr>
          <w:rFonts w:asciiTheme="minorHAnsi" w:eastAsia="Calibri" w:hAnsiTheme="minorHAnsi" w:cstheme="minorHAnsi"/>
          <w:color w:val="auto"/>
          <w:lang w:val="es-ES"/>
        </w:rPr>
        <w:t>Esquema</w:t>
      </w:r>
      <w:r w:rsidR="00876AF0" w:rsidRPr="00FF72C6">
        <w:rPr>
          <w:rFonts w:asciiTheme="minorHAnsi" w:eastAsia="Calibri" w:hAnsiTheme="minorHAnsi" w:cstheme="minorHAnsi"/>
          <w:color w:val="auto"/>
          <w:lang w:val="es-ES"/>
        </w:rPr>
        <w:t xml:space="preserve"> 3 – basado en ensayos y vigilancia en fábrica;</w:t>
      </w:r>
    </w:p>
    <w:p w14:paraId="78EFBF06" w14:textId="624EDD81" w:rsidR="00876AF0" w:rsidRPr="00FF72C6" w:rsidRDefault="000953A9" w:rsidP="001404E7">
      <w:pPr>
        <w:pStyle w:val="ListParagraph"/>
        <w:numPr>
          <w:ilvl w:val="0"/>
          <w:numId w:val="32"/>
        </w:numPr>
        <w:suppressAutoHyphens w:val="0"/>
        <w:autoSpaceDN/>
        <w:spacing w:before="0" w:after="140"/>
        <w:textAlignment w:val="auto"/>
        <w:rPr>
          <w:rFonts w:asciiTheme="minorHAnsi" w:eastAsia="Calibri" w:hAnsiTheme="minorHAnsi" w:cstheme="minorHAnsi"/>
          <w:color w:val="auto"/>
          <w:lang w:val="es-ES"/>
        </w:rPr>
      </w:pPr>
      <w:r>
        <w:rPr>
          <w:rFonts w:asciiTheme="minorHAnsi" w:eastAsia="Calibri" w:hAnsiTheme="minorHAnsi" w:cstheme="minorHAnsi"/>
          <w:color w:val="auto"/>
          <w:lang w:val="es-ES"/>
        </w:rPr>
        <w:t>Esquema</w:t>
      </w:r>
      <w:r w:rsidR="00876AF0" w:rsidRPr="00FF72C6">
        <w:rPr>
          <w:rFonts w:asciiTheme="minorHAnsi" w:eastAsia="Calibri" w:hAnsiTheme="minorHAnsi" w:cstheme="minorHAnsi"/>
          <w:color w:val="auto"/>
          <w:lang w:val="es-ES"/>
        </w:rPr>
        <w:t xml:space="preserve"> 4 – basado en los ensayos de control, </w:t>
      </w:r>
      <w:r w:rsidR="00876AF0">
        <w:rPr>
          <w:rFonts w:asciiTheme="minorHAnsi" w:eastAsia="Calibri" w:hAnsiTheme="minorHAnsi" w:cstheme="minorHAnsi"/>
          <w:color w:val="auto"/>
          <w:lang w:val="es-ES"/>
        </w:rPr>
        <w:t>ade</w:t>
      </w:r>
      <w:r w:rsidR="00876AF0" w:rsidRPr="00FF72C6">
        <w:rPr>
          <w:rFonts w:asciiTheme="minorHAnsi" w:eastAsia="Calibri" w:hAnsiTheme="minorHAnsi" w:cstheme="minorHAnsi"/>
          <w:color w:val="auto"/>
          <w:lang w:val="es-ES"/>
        </w:rPr>
        <w:t xml:space="preserve">más de </w:t>
      </w:r>
      <w:r w:rsidR="00876AF0">
        <w:rPr>
          <w:rFonts w:asciiTheme="minorHAnsi" w:eastAsia="Calibri" w:hAnsiTheme="minorHAnsi" w:cstheme="minorHAnsi"/>
          <w:color w:val="auto"/>
          <w:lang w:val="es-ES"/>
        </w:rPr>
        <w:t xml:space="preserve">vigilancia en </w:t>
      </w:r>
      <w:r w:rsidR="00876AF0" w:rsidRPr="00FF72C6">
        <w:rPr>
          <w:rFonts w:asciiTheme="minorHAnsi" w:eastAsia="Calibri" w:hAnsiTheme="minorHAnsi" w:cstheme="minorHAnsi"/>
          <w:color w:val="auto"/>
          <w:lang w:val="es-ES"/>
        </w:rPr>
        <w:t>la fábrica o en el mercado abierto, o ambos;</w:t>
      </w:r>
    </w:p>
    <w:p w14:paraId="2080487C" w14:textId="1E5A5E74" w:rsidR="00876AF0" w:rsidRPr="00FF72C6" w:rsidRDefault="000953A9" w:rsidP="001404E7">
      <w:pPr>
        <w:pStyle w:val="ListParagraph"/>
        <w:numPr>
          <w:ilvl w:val="0"/>
          <w:numId w:val="32"/>
        </w:numPr>
        <w:suppressAutoHyphens w:val="0"/>
        <w:autoSpaceDN/>
        <w:spacing w:before="0" w:after="140"/>
        <w:textAlignment w:val="auto"/>
        <w:rPr>
          <w:rFonts w:asciiTheme="minorHAnsi" w:eastAsia="Calibri" w:hAnsiTheme="minorHAnsi" w:cstheme="minorHAnsi"/>
          <w:color w:val="auto"/>
          <w:lang w:val="es-ES"/>
        </w:rPr>
      </w:pPr>
      <w:r>
        <w:rPr>
          <w:rFonts w:asciiTheme="minorHAnsi" w:eastAsia="Calibri" w:hAnsiTheme="minorHAnsi" w:cstheme="minorHAnsi"/>
          <w:color w:val="auto"/>
          <w:lang w:val="es-ES"/>
        </w:rPr>
        <w:t>Esquema</w:t>
      </w:r>
      <w:r w:rsidR="00876AF0" w:rsidRPr="00FF72C6">
        <w:rPr>
          <w:rFonts w:asciiTheme="minorHAnsi" w:eastAsia="Calibri" w:hAnsiTheme="minorHAnsi" w:cstheme="minorHAnsi"/>
          <w:color w:val="auto"/>
          <w:lang w:val="es-ES"/>
        </w:rPr>
        <w:t xml:space="preserve"> 5 – basado en ensayos, evaluación y vigilancias de sistemas de calidad, además de vigilancia continua de los productos provenientes de la fabricación, del mercado o ambos;</w:t>
      </w:r>
    </w:p>
    <w:p w14:paraId="746987E6" w14:textId="21B21F3A" w:rsidR="00876AF0" w:rsidRPr="00FF72C6" w:rsidRDefault="000953A9" w:rsidP="001404E7">
      <w:pPr>
        <w:pStyle w:val="ListParagraph"/>
        <w:numPr>
          <w:ilvl w:val="0"/>
          <w:numId w:val="32"/>
        </w:numPr>
        <w:suppressAutoHyphens w:val="0"/>
        <w:autoSpaceDN/>
        <w:spacing w:before="0" w:after="140"/>
        <w:textAlignment w:val="auto"/>
        <w:rPr>
          <w:rFonts w:asciiTheme="minorHAnsi" w:eastAsia="Calibri" w:hAnsiTheme="minorHAnsi" w:cstheme="minorHAnsi"/>
          <w:color w:val="auto"/>
          <w:lang w:val="es-ES"/>
        </w:rPr>
      </w:pPr>
      <w:r>
        <w:rPr>
          <w:rFonts w:asciiTheme="minorHAnsi" w:eastAsia="Calibri" w:hAnsiTheme="minorHAnsi" w:cstheme="minorHAnsi"/>
          <w:color w:val="auto"/>
          <w:lang w:val="es-ES"/>
        </w:rPr>
        <w:t>Esquema</w:t>
      </w:r>
      <w:r w:rsidR="00876AF0" w:rsidRPr="00FF72C6">
        <w:rPr>
          <w:rFonts w:asciiTheme="minorHAnsi" w:eastAsia="Calibri" w:hAnsiTheme="minorHAnsi" w:cstheme="minorHAnsi"/>
          <w:color w:val="auto"/>
          <w:lang w:val="es-ES"/>
        </w:rPr>
        <w:t xml:space="preserve"> 6 – cubre la certificación de los procesos y servicios.</w:t>
      </w:r>
    </w:p>
    <w:p w14:paraId="0F8F6E01" w14:textId="78A0032F" w:rsidR="00876AF0" w:rsidRDefault="000953A9" w:rsidP="00876AF0">
      <w:pPr>
        <w:suppressAutoHyphens w:val="0"/>
        <w:autoSpaceDN/>
        <w:spacing w:before="0" w:after="140"/>
        <w:textAlignment w:val="auto"/>
        <w:rPr>
          <w:rFonts w:asciiTheme="minorHAnsi" w:eastAsia="Calibri" w:hAnsiTheme="minorHAnsi" w:cstheme="minorHAnsi"/>
          <w:color w:val="auto"/>
          <w:lang w:val="es-ES"/>
        </w:rPr>
      </w:pPr>
      <w:r>
        <w:rPr>
          <w:rFonts w:asciiTheme="minorHAnsi" w:eastAsia="Calibri" w:hAnsiTheme="minorHAnsi" w:cstheme="minorHAnsi"/>
          <w:color w:val="auto"/>
          <w:lang w:val="es-ES"/>
        </w:rPr>
        <w:t>S</w:t>
      </w:r>
      <w:r w:rsidR="00876AF0">
        <w:rPr>
          <w:rFonts w:asciiTheme="minorHAnsi" w:eastAsia="Calibri" w:hAnsiTheme="minorHAnsi" w:cstheme="minorHAnsi"/>
          <w:color w:val="auto"/>
          <w:lang w:val="es-ES"/>
        </w:rPr>
        <w:t xml:space="preserve">e permite </w:t>
      </w:r>
      <w:r>
        <w:rPr>
          <w:rFonts w:asciiTheme="minorHAnsi" w:eastAsia="Calibri" w:hAnsiTheme="minorHAnsi" w:cstheme="minorHAnsi"/>
          <w:color w:val="auto"/>
          <w:lang w:val="es-ES"/>
        </w:rPr>
        <w:t>la combinación de varios esquemas en un sistema de certificación de productos</w:t>
      </w:r>
      <w:r w:rsidR="00876AF0">
        <w:rPr>
          <w:rFonts w:asciiTheme="minorHAnsi" w:eastAsia="Calibri" w:hAnsiTheme="minorHAnsi" w:cstheme="minorHAnsi"/>
          <w:color w:val="auto"/>
          <w:lang w:val="es-ES"/>
        </w:rPr>
        <w:t xml:space="preserve">, de acuerdo a la naturaleza de los productos y los objetivos de la evaluación de conformidad. El </w:t>
      </w:r>
      <w:r>
        <w:rPr>
          <w:rFonts w:asciiTheme="minorHAnsi" w:eastAsia="Calibri" w:hAnsiTheme="minorHAnsi" w:cstheme="minorHAnsi"/>
          <w:color w:val="auto"/>
          <w:lang w:val="es-ES"/>
        </w:rPr>
        <w:t xml:space="preserve">esquema </w:t>
      </w:r>
      <w:r w:rsidR="00876AF0">
        <w:rPr>
          <w:rFonts w:asciiTheme="minorHAnsi" w:eastAsia="Calibri" w:hAnsiTheme="minorHAnsi" w:cstheme="minorHAnsi"/>
          <w:color w:val="auto"/>
          <w:lang w:val="es-ES"/>
        </w:rPr>
        <w:t>6 es diseñado para la certificación de servicios y procesos, es decir que no es apto para la certificación de productos.</w:t>
      </w:r>
    </w:p>
    <w:p w14:paraId="2DA70D00" w14:textId="715AD23C" w:rsidR="000953A9" w:rsidRDefault="000953A9" w:rsidP="00876AF0">
      <w:pPr>
        <w:suppressAutoHyphens w:val="0"/>
        <w:autoSpaceDN/>
        <w:spacing w:before="0" w:after="140"/>
        <w:textAlignment w:val="auto"/>
        <w:rPr>
          <w:rFonts w:asciiTheme="minorHAnsi" w:eastAsia="Calibri" w:hAnsiTheme="minorHAnsi" w:cstheme="minorHAnsi"/>
          <w:color w:val="auto"/>
          <w:lang w:val="es-ES"/>
        </w:rPr>
      </w:pPr>
      <w:r>
        <w:rPr>
          <w:rFonts w:asciiTheme="minorHAnsi" w:eastAsia="Calibri" w:hAnsiTheme="minorHAnsi" w:cstheme="minorHAnsi"/>
          <w:color w:val="auto"/>
          <w:lang w:val="es-ES"/>
        </w:rPr>
        <w:t>Los esquemas 3 y 5 de ISO/IEC 1706</w:t>
      </w:r>
      <w:r w:rsidR="00E84F8A">
        <w:rPr>
          <w:rFonts w:asciiTheme="minorHAnsi" w:eastAsia="Calibri" w:hAnsiTheme="minorHAnsi" w:cstheme="minorHAnsi"/>
          <w:color w:val="auto"/>
          <w:lang w:val="es-ES"/>
        </w:rPr>
        <w:t>7</w:t>
      </w:r>
      <w:r>
        <w:rPr>
          <w:rFonts w:asciiTheme="minorHAnsi" w:eastAsia="Calibri" w:hAnsiTheme="minorHAnsi" w:cstheme="minorHAnsi"/>
          <w:color w:val="auto"/>
          <w:lang w:val="es-ES"/>
        </w:rPr>
        <w:t xml:space="preserve"> parecen los más aptos para el caso de Panamá</w:t>
      </w:r>
      <w:r w:rsidR="006D4D16">
        <w:rPr>
          <w:rFonts w:asciiTheme="minorHAnsi" w:eastAsia="Calibri" w:hAnsiTheme="minorHAnsi" w:cstheme="minorHAnsi"/>
          <w:color w:val="auto"/>
          <w:lang w:val="es-ES"/>
        </w:rPr>
        <w:t xml:space="preserve">, tomando en consideración que incluyen ensayos por lote, la opción de pruebas o inspecciones de muestras tomadas periódicamente de la fábrica (evitando la necesidad de tomar muestras del mercado) </w:t>
      </w:r>
      <w:r w:rsidR="00AC52A5">
        <w:rPr>
          <w:rFonts w:asciiTheme="minorHAnsi" w:eastAsia="Calibri" w:hAnsiTheme="minorHAnsi" w:cstheme="minorHAnsi"/>
          <w:color w:val="auto"/>
          <w:lang w:val="es-ES"/>
        </w:rPr>
        <w:t xml:space="preserve">e incluyen </w:t>
      </w:r>
      <w:r w:rsidR="00BB4774">
        <w:rPr>
          <w:rFonts w:asciiTheme="minorHAnsi" w:eastAsia="Calibri" w:hAnsiTheme="minorHAnsi" w:cstheme="minorHAnsi"/>
          <w:color w:val="auto"/>
          <w:lang w:val="es-ES"/>
        </w:rPr>
        <w:t>auditorías periódicas del proceso de la producción; en el caso del esquema 5 opcionalmente auditorías del sistema de gestión de calidad. Como se puede apreciar de la tabla, si bien existen paralelas entre los esquemas de certificación de productos de acuerdo a ISO/IEC 1706</w:t>
      </w:r>
      <w:r w:rsidR="00E84F8A">
        <w:rPr>
          <w:rFonts w:asciiTheme="minorHAnsi" w:eastAsia="Calibri" w:hAnsiTheme="minorHAnsi" w:cstheme="minorHAnsi"/>
          <w:color w:val="auto"/>
          <w:lang w:val="es-ES"/>
        </w:rPr>
        <w:t>7</w:t>
      </w:r>
      <w:r w:rsidR="00BB4774">
        <w:rPr>
          <w:rFonts w:asciiTheme="minorHAnsi" w:eastAsia="Calibri" w:hAnsiTheme="minorHAnsi" w:cstheme="minorHAnsi"/>
          <w:color w:val="auto"/>
          <w:lang w:val="es-ES"/>
        </w:rPr>
        <w:t xml:space="preserve"> y los procedimientos de evaluación de la conformidad de las NOM-ENER, </w:t>
      </w:r>
      <w:r w:rsidR="00A917D9">
        <w:rPr>
          <w:rFonts w:asciiTheme="minorHAnsi" w:eastAsia="Calibri" w:hAnsiTheme="minorHAnsi" w:cstheme="minorHAnsi"/>
          <w:color w:val="auto"/>
          <w:lang w:val="es-ES"/>
        </w:rPr>
        <w:t>existen también diferencias, por ejemplo</w:t>
      </w:r>
      <w:r w:rsidR="006359F7">
        <w:rPr>
          <w:rFonts w:asciiTheme="minorHAnsi" w:eastAsia="Calibri" w:hAnsiTheme="minorHAnsi" w:cstheme="minorHAnsi"/>
          <w:color w:val="auto"/>
          <w:lang w:val="es-ES"/>
        </w:rPr>
        <w:t xml:space="preserve"> la falta de la opción de auditorías del sistema de gestión de calidad en los procedimientos mexicanos.</w:t>
      </w:r>
    </w:p>
    <w:p w14:paraId="45C409AA" w14:textId="2818BC1A" w:rsidR="00042C05" w:rsidRDefault="00042C05">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br w:type="page"/>
      </w:r>
    </w:p>
    <w:p w14:paraId="74C2A810" w14:textId="6CB9D674" w:rsidR="00876AF0" w:rsidRPr="00566934" w:rsidRDefault="00876AF0" w:rsidP="00876AF0">
      <w:pPr>
        <w:keepNext/>
        <w:keepLines/>
        <w:spacing w:before="0" w:after="0"/>
        <w:jc w:val="center"/>
        <w:rPr>
          <w:iCs/>
          <w:color w:val="002B7F"/>
          <w:szCs w:val="18"/>
          <w:lang w:val="es-ES"/>
        </w:rPr>
      </w:pPr>
      <w:r w:rsidRPr="00566934">
        <w:rPr>
          <w:iCs/>
          <w:color w:val="002B7F"/>
          <w:szCs w:val="18"/>
          <w:lang w:val="es-ES"/>
        </w:rPr>
        <w:lastRenderedPageBreak/>
        <w:t xml:space="preserve">Tabla </w:t>
      </w:r>
      <w:r w:rsidRPr="00566934">
        <w:rPr>
          <w:iCs/>
          <w:color w:val="002B7F"/>
          <w:szCs w:val="18"/>
          <w:lang w:val="es-ES"/>
        </w:rPr>
        <w:fldChar w:fldCharType="begin"/>
      </w:r>
      <w:r w:rsidRPr="00566934">
        <w:rPr>
          <w:iCs/>
          <w:color w:val="002B7F"/>
          <w:szCs w:val="18"/>
          <w:lang w:val="es-ES"/>
        </w:rPr>
        <w:instrText xml:space="preserve"> SEQ Tabla \* ARABIC </w:instrText>
      </w:r>
      <w:r w:rsidRPr="00566934">
        <w:rPr>
          <w:iCs/>
          <w:color w:val="002B7F"/>
          <w:szCs w:val="18"/>
          <w:lang w:val="es-ES"/>
        </w:rPr>
        <w:fldChar w:fldCharType="separate"/>
      </w:r>
      <w:r w:rsidR="005E6430">
        <w:rPr>
          <w:iCs/>
          <w:noProof/>
          <w:color w:val="002B7F"/>
          <w:szCs w:val="18"/>
          <w:lang w:val="es-ES"/>
        </w:rPr>
        <w:t>8</w:t>
      </w:r>
      <w:r w:rsidRPr="00566934">
        <w:rPr>
          <w:iCs/>
          <w:noProof/>
          <w:color w:val="002B7F"/>
          <w:szCs w:val="18"/>
          <w:lang w:val="es-ES"/>
        </w:rPr>
        <w:fldChar w:fldCharType="end"/>
      </w:r>
      <w:r w:rsidRPr="00566934">
        <w:rPr>
          <w:iCs/>
          <w:color w:val="002B7F"/>
          <w:szCs w:val="18"/>
          <w:lang w:val="es-ES"/>
        </w:rPr>
        <w:t xml:space="preserve"> – </w:t>
      </w:r>
      <w:r>
        <w:rPr>
          <w:iCs/>
          <w:color w:val="002B7F"/>
          <w:szCs w:val="18"/>
          <w:lang w:val="es-ES"/>
        </w:rPr>
        <w:t>Sistemas de certificación de productos</w:t>
      </w:r>
    </w:p>
    <w:p w14:paraId="6AB65AD5" w14:textId="3DACA326" w:rsidR="00876AF0" w:rsidRPr="00A96F74" w:rsidRDefault="00876AF0" w:rsidP="00876AF0">
      <w:pPr>
        <w:spacing w:before="0" w:after="140"/>
        <w:jc w:val="center"/>
        <w:rPr>
          <w:color w:val="002B7F"/>
          <w:lang w:val="es-ES"/>
        </w:rPr>
      </w:pPr>
      <w:r w:rsidRPr="00A96F74">
        <w:rPr>
          <w:i/>
          <w:color w:val="002B7F"/>
          <w:sz w:val="18"/>
          <w:lang w:val="es-ES"/>
        </w:rPr>
        <w:t>Fuente:</w:t>
      </w:r>
      <w:r w:rsidRPr="00E2630F">
        <w:rPr>
          <w:lang w:val="es-ES"/>
        </w:rPr>
        <w:t xml:space="preserve"> </w:t>
      </w:r>
      <w:r w:rsidRPr="00876AF0">
        <w:rPr>
          <w:rFonts w:cstheme="minorHAnsi"/>
          <w:color w:val="002B7F"/>
          <w:sz w:val="18"/>
          <w:lang w:val="es-PA"/>
        </w:rPr>
        <w:t>Elaboración propia en base de ISO/IEC 1706</w:t>
      </w:r>
      <w:r w:rsidR="00E84F8A">
        <w:rPr>
          <w:rFonts w:cstheme="minorHAnsi"/>
          <w:color w:val="002B7F"/>
          <w:sz w:val="18"/>
          <w:lang w:val="es-PA"/>
        </w:rPr>
        <w:t>7</w:t>
      </w:r>
      <w:r w:rsidRPr="00876AF0">
        <w:rPr>
          <w:rFonts w:cstheme="minorHAnsi"/>
          <w:color w:val="002B7F"/>
          <w:sz w:val="18"/>
          <w:lang w:val="es-PA"/>
        </w:rPr>
        <w:t>, NOM-ENER e información recibida de SNE</w:t>
      </w:r>
      <w:r>
        <w:rPr>
          <w:rFonts w:cstheme="minorHAnsi"/>
          <w:color w:val="002B7F"/>
          <w:sz w:val="18"/>
          <w:lang w:val="es-PA"/>
        </w:rPr>
        <w:t xml:space="preserve"> (Octubre de 2017)</w:t>
      </w:r>
    </w:p>
    <w:tbl>
      <w:tblPr>
        <w:tblW w:w="5000" w:type="pct"/>
        <w:tblCellMar>
          <w:left w:w="10" w:type="dxa"/>
          <w:right w:w="10" w:type="dxa"/>
        </w:tblCellMar>
        <w:tblLook w:val="0000" w:firstRow="0" w:lastRow="0" w:firstColumn="0" w:lastColumn="0" w:noHBand="0" w:noVBand="0"/>
      </w:tblPr>
      <w:tblGrid>
        <w:gridCol w:w="3108"/>
        <w:gridCol w:w="598"/>
        <w:gridCol w:w="598"/>
        <w:gridCol w:w="598"/>
        <w:gridCol w:w="598"/>
        <w:gridCol w:w="598"/>
        <w:gridCol w:w="598"/>
        <w:gridCol w:w="896"/>
        <w:gridCol w:w="896"/>
      </w:tblGrid>
      <w:tr w:rsidR="00AC52A5" w:rsidRPr="00AC52A5" w14:paraId="238045D2" w14:textId="77777777" w:rsidTr="00A917D9">
        <w:tc>
          <w:tcPr>
            <w:tcW w:w="3108" w:type="dxa"/>
            <w:vMerge w:val="restart"/>
            <w:tcBorders>
              <w:left w:val="single" w:sz="6" w:space="0" w:color="9CC2E5"/>
              <w:right w:val="single" w:sz="6" w:space="0" w:color="9CC2E5"/>
            </w:tcBorders>
            <w:shd w:val="clear" w:color="auto" w:fill="5B9BD5"/>
          </w:tcPr>
          <w:p w14:paraId="041F4E20" w14:textId="29B7F25E" w:rsidR="00AC52A5" w:rsidRPr="00AC52A5" w:rsidRDefault="00AC52A5" w:rsidP="00AC52A5">
            <w:pPr>
              <w:suppressAutoHyphens w:val="0"/>
              <w:spacing w:before="0" w:after="0"/>
              <w:jc w:val="left"/>
              <w:textAlignment w:val="auto"/>
              <w:rPr>
                <w:rFonts w:eastAsia="Times New Roman"/>
                <w:b/>
                <w:color w:val="FFFFFF"/>
              </w:rPr>
            </w:pPr>
            <w:r w:rsidRPr="00AC52A5">
              <w:rPr>
                <w:rFonts w:eastAsia="Times New Roman"/>
                <w:b/>
                <w:color w:val="FFFFFF"/>
              </w:rPr>
              <w:t xml:space="preserve">Evaluación de </w:t>
            </w:r>
            <w:r w:rsidR="006558FC">
              <w:rPr>
                <w:rFonts w:eastAsia="Times New Roman"/>
                <w:b/>
                <w:color w:val="FFFFFF"/>
              </w:rPr>
              <w:t xml:space="preserve">la </w:t>
            </w:r>
            <w:r w:rsidRPr="00AC52A5">
              <w:rPr>
                <w:rFonts w:eastAsia="Times New Roman"/>
                <w:b/>
                <w:color w:val="FFFFFF"/>
              </w:rPr>
              <w:t>conformidad</w:t>
            </w:r>
          </w:p>
        </w:tc>
        <w:tc>
          <w:tcPr>
            <w:tcW w:w="3588" w:type="dxa"/>
            <w:gridSpan w:val="6"/>
            <w:tcBorders>
              <w:top w:val="single" w:sz="6" w:space="0" w:color="9CC2E5"/>
              <w:left w:val="single" w:sz="6" w:space="0" w:color="9CC2E5"/>
              <w:bottom w:val="single" w:sz="6" w:space="0" w:color="9CC2E5"/>
              <w:right w:val="single" w:sz="6" w:space="0" w:color="9CC2E5"/>
            </w:tcBorders>
            <w:shd w:val="clear" w:color="auto" w:fill="5B9BD5"/>
            <w:tcMar>
              <w:top w:w="0" w:type="dxa"/>
              <w:left w:w="108" w:type="dxa"/>
              <w:bottom w:w="0" w:type="dxa"/>
              <w:right w:w="108" w:type="dxa"/>
            </w:tcMar>
          </w:tcPr>
          <w:p w14:paraId="4004D40D" w14:textId="5567C3A2" w:rsidR="00AC52A5" w:rsidRPr="00AC52A5" w:rsidRDefault="00AC52A5" w:rsidP="00E84F8A">
            <w:pPr>
              <w:suppressAutoHyphens w:val="0"/>
              <w:spacing w:before="0" w:after="0"/>
              <w:jc w:val="center"/>
              <w:textAlignment w:val="auto"/>
              <w:rPr>
                <w:rFonts w:eastAsia="Times New Roman"/>
                <w:b/>
                <w:color w:val="FFFFFF"/>
                <w:lang w:val="es-ES"/>
              </w:rPr>
            </w:pPr>
            <w:r w:rsidRPr="00AC52A5">
              <w:rPr>
                <w:rFonts w:eastAsia="Times New Roman"/>
                <w:b/>
                <w:color w:val="FFFFFF"/>
                <w:lang w:val="es-ES"/>
              </w:rPr>
              <w:t>ISO/IEC 1706</w:t>
            </w:r>
            <w:r w:rsidR="00E84F8A">
              <w:rPr>
                <w:rFonts w:eastAsia="Times New Roman"/>
                <w:b/>
                <w:color w:val="FFFFFF"/>
                <w:lang w:val="es-ES"/>
              </w:rPr>
              <w:t>7</w:t>
            </w:r>
          </w:p>
        </w:tc>
        <w:tc>
          <w:tcPr>
            <w:tcW w:w="1792" w:type="dxa"/>
            <w:gridSpan w:val="2"/>
            <w:tcBorders>
              <w:top w:val="single" w:sz="6" w:space="0" w:color="9CC2E5"/>
              <w:left w:val="single" w:sz="6" w:space="0" w:color="9CC2E5"/>
              <w:bottom w:val="single" w:sz="6" w:space="0" w:color="9CC2E5"/>
              <w:right w:val="single" w:sz="6" w:space="0" w:color="9CC2E5"/>
            </w:tcBorders>
            <w:shd w:val="clear" w:color="auto" w:fill="5B9BD5"/>
          </w:tcPr>
          <w:p w14:paraId="1447D9EE" w14:textId="77777777" w:rsidR="00AC52A5" w:rsidRPr="00AC52A5" w:rsidRDefault="00AC52A5" w:rsidP="00AC52A5">
            <w:pPr>
              <w:suppressAutoHyphens w:val="0"/>
              <w:spacing w:before="0" w:after="0"/>
              <w:jc w:val="center"/>
              <w:textAlignment w:val="auto"/>
              <w:rPr>
                <w:rFonts w:eastAsia="Times New Roman"/>
                <w:b/>
                <w:color w:val="FFFFFF"/>
                <w:lang w:val="es-ES"/>
              </w:rPr>
            </w:pPr>
            <w:r w:rsidRPr="00AC52A5">
              <w:rPr>
                <w:rFonts w:eastAsia="Times New Roman"/>
                <w:b/>
                <w:color w:val="FFFFFF"/>
                <w:lang w:val="es-ES"/>
              </w:rPr>
              <w:t>NOM-ENER</w:t>
            </w:r>
          </w:p>
        </w:tc>
      </w:tr>
      <w:tr w:rsidR="00AC52A5" w:rsidRPr="00AC52A5" w14:paraId="019D9CD3" w14:textId="77777777" w:rsidTr="00A917D9">
        <w:tc>
          <w:tcPr>
            <w:tcW w:w="3108" w:type="dxa"/>
            <w:vMerge/>
            <w:tcBorders>
              <w:left w:val="single" w:sz="6" w:space="0" w:color="9CC2E5"/>
              <w:bottom w:val="single" w:sz="6" w:space="0" w:color="9CC2E5"/>
              <w:right w:val="single" w:sz="6" w:space="0" w:color="9CC2E5"/>
            </w:tcBorders>
            <w:shd w:val="clear" w:color="auto" w:fill="5B9BD5"/>
          </w:tcPr>
          <w:p w14:paraId="0B035246" w14:textId="77777777" w:rsidR="00AC52A5" w:rsidRPr="00AC52A5" w:rsidRDefault="00AC52A5" w:rsidP="00AC52A5">
            <w:pPr>
              <w:suppressAutoHyphens w:val="0"/>
              <w:spacing w:before="0" w:after="0"/>
              <w:jc w:val="left"/>
              <w:textAlignment w:val="auto"/>
              <w:rPr>
                <w:rFonts w:eastAsia="Times New Roman"/>
                <w:color w:val="FFFFFF"/>
                <w:lang w:val="es-ES"/>
              </w:rPr>
            </w:pPr>
          </w:p>
        </w:tc>
        <w:tc>
          <w:tcPr>
            <w:tcW w:w="598" w:type="dxa"/>
            <w:tcBorders>
              <w:top w:val="single" w:sz="6" w:space="0" w:color="9CC2E5"/>
              <w:left w:val="single" w:sz="6" w:space="0" w:color="9CC2E5"/>
              <w:bottom w:val="single" w:sz="6" w:space="0" w:color="9CC2E5"/>
              <w:right w:val="single" w:sz="6" w:space="0" w:color="9CC2E5"/>
            </w:tcBorders>
            <w:shd w:val="clear" w:color="auto" w:fill="5B9BD5"/>
            <w:tcMar>
              <w:top w:w="0" w:type="dxa"/>
              <w:left w:w="108" w:type="dxa"/>
              <w:bottom w:w="0" w:type="dxa"/>
              <w:right w:w="108" w:type="dxa"/>
            </w:tcMar>
          </w:tcPr>
          <w:p w14:paraId="1977F7C3" w14:textId="77777777" w:rsidR="00AC52A5" w:rsidRPr="00AC52A5" w:rsidRDefault="00AC52A5" w:rsidP="00AC52A5">
            <w:pPr>
              <w:suppressAutoHyphens w:val="0"/>
              <w:spacing w:before="0" w:after="0"/>
              <w:jc w:val="center"/>
              <w:textAlignment w:val="auto"/>
              <w:rPr>
                <w:rFonts w:eastAsia="Times New Roman"/>
                <w:b/>
                <w:color w:val="FFFFFF"/>
                <w:lang w:val="es-ES"/>
              </w:rPr>
            </w:pPr>
            <w:r w:rsidRPr="00AC52A5">
              <w:rPr>
                <w:rFonts w:eastAsia="Times New Roman"/>
                <w:b/>
                <w:color w:val="FFFFFF"/>
                <w:lang w:val="es-ES"/>
              </w:rPr>
              <w:t>1a</w:t>
            </w:r>
          </w:p>
        </w:tc>
        <w:tc>
          <w:tcPr>
            <w:tcW w:w="598" w:type="dxa"/>
            <w:tcBorders>
              <w:top w:val="single" w:sz="6" w:space="0" w:color="9CC2E5"/>
              <w:left w:val="single" w:sz="6" w:space="0" w:color="9CC2E5"/>
              <w:bottom w:val="single" w:sz="6" w:space="0" w:color="9CC2E5"/>
              <w:right w:val="single" w:sz="6" w:space="0" w:color="9CC2E5"/>
            </w:tcBorders>
            <w:shd w:val="clear" w:color="auto" w:fill="5B9BD5"/>
          </w:tcPr>
          <w:p w14:paraId="2A68AD63" w14:textId="77777777" w:rsidR="00AC52A5" w:rsidRPr="00AC52A5" w:rsidRDefault="00AC52A5" w:rsidP="00AC52A5">
            <w:pPr>
              <w:suppressAutoHyphens w:val="0"/>
              <w:spacing w:before="0" w:after="0"/>
              <w:jc w:val="center"/>
              <w:textAlignment w:val="auto"/>
              <w:rPr>
                <w:rFonts w:eastAsia="Times New Roman"/>
                <w:b/>
                <w:color w:val="FFFFFF"/>
                <w:lang w:val="es-ES"/>
              </w:rPr>
            </w:pPr>
            <w:r w:rsidRPr="00AC52A5">
              <w:rPr>
                <w:rFonts w:eastAsia="Times New Roman"/>
                <w:b/>
                <w:color w:val="FFFFFF"/>
                <w:lang w:val="es-ES"/>
              </w:rPr>
              <w:t>1b</w:t>
            </w:r>
          </w:p>
        </w:tc>
        <w:tc>
          <w:tcPr>
            <w:tcW w:w="598" w:type="dxa"/>
            <w:tcBorders>
              <w:top w:val="single" w:sz="6" w:space="0" w:color="9CC2E5"/>
              <w:left w:val="single" w:sz="6" w:space="0" w:color="9CC2E5"/>
              <w:bottom w:val="single" w:sz="6" w:space="0" w:color="9CC2E5"/>
              <w:right w:val="single" w:sz="6" w:space="0" w:color="9CC2E5"/>
            </w:tcBorders>
            <w:shd w:val="clear" w:color="auto" w:fill="5B9BD5"/>
          </w:tcPr>
          <w:p w14:paraId="0CD075A0" w14:textId="77777777" w:rsidR="00AC52A5" w:rsidRPr="00AC52A5" w:rsidRDefault="00AC52A5" w:rsidP="00AC52A5">
            <w:pPr>
              <w:suppressAutoHyphens w:val="0"/>
              <w:spacing w:before="0" w:after="0"/>
              <w:jc w:val="center"/>
              <w:textAlignment w:val="auto"/>
              <w:rPr>
                <w:rFonts w:eastAsia="Times New Roman"/>
                <w:b/>
                <w:color w:val="FFFFFF"/>
                <w:lang w:val="es-ES"/>
              </w:rPr>
            </w:pPr>
            <w:r w:rsidRPr="00AC52A5">
              <w:rPr>
                <w:rFonts w:eastAsia="Times New Roman"/>
                <w:b/>
                <w:color w:val="FFFFFF"/>
                <w:lang w:val="es-ES"/>
              </w:rPr>
              <w:t>2</w:t>
            </w:r>
          </w:p>
        </w:tc>
        <w:tc>
          <w:tcPr>
            <w:tcW w:w="598" w:type="dxa"/>
            <w:tcBorders>
              <w:top w:val="single" w:sz="6" w:space="0" w:color="9CC2E5"/>
              <w:left w:val="single" w:sz="6" w:space="0" w:color="9CC2E5"/>
              <w:bottom w:val="single" w:sz="6" w:space="0" w:color="9CC2E5"/>
              <w:right w:val="single" w:sz="6" w:space="0" w:color="9CC2E5"/>
            </w:tcBorders>
            <w:shd w:val="clear" w:color="auto" w:fill="5B9BD5"/>
          </w:tcPr>
          <w:p w14:paraId="343D399E" w14:textId="77777777" w:rsidR="00AC52A5" w:rsidRPr="00AC52A5" w:rsidRDefault="00AC52A5" w:rsidP="00AC52A5">
            <w:pPr>
              <w:suppressAutoHyphens w:val="0"/>
              <w:spacing w:before="0" w:after="0"/>
              <w:jc w:val="center"/>
              <w:textAlignment w:val="auto"/>
              <w:rPr>
                <w:rFonts w:eastAsia="Times New Roman"/>
                <w:b/>
                <w:color w:val="FFFFFF"/>
                <w:lang w:val="es-ES"/>
              </w:rPr>
            </w:pPr>
            <w:r w:rsidRPr="00AC52A5">
              <w:rPr>
                <w:rFonts w:eastAsia="Times New Roman"/>
                <w:b/>
                <w:color w:val="FFFFFF"/>
                <w:lang w:val="es-ES"/>
              </w:rPr>
              <w:t>3</w:t>
            </w:r>
          </w:p>
        </w:tc>
        <w:tc>
          <w:tcPr>
            <w:tcW w:w="598" w:type="dxa"/>
            <w:tcBorders>
              <w:top w:val="single" w:sz="6" w:space="0" w:color="9CC2E5"/>
              <w:left w:val="single" w:sz="6" w:space="0" w:color="9CC2E5"/>
              <w:bottom w:val="single" w:sz="6" w:space="0" w:color="9CC2E5"/>
              <w:right w:val="single" w:sz="6" w:space="0" w:color="9CC2E5"/>
            </w:tcBorders>
            <w:shd w:val="clear" w:color="auto" w:fill="5B9BD5"/>
          </w:tcPr>
          <w:p w14:paraId="2BD8289C" w14:textId="77777777" w:rsidR="00AC52A5" w:rsidRPr="00AC52A5" w:rsidRDefault="00AC52A5" w:rsidP="00AC52A5">
            <w:pPr>
              <w:suppressAutoHyphens w:val="0"/>
              <w:spacing w:before="0" w:after="0"/>
              <w:jc w:val="center"/>
              <w:textAlignment w:val="auto"/>
              <w:rPr>
                <w:rFonts w:eastAsia="Times New Roman"/>
                <w:b/>
                <w:color w:val="FFFFFF"/>
                <w:lang w:val="es-ES"/>
              </w:rPr>
            </w:pPr>
            <w:r w:rsidRPr="00AC52A5">
              <w:rPr>
                <w:rFonts w:eastAsia="Times New Roman"/>
                <w:b/>
                <w:color w:val="FFFFFF"/>
                <w:lang w:val="es-ES"/>
              </w:rPr>
              <w:t>4</w:t>
            </w:r>
          </w:p>
        </w:tc>
        <w:tc>
          <w:tcPr>
            <w:tcW w:w="598" w:type="dxa"/>
            <w:tcBorders>
              <w:top w:val="single" w:sz="6" w:space="0" w:color="9CC2E5"/>
              <w:left w:val="single" w:sz="6" w:space="0" w:color="9CC2E5"/>
              <w:bottom w:val="single" w:sz="6" w:space="0" w:color="9CC2E5"/>
              <w:right w:val="single" w:sz="6" w:space="0" w:color="9CC2E5"/>
            </w:tcBorders>
            <w:shd w:val="clear" w:color="auto" w:fill="5B9BD5"/>
          </w:tcPr>
          <w:p w14:paraId="1E9AA3B8" w14:textId="14927429" w:rsidR="00AC52A5" w:rsidRPr="00AC52A5" w:rsidRDefault="00AC52A5" w:rsidP="00AC52A5">
            <w:pPr>
              <w:suppressAutoHyphens w:val="0"/>
              <w:spacing w:before="0" w:after="0"/>
              <w:jc w:val="center"/>
              <w:textAlignment w:val="auto"/>
              <w:rPr>
                <w:rFonts w:eastAsia="Times New Roman"/>
                <w:b/>
                <w:color w:val="FFFFFF"/>
                <w:lang w:val="es-ES"/>
              </w:rPr>
            </w:pPr>
            <w:r w:rsidRPr="00AC52A5">
              <w:rPr>
                <w:rFonts w:eastAsia="Times New Roman"/>
                <w:b/>
                <w:color w:val="FFFFFF"/>
                <w:lang w:val="es-ES"/>
              </w:rPr>
              <w:t>5</w:t>
            </w:r>
          </w:p>
        </w:tc>
        <w:tc>
          <w:tcPr>
            <w:tcW w:w="896" w:type="dxa"/>
            <w:tcBorders>
              <w:top w:val="single" w:sz="6" w:space="0" w:color="9CC2E5"/>
              <w:left w:val="single" w:sz="6" w:space="0" w:color="9CC2E5"/>
              <w:bottom w:val="single" w:sz="6" w:space="0" w:color="9CC2E5"/>
              <w:right w:val="single" w:sz="6" w:space="0" w:color="9CC2E5"/>
            </w:tcBorders>
            <w:shd w:val="clear" w:color="auto" w:fill="5B9BD5"/>
          </w:tcPr>
          <w:p w14:paraId="2D87826B" w14:textId="77777777" w:rsidR="00AC52A5" w:rsidRPr="00AC52A5" w:rsidRDefault="00AC52A5" w:rsidP="00AC52A5">
            <w:pPr>
              <w:suppressAutoHyphens w:val="0"/>
              <w:spacing w:before="0" w:after="0"/>
              <w:jc w:val="center"/>
              <w:textAlignment w:val="auto"/>
              <w:rPr>
                <w:rFonts w:eastAsia="Times New Roman"/>
                <w:b/>
                <w:color w:val="FFFFFF"/>
                <w:lang w:val="es-ES"/>
              </w:rPr>
            </w:pPr>
            <w:r w:rsidRPr="00AC52A5">
              <w:rPr>
                <w:rFonts w:eastAsia="Times New Roman"/>
                <w:b/>
                <w:color w:val="FFFFFF"/>
                <w:lang w:val="es-ES"/>
              </w:rPr>
              <w:t>NOM 1</w:t>
            </w:r>
          </w:p>
        </w:tc>
        <w:tc>
          <w:tcPr>
            <w:tcW w:w="896" w:type="dxa"/>
            <w:tcBorders>
              <w:top w:val="single" w:sz="6" w:space="0" w:color="9CC2E5"/>
              <w:left w:val="single" w:sz="6" w:space="0" w:color="9CC2E5"/>
              <w:bottom w:val="single" w:sz="6" w:space="0" w:color="9CC2E5"/>
              <w:right w:val="single" w:sz="6" w:space="0" w:color="9CC2E5"/>
            </w:tcBorders>
            <w:shd w:val="clear" w:color="auto" w:fill="5B9BD5"/>
          </w:tcPr>
          <w:p w14:paraId="42A2FBAB" w14:textId="77777777" w:rsidR="00AC52A5" w:rsidRPr="00AC52A5" w:rsidRDefault="00AC52A5" w:rsidP="00AC52A5">
            <w:pPr>
              <w:suppressAutoHyphens w:val="0"/>
              <w:spacing w:before="0" w:after="0"/>
              <w:jc w:val="center"/>
              <w:textAlignment w:val="auto"/>
              <w:rPr>
                <w:rFonts w:eastAsia="Times New Roman"/>
                <w:b/>
                <w:color w:val="FFFFFF"/>
                <w:lang w:val="es-ES"/>
              </w:rPr>
            </w:pPr>
            <w:r w:rsidRPr="00AC52A5">
              <w:rPr>
                <w:rFonts w:eastAsia="Times New Roman"/>
                <w:b/>
                <w:color w:val="FFFFFF"/>
                <w:lang w:val="es-ES"/>
              </w:rPr>
              <w:t>NOM 2</w:t>
            </w:r>
          </w:p>
        </w:tc>
      </w:tr>
      <w:tr w:rsidR="00AC52A5" w:rsidRPr="00AC52A5" w14:paraId="715A17E3" w14:textId="77777777" w:rsidTr="00A917D9">
        <w:tc>
          <w:tcPr>
            <w:tcW w:w="310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6960BFE" w14:textId="77777777" w:rsidR="00AC52A5" w:rsidRPr="00AC52A5" w:rsidRDefault="00AC52A5" w:rsidP="00AC52A5">
            <w:pPr>
              <w:suppressAutoHyphens w:val="0"/>
              <w:spacing w:before="0" w:after="0"/>
              <w:jc w:val="left"/>
              <w:textAlignment w:val="auto"/>
              <w:rPr>
                <w:rFonts w:eastAsia="Times New Roman"/>
                <w:b/>
                <w:lang w:val="es-ES"/>
              </w:rPr>
            </w:pPr>
            <w:r w:rsidRPr="00AC52A5">
              <w:rPr>
                <w:rFonts w:eastAsia="Times New Roman"/>
                <w:b/>
                <w:lang w:val="es-ES"/>
              </w:rPr>
              <w:t>Ensayos</w:t>
            </w:r>
          </w:p>
        </w:tc>
        <w:tc>
          <w:tcPr>
            <w:tcW w:w="59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556D1BD"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shd w:val="clear" w:color="auto" w:fill="DEEAF6"/>
          </w:tcPr>
          <w:p w14:paraId="3EB9030F"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shd w:val="clear" w:color="auto" w:fill="DEEAF6"/>
          </w:tcPr>
          <w:p w14:paraId="5AB72BE7"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shd w:val="clear" w:color="auto" w:fill="DEEAF6"/>
          </w:tcPr>
          <w:p w14:paraId="401C3028" w14:textId="6DC3694B"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shd w:val="clear" w:color="auto" w:fill="DEEAF6"/>
          </w:tcPr>
          <w:p w14:paraId="1470564F"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shd w:val="clear" w:color="auto" w:fill="DEEAF6"/>
          </w:tcPr>
          <w:p w14:paraId="34ABDE21" w14:textId="73A73437" w:rsidR="00AC52A5" w:rsidRPr="00AC52A5" w:rsidRDefault="00AC52A5" w:rsidP="00AC52A5">
            <w:pPr>
              <w:suppressAutoHyphens w:val="0"/>
              <w:spacing w:before="0" w:after="0"/>
              <w:jc w:val="center"/>
              <w:textAlignment w:val="auto"/>
              <w:rPr>
                <w:rFonts w:eastAsia="Times New Roman"/>
                <w:lang w:val="es-ES"/>
              </w:rPr>
            </w:pPr>
          </w:p>
        </w:tc>
        <w:tc>
          <w:tcPr>
            <w:tcW w:w="896" w:type="dxa"/>
            <w:tcBorders>
              <w:top w:val="single" w:sz="6" w:space="0" w:color="9CC2E5"/>
              <w:left w:val="single" w:sz="6" w:space="0" w:color="9CC2E5"/>
              <w:bottom w:val="single" w:sz="6" w:space="0" w:color="9CC2E5"/>
              <w:right w:val="single" w:sz="6" w:space="0" w:color="9CC2E5"/>
            </w:tcBorders>
            <w:shd w:val="clear" w:color="auto" w:fill="DEEAF6"/>
          </w:tcPr>
          <w:p w14:paraId="40757221" w14:textId="77777777" w:rsidR="00AC52A5" w:rsidRPr="00AC52A5" w:rsidRDefault="00AC52A5" w:rsidP="00AC52A5">
            <w:pPr>
              <w:suppressAutoHyphens w:val="0"/>
              <w:spacing w:before="0" w:after="0"/>
              <w:jc w:val="center"/>
              <w:textAlignment w:val="auto"/>
              <w:rPr>
                <w:rFonts w:eastAsia="Times New Roman"/>
                <w:lang w:val="es-ES"/>
              </w:rPr>
            </w:pPr>
          </w:p>
        </w:tc>
        <w:tc>
          <w:tcPr>
            <w:tcW w:w="896" w:type="dxa"/>
            <w:tcBorders>
              <w:top w:val="single" w:sz="6" w:space="0" w:color="9CC2E5"/>
              <w:left w:val="single" w:sz="6" w:space="0" w:color="9CC2E5"/>
              <w:bottom w:val="single" w:sz="6" w:space="0" w:color="9CC2E5"/>
              <w:right w:val="single" w:sz="6" w:space="0" w:color="9CC2E5"/>
            </w:tcBorders>
            <w:shd w:val="clear" w:color="auto" w:fill="DEEAF6"/>
          </w:tcPr>
          <w:p w14:paraId="74A8232B" w14:textId="77777777" w:rsidR="00AC52A5" w:rsidRPr="00AC52A5" w:rsidRDefault="00AC52A5" w:rsidP="00AC52A5">
            <w:pPr>
              <w:suppressAutoHyphens w:val="0"/>
              <w:spacing w:before="0" w:after="0"/>
              <w:jc w:val="center"/>
              <w:textAlignment w:val="auto"/>
              <w:rPr>
                <w:rFonts w:eastAsia="Times New Roman"/>
                <w:lang w:val="es-ES"/>
              </w:rPr>
            </w:pPr>
          </w:p>
        </w:tc>
      </w:tr>
      <w:tr w:rsidR="00AC52A5" w:rsidRPr="00AC52A5" w14:paraId="141D2B5C" w14:textId="77777777" w:rsidTr="00A917D9">
        <w:tc>
          <w:tcPr>
            <w:tcW w:w="310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85355A1" w14:textId="77777777" w:rsidR="00AC52A5" w:rsidRPr="00AC52A5" w:rsidRDefault="00AC52A5" w:rsidP="00AC52A5">
            <w:pPr>
              <w:suppressAutoHyphens w:val="0"/>
              <w:spacing w:before="0" w:after="0"/>
              <w:jc w:val="left"/>
              <w:textAlignment w:val="auto"/>
              <w:rPr>
                <w:rFonts w:eastAsia="Times New Roman"/>
                <w:lang w:val="es-ES"/>
              </w:rPr>
            </w:pPr>
            <w:r w:rsidRPr="00AC52A5">
              <w:rPr>
                <w:rFonts w:eastAsia="Times New Roman"/>
                <w:lang w:val="es-ES"/>
              </w:rPr>
              <w:t>Ensayos por producto</w:t>
            </w:r>
          </w:p>
        </w:tc>
        <w:tc>
          <w:tcPr>
            <w:tcW w:w="598" w:type="dxa"/>
            <w:tcBorders>
              <w:top w:val="single" w:sz="6" w:space="0" w:color="9CC2E5"/>
              <w:left w:val="single" w:sz="6" w:space="0" w:color="9CC2E5"/>
              <w:bottom w:val="single" w:sz="6" w:space="0" w:color="9CC2E5"/>
              <w:right w:val="single" w:sz="6" w:space="0" w:color="9CC2E5"/>
            </w:tcBorders>
            <w:shd w:val="clear" w:color="auto" w:fill="FFC000"/>
            <w:tcMar>
              <w:top w:w="0" w:type="dxa"/>
              <w:left w:w="108" w:type="dxa"/>
              <w:bottom w:w="0" w:type="dxa"/>
              <w:right w:w="108" w:type="dxa"/>
            </w:tcMar>
            <w:vAlign w:val="center"/>
          </w:tcPr>
          <w:p w14:paraId="2008C633" w14:textId="77777777" w:rsidR="00AC52A5" w:rsidRPr="00AC52A5" w:rsidRDefault="00AC52A5" w:rsidP="00AC52A5">
            <w:pPr>
              <w:suppressAutoHyphens w:val="0"/>
              <w:spacing w:before="0" w:after="0"/>
              <w:jc w:val="center"/>
              <w:textAlignment w:val="auto"/>
              <w:rPr>
                <w:rFonts w:eastAsia="Times New Roman"/>
                <w:b/>
                <w:lang w:val="es-ES"/>
              </w:rPr>
            </w:pPr>
            <w:r w:rsidRPr="00AC52A5">
              <w:rPr>
                <w:rFonts w:eastAsia="Times New Roman"/>
                <w:b/>
                <w:color w:val="auto"/>
                <w:lang w:val="es-ES"/>
              </w:rPr>
              <w:t>X</w:t>
            </w:r>
          </w:p>
        </w:tc>
        <w:tc>
          <w:tcPr>
            <w:tcW w:w="598" w:type="dxa"/>
            <w:tcBorders>
              <w:top w:val="single" w:sz="6" w:space="0" w:color="9CC2E5"/>
              <w:left w:val="single" w:sz="6" w:space="0" w:color="9CC2E5"/>
              <w:bottom w:val="single" w:sz="6" w:space="0" w:color="9CC2E5"/>
              <w:right w:val="single" w:sz="6" w:space="0" w:color="9CC2E5"/>
            </w:tcBorders>
            <w:vAlign w:val="center"/>
          </w:tcPr>
          <w:p w14:paraId="0BA85BA9"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vAlign w:val="center"/>
          </w:tcPr>
          <w:p w14:paraId="54D120A9"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vAlign w:val="center"/>
          </w:tcPr>
          <w:p w14:paraId="75DECB0F"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vAlign w:val="center"/>
          </w:tcPr>
          <w:p w14:paraId="7F20EC37"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vAlign w:val="center"/>
          </w:tcPr>
          <w:p w14:paraId="2D12FE3B" w14:textId="77777777" w:rsidR="00AC52A5" w:rsidRPr="00AC52A5" w:rsidRDefault="00AC52A5" w:rsidP="00AC52A5">
            <w:pPr>
              <w:suppressAutoHyphens w:val="0"/>
              <w:spacing w:before="0" w:after="0"/>
              <w:jc w:val="center"/>
              <w:textAlignment w:val="auto"/>
              <w:rPr>
                <w:rFonts w:eastAsia="Times New Roman"/>
                <w:lang w:val="es-ES"/>
              </w:rPr>
            </w:pPr>
          </w:p>
        </w:tc>
        <w:tc>
          <w:tcPr>
            <w:tcW w:w="896" w:type="dxa"/>
            <w:tcBorders>
              <w:top w:val="single" w:sz="6" w:space="0" w:color="9CC2E5"/>
              <w:left w:val="single" w:sz="6" w:space="0" w:color="9CC2E5"/>
              <w:bottom w:val="single" w:sz="6" w:space="0" w:color="9CC2E5"/>
              <w:right w:val="single" w:sz="6" w:space="0" w:color="9CC2E5"/>
            </w:tcBorders>
            <w:vAlign w:val="center"/>
          </w:tcPr>
          <w:p w14:paraId="4CAFE7D6" w14:textId="77777777" w:rsidR="00AC52A5" w:rsidRPr="00AC52A5" w:rsidRDefault="00AC52A5" w:rsidP="00AC52A5">
            <w:pPr>
              <w:suppressAutoHyphens w:val="0"/>
              <w:spacing w:before="0" w:after="0"/>
              <w:jc w:val="center"/>
              <w:textAlignment w:val="auto"/>
              <w:rPr>
                <w:rFonts w:eastAsia="Times New Roman"/>
                <w:lang w:val="es-ES"/>
              </w:rPr>
            </w:pPr>
          </w:p>
        </w:tc>
        <w:tc>
          <w:tcPr>
            <w:tcW w:w="896" w:type="dxa"/>
            <w:tcBorders>
              <w:top w:val="single" w:sz="6" w:space="0" w:color="9CC2E5"/>
              <w:left w:val="single" w:sz="6" w:space="0" w:color="9CC2E5"/>
              <w:bottom w:val="single" w:sz="6" w:space="0" w:color="9CC2E5"/>
              <w:right w:val="single" w:sz="6" w:space="0" w:color="9CC2E5"/>
            </w:tcBorders>
            <w:vAlign w:val="center"/>
          </w:tcPr>
          <w:p w14:paraId="135DE4BF" w14:textId="77777777" w:rsidR="00AC52A5" w:rsidRPr="00AC52A5" w:rsidRDefault="00AC52A5" w:rsidP="00AC52A5">
            <w:pPr>
              <w:suppressAutoHyphens w:val="0"/>
              <w:spacing w:before="0" w:after="0"/>
              <w:jc w:val="center"/>
              <w:textAlignment w:val="auto"/>
              <w:rPr>
                <w:rFonts w:eastAsia="Times New Roman"/>
                <w:lang w:val="es-ES"/>
              </w:rPr>
            </w:pPr>
          </w:p>
        </w:tc>
      </w:tr>
      <w:tr w:rsidR="00AC52A5" w:rsidRPr="00AC52A5" w14:paraId="06BCDEDA" w14:textId="77777777" w:rsidTr="00A917D9">
        <w:trPr>
          <w:trHeight w:val="213"/>
        </w:trPr>
        <w:tc>
          <w:tcPr>
            <w:tcW w:w="310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E153633" w14:textId="77777777" w:rsidR="00AC52A5" w:rsidRPr="00AC52A5" w:rsidRDefault="00AC52A5" w:rsidP="00AC52A5">
            <w:pPr>
              <w:suppressAutoHyphens w:val="0"/>
              <w:spacing w:before="0" w:after="0"/>
              <w:jc w:val="left"/>
              <w:textAlignment w:val="auto"/>
              <w:rPr>
                <w:rFonts w:eastAsia="Times New Roman"/>
                <w:lang w:val="es-ES"/>
              </w:rPr>
            </w:pPr>
            <w:r w:rsidRPr="00AC52A5">
              <w:rPr>
                <w:rFonts w:eastAsia="Times New Roman"/>
                <w:lang w:val="es-ES"/>
              </w:rPr>
              <w:t>Ensayos por lote</w:t>
            </w:r>
          </w:p>
        </w:tc>
        <w:tc>
          <w:tcPr>
            <w:tcW w:w="59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vAlign w:val="center"/>
          </w:tcPr>
          <w:p w14:paraId="4ECD0AD5"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shd w:val="clear" w:color="auto" w:fill="FFC000"/>
            <w:vAlign w:val="center"/>
          </w:tcPr>
          <w:p w14:paraId="2B257216" w14:textId="77777777" w:rsidR="00AC52A5" w:rsidRPr="00AC52A5" w:rsidRDefault="00AC52A5" w:rsidP="00AC52A5">
            <w:pPr>
              <w:suppressAutoHyphens w:val="0"/>
              <w:spacing w:before="0" w:after="0"/>
              <w:jc w:val="center"/>
              <w:textAlignment w:val="auto"/>
              <w:rPr>
                <w:rFonts w:eastAsia="Times New Roman"/>
                <w:b/>
                <w:lang w:val="es-ES"/>
              </w:rPr>
            </w:pPr>
            <w:r w:rsidRPr="00AC52A5">
              <w:rPr>
                <w:rFonts w:eastAsia="Times New Roman"/>
                <w:b/>
                <w:lang w:val="es-ES"/>
              </w:rPr>
              <w:t>X</w:t>
            </w:r>
          </w:p>
        </w:tc>
        <w:tc>
          <w:tcPr>
            <w:tcW w:w="598" w:type="dxa"/>
            <w:tcBorders>
              <w:top w:val="single" w:sz="6" w:space="0" w:color="9CC2E5"/>
              <w:left w:val="single" w:sz="6" w:space="0" w:color="9CC2E5"/>
              <w:bottom w:val="single" w:sz="6" w:space="0" w:color="9CC2E5"/>
              <w:right w:val="single" w:sz="6" w:space="0" w:color="9CC2E5"/>
            </w:tcBorders>
            <w:shd w:val="clear" w:color="auto" w:fill="FFC000"/>
            <w:vAlign w:val="center"/>
          </w:tcPr>
          <w:p w14:paraId="56966E43" w14:textId="77777777" w:rsidR="00AC52A5" w:rsidRPr="00AC52A5" w:rsidRDefault="00AC52A5" w:rsidP="00AC52A5">
            <w:pPr>
              <w:suppressAutoHyphens w:val="0"/>
              <w:spacing w:before="0" w:after="0"/>
              <w:jc w:val="center"/>
              <w:textAlignment w:val="auto"/>
              <w:rPr>
                <w:rFonts w:eastAsia="Times New Roman"/>
                <w:b/>
                <w:lang w:val="es-ES"/>
              </w:rPr>
            </w:pPr>
            <w:r w:rsidRPr="00AC52A5">
              <w:rPr>
                <w:rFonts w:eastAsia="Times New Roman"/>
                <w:b/>
                <w:lang w:val="es-ES"/>
              </w:rPr>
              <w:t>X</w:t>
            </w:r>
          </w:p>
        </w:tc>
        <w:tc>
          <w:tcPr>
            <w:tcW w:w="598" w:type="dxa"/>
            <w:tcBorders>
              <w:top w:val="single" w:sz="6" w:space="0" w:color="9CC2E5"/>
              <w:left w:val="single" w:sz="6" w:space="0" w:color="9CC2E5"/>
              <w:bottom w:val="single" w:sz="6" w:space="0" w:color="9CC2E5"/>
              <w:right w:val="single" w:sz="6" w:space="0" w:color="9CC2E5"/>
            </w:tcBorders>
            <w:shd w:val="clear" w:color="auto" w:fill="FFC000"/>
            <w:vAlign w:val="center"/>
          </w:tcPr>
          <w:p w14:paraId="6410E9FD" w14:textId="77777777" w:rsidR="00AC52A5" w:rsidRPr="00AC52A5" w:rsidRDefault="00AC52A5" w:rsidP="00AC52A5">
            <w:pPr>
              <w:suppressAutoHyphens w:val="0"/>
              <w:spacing w:before="0" w:after="0"/>
              <w:jc w:val="center"/>
              <w:textAlignment w:val="auto"/>
              <w:rPr>
                <w:rFonts w:eastAsia="Times New Roman"/>
                <w:b/>
                <w:lang w:val="es-ES"/>
              </w:rPr>
            </w:pPr>
            <w:r w:rsidRPr="00AC52A5">
              <w:rPr>
                <w:rFonts w:eastAsia="Times New Roman"/>
                <w:b/>
                <w:lang w:val="es-ES"/>
              </w:rPr>
              <w:t>X</w:t>
            </w:r>
          </w:p>
        </w:tc>
        <w:tc>
          <w:tcPr>
            <w:tcW w:w="598" w:type="dxa"/>
            <w:tcBorders>
              <w:top w:val="single" w:sz="6" w:space="0" w:color="9CC2E5"/>
              <w:left w:val="single" w:sz="6" w:space="0" w:color="9CC2E5"/>
              <w:bottom w:val="single" w:sz="6" w:space="0" w:color="9CC2E5"/>
              <w:right w:val="single" w:sz="6" w:space="0" w:color="9CC2E5"/>
            </w:tcBorders>
            <w:shd w:val="clear" w:color="auto" w:fill="FFC000"/>
            <w:vAlign w:val="center"/>
          </w:tcPr>
          <w:p w14:paraId="77ED6D18" w14:textId="77777777" w:rsidR="00AC52A5" w:rsidRPr="00AC52A5" w:rsidRDefault="00AC52A5" w:rsidP="00AC52A5">
            <w:pPr>
              <w:suppressAutoHyphens w:val="0"/>
              <w:spacing w:before="0" w:after="0"/>
              <w:jc w:val="center"/>
              <w:textAlignment w:val="auto"/>
              <w:rPr>
                <w:rFonts w:eastAsia="Times New Roman"/>
                <w:b/>
                <w:lang w:val="es-ES"/>
              </w:rPr>
            </w:pPr>
            <w:r w:rsidRPr="00AC52A5">
              <w:rPr>
                <w:rFonts w:eastAsia="Times New Roman"/>
                <w:b/>
                <w:lang w:val="es-ES"/>
              </w:rPr>
              <w:t>X</w:t>
            </w:r>
          </w:p>
        </w:tc>
        <w:tc>
          <w:tcPr>
            <w:tcW w:w="598" w:type="dxa"/>
            <w:tcBorders>
              <w:top w:val="single" w:sz="6" w:space="0" w:color="9CC2E5"/>
              <w:left w:val="single" w:sz="6" w:space="0" w:color="9CC2E5"/>
              <w:bottom w:val="single" w:sz="6" w:space="0" w:color="9CC2E5"/>
              <w:right w:val="single" w:sz="6" w:space="0" w:color="9CC2E5"/>
            </w:tcBorders>
            <w:shd w:val="clear" w:color="auto" w:fill="FFC000"/>
            <w:vAlign w:val="center"/>
          </w:tcPr>
          <w:p w14:paraId="6A7F17EB" w14:textId="77777777" w:rsidR="00AC52A5" w:rsidRPr="00AC52A5" w:rsidRDefault="00AC52A5" w:rsidP="00AC52A5">
            <w:pPr>
              <w:suppressAutoHyphens w:val="0"/>
              <w:spacing w:before="0" w:after="0"/>
              <w:jc w:val="center"/>
              <w:textAlignment w:val="auto"/>
              <w:rPr>
                <w:rFonts w:eastAsia="Times New Roman"/>
                <w:b/>
                <w:lang w:val="es-ES"/>
              </w:rPr>
            </w:pPr>
            <w:r w:rsidRPr="00AC52A5">
              <w:rPr>
                <w:rFonts w:eastAsia="Times New Roman"/>
                <w:b/>
                <w:lang w:val="es-ES"/>
              </w:rPr>
              <w:t>X</w:t>
            </w:r>
          </w:p>
        </w:tc>
        <w:tc>
          <w:tcPr>
            <w:tcW w:w="896" w:type="dxa"/>
            <w:tcBorders>
              <w:top w:val="single" w:sz="6" w:space="0" w:color="9CC2E5"/>
              <w:left w:val="single" w:sz="6" w:space="0" w:color="9CC2E5"/>
              <w:bottom w:val="single" w:sz="6" w:space="0" w:color="9CC2E5"/>
              <w:right w:val="single" w:sz="6" w:space="0" w:color="9CC2E5"/>
            </w:tcBorders>
            <w:shd w:val="clear" w:color="auto" w:fill="FFC000"/>
            <w:vAlign w:val="center"/>
          </w:tcPr>
          <w:p w14:paraId="28C58949" w14:textId="77777777" w:rsidR="00AC52A5" w:rsidRPr="00AC52A5" w:rsidRDefault="00AC52A5" w:rsidP="00AC52A5">
            <w:pPr>
              <w:suppressAutoHyphens w:val="0"/>
              <w:spacing w:before="0" w:after="0"/>
              <w:jc w:val="center"/>
              <w:textAlignment w:val="auto"/>
              <w:rPr>
                <w:rFonts w:eastAsia="Times New Roman"/>
                <w:b/>
                <w:lang w:val="es-ES"/>
              </w:rPr>
            </w:pPr>
            <w:r w:rsidRPr="00AC52A5">
              <w:rPr>
                <w:rFonts w:eastAsia="Times New Roman"/>
                <w:b/>
                <w:lang w:val="es-ES"/>
              </w:rPr>
              <w:t>X</w:t>
            </w:r>
          </w:p>
        </w:tc>
        <w:tc>
          <w:tcPr>
            <w:tcW w:w="896" w:type="dxa"/>
            <w:tcBorders>
              <w:top w:val="single" w:sz="6" w:space="0" w:color="9CC2E5"/>
              <w:left w:val="single" w:sz="6" w:space="0" w:color="9CC2E5"/>
              <w:bottom w:val="single" w:sz="6" w:space="0" w:color="9CC2E5"/>
              <w:right w:val="single" w:sz="6" w:space="0" w:color="9CC2E5"/>
            </w:tcBorders>
            <w:shd w:val="clear" w:color="auto" w:fill="FFC000"/>
            <w:vAlign w:val="center"/>
          </w:tcPr>
          <w:p w14:paraId="3D30731C" w14:textId="77777777" w:rsidR="00AC52A5" w:rsidRPr="00AC52A5" w:rsidRDefault="00AC52A5" w:rsidP="00AC52A5">
            <w:pPr>
              <w:suppressAutoHyphens w:val="0"/>
              <w:spacing w:before="0" w:after="0"/>
              <w:jc w:val="center"/>
              <w:textAlignment w:val="auto"/>
              <w:rPr>
                <w:rFonts w:eastAsia="Times New Roman"/>
                <w:b/>
                <w:lang w:val="es-ES"/>
              </w:rPr>
            </w:pPr>
            <w:r w:rsidRPr="00AC52A5">
              <w:rPr>
                <w:rFonts w:eastAsia="Times New Roman"/>
                <w:b/>
                <w:lang w:val="es-ES"/>
              </w:rPr>
              <w:t>X</w:t>
            </w:r>
          </w:p>
        </w:tc>
      </w:tr>
      <w:tr w:rsidR="00AC52A5" w:rsidRPr="00AC52A5" w14:paraId="7CDD7EE8" w14:textId="77777777" w:rsidTr="00A917D9">
        <w:tc>
          <w:tcPr>
            <w:tcW w:w="310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6BE1755" w14:textId="77777777" w:rsidR="00AC52A5" w:rsidRPr="00AC52A5" w:rsidRDefault="00AC52A5" w:rsidP="00AC52A5">
            <w:pPr>
              <w:suppressAutoHyphens w:val="0"/>
              <w:spacing w:before="0" w:after="0"/>
              <w:jc w:val="left"/>
              <w:textAlignment w:val="auto"/>
              <w:rPr>
                <w:rFonts w:eastAsia="Times New Roman"/>
                <w:b/>
                <w:lang w:val="es-ES"/>
              </w:rPr>
            </w:pPr>
            <w:r w:rsidRPr="00AC52A5">
              <w:rPr>
                <w:rFonts w:eastAsia="Times New Roman"/>
                <w:b/>
                <w:lang w:val="es-ES"/>
              </w:rPr>
              <w:t>Vigilancia / seguimiento</w:t>
            </w:r>
          </w:p>
        </w:tc>
        <w:tc>
          <w:tcPr>
            <w:tcW w:w="59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vAlign w:val="center"/>
          </w:tcPr>
          <w:p w14:paraId="1591CBF5"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shd w:val="clear" w:color="auto" w:fill="DEEAF6"/>
            <w:vAlign w:val="center"/>
          </w:tcPr>
          <w:p w14:paraId="154A32B3"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shd w:val="clear" w:color="auto" w:fill="DEEAF6"/>
            <w:vAlign w:val="center"/>
          </w:tcPr>
          <w:p w14:paraId="5A87B572"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shd w:val="clear" w:color="auto" w:fill="DEEAF6"/>
            <w:vAlign w:val="center"/>
          </w:tcPr>
          <w:p w14:paraId="2348CE00"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shd w:val="clear" w:color="auto" w:fill="DEEAF6"/>
            <w:vAlign w:val="center"/>
          </w:tcPr>
          <w:p w14:paraId="3B13ABF2"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shd w:val="clear" w:color="auto" w:fill="DEEAF6"/>
            <w:vAlign w:val="center"/>
          </w:tcPr>
          <w:p w14:paraId="7CB82380" w14:textId="77777777" w:rsidR="00AC52A5" w:rsidRPr="00AC52A5" w:rsidRDefault="00AC52A5" w:rsidP="00AC52A5">
            <w:pPr>
              <w:suppressAutoHyphens w:val="0"/>
              <w:spacing w:before="0" w:after="0"/>
              <w:jc w:val="center"/>
              <w:textAlignment w:val="auto"/>
              <w:rPr>
                <w:rFonts w:eastAsia="Times New Roman"/>
                <w:lang w:val="es-ES"/>
              </w:rPr>
            </w:pPr>
          </w:p>
        </w:tc>
        <w:tc>
          <w:tcPr>
            <w:tcW w:w="896" w:type="dxa"/>
            <w:tcBorders>
              <w:top w:val="single" w:sz="6" w:space="0" w:color="9CC2E5"/>
              <w:left w:val="single" w:sz="6" w:space="0" w:color="9CC2E5"/>
              <w:bottom w:val="single" w:sz="6" w:space="0" w:color="9CC2E5"/>
              <w:right w:val="single" w:sz="6" w:space="0" w:color="9CC2E5"/>
            </w:tcBorders>
            <w:shd w:val="clear" w:color="auto" w:fill="DEEAF6"/>
            <w:vAlign w:val="center"/>
          </w:tcPr>
          <w:p w14:paraId="3F36D55E" w14:textId="77777777" w:rsidR="00AC52A5" w:rsidRPr="00AC52A5" w:rsidRDefault="00AC52A5" w:rsidP="00AC52A5">
            <w:pPr>
              <w:suppressAutoHyphens w:val="0"/>
              <w:spacing w:before="0" w:after="0"/>
              <w:jc w:val="center"/>
              <w:textAlignment w:val="auto"/>
              <w:rPr>
                <w:rFonts w:eastAsia="Times New Roman"/>
                <w:lang w:val="es-ES"/>
              </w:rPr>
            </w:pPr>
          </w:p>
        </w:tc>
        <w:tc>
          <w:tcPr>
            <w:tcW w:w="896" w:type="dxa"/>
            <w:tcBorders>
              <w:top w:val="single" w:sz="6" w:space="0" w:color="9CC2E5"/>
              <w:left w:val="single" w:sz="6" w:space="0" w:color="9CC2E5"/>
              <w:bottom w:val="single" w:sz="6" w:space="0" w:color="9CC2E5"/>
              <w:right w:val="single" w:sz="6" w:space="0" w:color="9CC2E5"/>
            </w:tcBorders>
            <w:shd w:val="clear" w:color="auto" w:fill="DEEAF6"/>
            <w:vAlign w:val="center"/>
          </w:tcPr>
          <w:p w14:paraId="35A45855" w14:textId="77777777" w:rsidR="00AC52A5" w:rsidRPr="00AC52A5" w:rsidRDefault="00AC52A5" w:rsidP="00AC52A5">
            <w:pPr>
              <w:suppressAutoHyphens w:val="0"/>
              <w:spacing w:before="0" w:after="0"/>
              <w:jc w:val="center"/>
              <w:textAlignment w:val="auto"/>
              <w:rPr>
                <w:rFonts w:eastAsia="Times New Roman"/>
                <w:lang w:val="es-ES"/>
              </w:rPr>
            </w:pPr>
          </w:p>
        </w:tc>
      </w:tr>
      <w:tr w:rsidR="00AC52A5" w:rsidRPr="00AC52A5" w14:paraId="704605CE" w14:textId="77777777" w:rsidTr="00A917D9">
        <w:tc>
          <w:tcPr>
            <w:tcW w:w="310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85A75CD" w14:textId="7DAC5C77" w:rsidR="00AC52A5" w:rsidRPr="00AC52A5" w:rsidRDefault="00AC52A5" w:rsidP="00AC52A5">
            <w:pPr>
              <w:suppressAutoHyphens w:val="0"/>
              <w:spacing w:before="0" w:after="0"/>
              <w:jc w:val="left"/>
              <w:textAlignment w:val="auto"/>
              <w:rPr>
                <w:rFonts w:eastAsia="Times New Roman"/>
                <w:lang w:val="es-ES"/>
              </w:rPr>
            </w:pPr>
            <w:r w:rsidRPr="00AC52A5">
              <w:rPr>
                <w:rFonts w:eastAsia="Times New Roman"/>
                <w:lang w:val="es-ES"/>
              </w:rPr>
              <w:t>Pruebas o inspección de muestras tomad</w:t>
            </w:r>
            <w:r>
              <w:rPr>
                <w:rFonts w:eastAsia="Times New Roman"/>
                <w:lang w:val="es-ES"/>
              </w:rPr>
              <w:t>a</w:t>
            </w:r>
            <w:r w:rsidRPr="00AC52A5">
              <w:rPr>
                <w:rFonts w:eastAsia="Times New Roman"/>
                <w:lang w:val="es-ES"/>
              </w:rPr>
              <w:t>s periódicamente del mercado</w:t>
            </w:r>
          </w:p>
        </w:tc>
        <w:tc>
          <w:tcPr>
            <w:tcW w:w="59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vAlign w:val="center"/>
          </w:tcPr>
          <w:p w14:paraId="21662C7D"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shd w:val="clear" w:color="auto" w:fill="auto"/>
            <w:vAlign w:val="center"/>
          </w:tcPr>
          <w:p w14:paraId="67C58A47"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shd w:val="clear" w:color="auto" w:fill="FFC000"/>
            <w:vAlign w:val="center"/>
          </w:tcPr>
          <w:p w14:paraId="2056C1F4" w14:textId="77777777" w:rsidR="00AC52A5" w:rsidRPr="00AC52A5" w:rsidRDefault="00AC52A5" w:rsidP="00AC52A5">
            <w:pPr>
              <w:suppressAutoHyphens w:val="0"/>
              <w:spacing w:before="0" w:after="0"/>
              <w:jc w:val="center"/>
              <w:textAlignment w:val="auto"/>
              <w:rPr>
                <w:rFonts w:eastAsia="Times New Roman"/>
                <w:b/>
                <w:color w:val="auto"/>
                <w:lang w:val="es-ES"/>
              </w:rPr>
            </w:pPr>
            <w:r w:rsidRPr="00AC52A5">
              <w:rPr>
                <w:rFonts w:eastAsia="Times New Roman"/>
                <w:b/>
                <w:color w:val="auto"/>
                <w:lang w:val="es-ES"/>
              </w:rPr>
              <w:t>X</w:t>
            </w:r>
          </w:p>
        </w:tc>
        <w:tc>
          <w:tcPr>
            <w:tcW w:w="598" w:type="dxa"/>
            <w:tcBorders>
              <w:top w:val="single" w:sz="6" w:space="0" w:color="9CC2E5"/>
              <w:left w:val="single" w:sz="6" w:space="0" w:color="9CC2E5"/>
              <w:bottom w:val="single" w:sz="6" w:space="0" w:color="9CC2E5"/>
              <w:right w:val="single" w:sz="6" w:space="0" w:color="9CC2E5"/>
            </w:tcBorders>
            <w:shd w:val="clear" w:color="auto" w:fill="auto"/>
            <w:vAlign w:val="center"/>
          </w:tcPr>
          <w:p w14:paraId="3B5B604B" w14:textId="77777777" w:rsidR="00AC52A5" w:rsidRPr="00AC52A5" w:rsidRDefault="00AC52A5" w:rsidP="00AC52A5">
            <w:pPr>
              <w:suppressAutoHyphens w:val="0"/>
              <w:spacing w:before="0" w:after="0"/>
              <w:jc w:val="center"/>
              <w:textAlignment w:val="auto"/>
              <w:rPr>
                <w:rFonts w:eastAsia="Times New Roman"/>
                <w:b/>
                <w:color w:val="auto"/>
                <w:lang w:val="es-ES"/>
              </w:rPr>
            </w:pPr>
          </w:p>
        </w:tc>
        <w:tc>
          <w:tcPr>
            <w:tcW w:w="598" w:type="dxa"/>
            <w:tcBorders>
              <w:top w:val="single" w:sz="6" w:space="0" w:color="9CC2E5"/>
              <w:left w:val="single" w:sz="6" w:space="0" w:color="9CC2E5"/>
              <w:bottom w:val="single" w:sz="6" w:space="0" w:color="9CC2E5"/>
              <w:right w:val="single" w:sz="6" w:space="0" w:color="9CC2E5"/>
            </w:tcBorders>
            <w:shd w:val="clear" w:color="auto" w:fill="C5E0B3"/>
            <w:vAlign w:val="center"/>
          </w:tcPr>
          <w:p w14:paraId="3B89EEFE" w14:textId="77777777" w:rsidR="00AC52A5" w:rsidRPr="00AC52A5" w:rsidRDefault="00AC52A5" w:rsidP="00AC52A5">
            <w:pPr>
              <w:suppressAutoHyphens w:val="0"/>
              <w:spacing w:before="0" w:after="0"/>
              <w:jc w:val="center"/>
              <w:textAlignment w:val="auto"/>
              <w:rPr>
                <w:rFonts w:eastAsia="Times New Roman"/>
                <w:b/>
                <w:color w:val="auto"/>
                <w:lang w:val="es-ES"/>
              </w:rPr>
            </w:pPr>
            <w:r w:rsidRPr="00AC52A5">
              <w:rPr>
                <w:rFonts w:eastAsia="Times New Roman"/>
                <w:b/>
                <w:color w:val="auto"/>
                <w:lang w:val="es-ES"/>
              </w:rPr>
              <w:t>X</w:t>
            </w:r>
          </w:p>
        </w:tc>
        <w:tc>
          <w:tcPr>
            <w:tcW w:w="598" w:type="dxa"/>
            <w:tcBorders>
              <w:top w:val="single" w:sz="6" w:space="0" w:color="9CC2E5"/>
              <w:left w:val="single" w:sz="6" w:space="0" w:color="9CC2E5"/>
              <w:bottom w:val="single" w:sz="6" w:space="0" w:color="9CC2E5"/>
              <w:right w:val="single" w:sz="6" w:space="0" w:color="9CC2E5"/>
            </w:tcBorders>
            <w:shd w:val="clear" w:color="auto" w:fill="C5E0B3"/>
            <w:vAlign w:val="center"/>
          </w:tcPr>
          <w:p w14:paraId="35A266A2" w14:textId="77777777" w:rsidR="00AC52A5" w:rsidRPr="00AC52A5" w:rsidRDefault="00AC52A5" w:rsidP="00AC52A5">
            <w:pPr>
              <w:suppressAutoHyphens w:val="0"/>
              <w:spacing w:before="0" w:after="0"/>
              <w:jc w:val="center"/>
              <w:textAlignment w:val="auto"/>
              <w:rPr>
                <w:rFonts w:eastAsia="Times New Roman"/>
                <w:b/>
                <w:color w:val="auto"/>
                <w:lang w:val="es-ES"/>
              </w:rPr>
            </w:pPr>
            <w:r w:rsidRPr="00AC52A5">
              <w:rPr>
                <w:rFonts w:eastAsia="Times New Roman"/>
                <w:b/>
                <w:color w:val="auto"/>
                <w:lang w:val="es-ES"/>
              </w:rPr>
              <w:t>X</w:t>
            </w:r>
          </w:p>
        </w:tc>
        <w:tc>
          <w:tcPr>
            <w:tcW w:w="896" w:type="dxa"/>
            <w:tcBorders>
              <w:top w:val="single" w:sz="6" w:space="0" w:color="9CC2E5"/>
              <w:left w:val="single" w:sz="6" w:space="0" w:color="9CC2E5"/>
              <w:bottom w:val="single" w:sz="6" w:space="0" w:color="9CC2E5"/>
              <w:right w:val="single" w:sz="6" w:space="0" w:color="9CC2E5"/>
            </w:tcBorders>
            <w:shd w:val="clear" w:color="auto" w:fill="C5E0B3"/>
            <w:vAlign w:val="center"/>
          </w:tcPr>
          <w:p w14:paraId="32481EF5" w14:textId="77777777" w:rsidR="00AC52A5" w:rsidRPr="00AC52A5" w:rsidRDefault="00AC52A5" w:rsidP="00AC52A5">
            <w:pPr>
              <w:suppressAutoHyphens w:val="0"/>
              <w:spacing w:before="0" w:after="0"/>
              <w:jc w:val="center"/>
              <w:textAlignment w:val="auto"/>
              <w:rPr>
                <w:rFonts w:eastAsia="Times New Roman"/>
                <w:b/>
                <w:color w:val="auto"/>
                <w:lang w:val="es-ES"/>
              </w:rPr>
            </w:pPr>
            <w:r w:rsidRPr="00AC52A5">
              <w:rPr>
                <w:rFonts w:eastAsia="Times New Roman"/>
                <w:b/>
                <w:color w:val="auto"/>
                <w:lang w:val="es-ES"/>
              </w:rPr>
              <w:t>X</w:t>
            </w:r>
          </w:p>
        </w:tc>
        <w:tc>
          <w:tcPr>
            <w:tcW w:w="896" w:type="dxa"/>
            <w:tcBorders>
              <w:top w:val="single" w:sz="6" w:space="0" w:color="9CC2E5"/>
              <w:left w:val="single" w:sz="6" w:space="0" w:color="9CC2E5"/>
              <w:bottom w:val="single" w:sz="6" w:space="0" w:color="9CC2E5"/>
              <w:right w:val="single" w:sz="6" w:space="0" w:color="9CC2E5"/>
            </w:tcBorders>
            <w:shd w:val="clear" w:color="auto" w:fill="C5E0B3"/>
            <w:vAlign w:val="center"/>
          </w:tcPr>
          <w:p w14:paraId="13D86922" w14:textId="77777777" w:rsidR="00AC52A5" w:rsidRPr="00AC52A5" w:rsidRDefault="00AC52A5" w:rsidP="00AC52A5">
            <w:pPr>
              <w:suppressAutoHyphens w:val="0"/>
              <w:spacing w:before="0" w:after="0"/>
              <w:jc w:val="center"/>
              <w:textAlignment w:val="auto"/>
              <w:rPr>
                <w:rFonts w:eastAsia="Times New Roman"/>
                <w:b/>
                <w:color w:val="auto"/>
                <w:lang w:val="es-ES"/>
              </w:rPr>
            </w:pPr>
            <w:r w:rsidRPr="00AC52A5">
              <w:rPr>
                <w:rFonts w:eastAsia="Times New Roman"/>
                <w:b/>
                <w:color w:val="auto"/>
                <w:lang w:val="es-ES"/>
              </w:rPr>
              <w:t>X</w:t>
            </w:r>
          </w:p>
        </w:tc>
      </w:tr>
      <w:tr w:rsidR="00AC52A5" w:rsidRPr="00AC52A5" w14:paraId="67AF731A" w14:textId="77777777" w:rsidTr="00A917D9">
        <w:tc>
          <w:tcPr>
            <w:tcW w:w="310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959A27A" w14:textId="765BB432" w:rsidR="00AC52A5" w:rsidRPr="00AC52A5" w:rsidRDefault="00AC52A5" w:rsidP="00AC52A5">
            <w:pPr>
              <w:suppressAutoHyphens w:val="0"/>
              <w:spacing w:before="0" w:after="0"/>
              <w:jc w:val="left"/>
              <w:textAlignment w:val="auto"/>
              <w:rPr>
                <w:rFonts w:eastAsia="Times New Roman"/>
                <w:lang w:val="es-ES"/>
              </w:rPr>
            </w:pPr>
            <w:r w:rsidRPr="00AC52A5">
              <w:rPr>
                <w:rFonts w:eastAsia="Times New Roman"/>
                <w:lang w:val="es-ES"/>
              </w:rPr>
              <w:t>Pruebas o inspección de muestras tomad</w:t>
            </w:r>
            <w:r>
              <w:rPr>
                <w:rFonts w:eastAsia="Times New Roman"/>
                <w:lang w:val="es-ES"/>
              </w:rPr>
              <w:t>a</w:t>
            </w:r>
            <w:r w:rsidRPr="00AC52A5">
              <w:rPr>
                <w:rFonts w:eastAsia="Times New Roman"/>
                <w:lang w:val="es-ES"/>
              </w:rPr>
              <w:t>s periódicamente de la fábrica</w:t>
            </w:r>
          </w:p>
        </w:tc>
        <w:tc>
          <w:tcPr>
            <w:tcW w:w="59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vAlign w:val="center"/>
          </w:tcPr>
          <w:p w14:paraId="0EBAF8DE"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shd w:val="clear" w:color="auto" w:fill="auto"/>
            <w:vAlign w:val="center"/>
          </w:tcPr>
          <w:p w14:paraId="35EA0842"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vAlign w:val="center"/>
          </w:tcPr>
          <w:p w14:paraId="6E4B9AE0"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shd w:val="clear" w:color="auto" w:fill="FFC000"/>
            <w:vAlign w:val="center"/>
          </w:tcPr>
          <w:p w14:paraId="6581677A" w14:textId="77777777" w:rsidR="00AC52A5" w:rsidRPr="00AC52A5" w:rsidRDefault="00AC52A5" w:rsidP="00AC52A5">
            <w:pPr>
              <w:suppressAutoHyphens w:val="0"/>
              <w:spacing w:before="0" w:after="0"/>
              <w:jc w:val="center"/>
              <w:textAlignment w:val="auto"/>
              <w:rPr>
                <w:rFonts w:eastAsia="Times New Roman"/>
                <w:b/>
                <w:lang w:val="es-ES"/>
              </w:rPr>
            </w:pPr>
            <w:r w:rsidRPr="00AC52A5">
              <w:rPr>
                <w:rFonts w:eastAsia="Times New Roman"/>
                <w:b/>
                <w:lang w:val="es-ES"/>
              </w:rPr>
              <w:t>X</w:t>
            </w:r>
          </w:p>
        </w:tc>
        <w:tc>
          <w:tcPr>
            <w:tcW w:w="598" w:type="dxa"/>
            <w:tcBorders>
              <w:top w:val="single" w:sz="6" w:space="0" w:color="9CC2E5"/>
              <w:left w:val="single" w:sz="6" w:space="0" w:color="9CC2E5"/>
              <w:bottom w:val="single" w:sz="6" w:space="0" w:color="9CC2E5"/>
              <w:right w:val="single" w:sz="6" w:space="0" w:color="9CC2E5"/>
            </w:tcBorders>
            <w:shd w:val="clear" w:color="auto" w:fill="C5E0B3"/>
            <w:vAlign w:val="center"/>
          </w:tcPr>
          <w:p w14:paraId="306BA6F0" w14:textId="77777777" w:rsidR="00AC52A5" w:rsidRPr="00AC52A5" w:rsidRDefault="00AC52A5" w:rsidP="00AC52A5">
            <w:pPr>
              <w:suppressAutoHyphens w:val="0"/>
              <w:spacing w:before="0" w:after="0"/>
              <w:jc w:val="center"/>
              <w:textAlignment w:val="auto"/>
              <w:rPr>
                <w:rFonts w:eastAsia="Times New Roman"/>
                <w:b/>
                <w:lang w:val="es-ES"/>
              </w:rPr>
            </w:pPr>
            <w:r w:rsidRPr="00AC52A5">
              <w:rPr>
                <w:rFonts w:eastAsia="Times New Roman"/>
                <w:b/>
                <w:lang w:val="es-ES"/>
              </w:rPr>
              <w:t>X</w:t>
            </w:r>
          </w:p>
        </w:tc>
        <w:tc>
          <w:tcPr>
            <w:tcW w:w="598" w:type="dxa"/>
            <w:tcBorders>
              <w:top w:val="single" w:sz="6" w:space="0" w:color="9CC2E5"/>
              <w:left w:val="single" w:sz="6" w:space="0" w:color="9CC2E5"/>
              <w:bottom w:val="single" w:sz="6" w:space="0" w:color="9CC2E5"/>
              <w:right w:val="single" w:sz="6" w:space="0" w:color="9CC2E5"/>
            </w:tcBorders>
            <w:shd w:val="clear" w:color="auto" w:fill="C5E0B3"/>
            <w:vAlign w:val="center"/>
          </w:tcPr>
          <w:p w14:paraId="2CF00314" w14:textId="77777777" w:rsidR="00AC52A5" w:rsidRPr="00AC52A5" w:rsidRDefault="00AC52A5" w:rsidP="00AC52A5">
            <w:pPr>
              <w:suppressAutoHyphens w:val="0"/>
              <w:spacing w:before="0" w:after="0"/>
              <w:jc w:val="center"/>
              <w:textAlignment w:val="auto"/>
              <w:rPr>
                <w:rFonts w:eastAsia="Times New Roman"/>
                <w:b/>
                <w:lang w:val="es-ES"/>
              </w:rPr>
            </w:pPr>
            <w:r w:rsidRPr="00AC52A5">
              <w:rPr>
                <w:rFonts w:eastAsia="Times New Roman"/>
                <w:b/>
                <w:lang w:val="es-ES"/>
              </w:rPr>
              <w:t>X</w:t>
            </w:r>
          </w:p>
        </w:tc>
        <w:tc>
          <w:tcPr>
            <w:tcW w:w="896" w:type="dxa"/>
            <w:tcBorders>
              <w:top w:val="single" w:sz="6" w:space="0" w:color="9CC2E5"/>
              <w:left w:val="single" w:sz="6" w:space="0" w:color="9CC2E5"/>
              <w:bottom w:val="single" w:sz="6" w:space="0" w:color="9CC2E5"/>
              <w:right w:val="single" w:sz="6" w:space="0" w:color="9CC2E5"/>
            </w:tcBorders>
            <w:shd w:val="clear" w:color="auto" w:fill="C5E0B3"/>
            <w:vAlign w:val="center"/>
          </w:tcPr>
          <w:p w14:paraId="0EB2F175" w14:textId="77777777" w:rsidR="00AC52A5" w:rsidRPr="00AC52A5" w:rsidRDefault="00AC52A5" w:rsidP="00AC52A5">
            <w:pPr>
              <w:suppressAutoHyphens w:val="0"/>
              <w:spacing w:before="0" w:after="0"/>
              <w:jc w:val="center"/>
              <w:textAlignment w:val="auto"/>
              <w:rPr>
                <w:rFonts w:eastAsia="Times New Roman"/>
                <w:b/>
                <w:lang w:val="es-ES"/>
              </w:rPr>
            </w:pPr>
            <w:r w:rsidRPr="00AC52A5">
              <w:rPr>
                <w:rFonts w:eastAsia="Times New Roman"/>
                <w:b/>
                <w:lang w:val="es-ES"/>
              </w:rPr>
              <w:t>X</w:t>
            </w:r>
          </w:p>
        </w:tc>
        <w:tc>
          <w:tcPr>
            <w:tcW w:w="896" w:type="dxa"/>
            <w:tcBorders>
              <w:top w:val="single" w:sz="6" w:space="0" w:color="9CC2E5"/>
              <w:left w:val="single" w:sz="6" w:space="0" w:color="9CC2E5"/>
              <w:bottom w:val="single" w:sz="6" w:space="0" w:color="9CC2E5"/>
              <w:right w:val="single" w:sz="6" w:space="0" w:color="9CC2E5"/>
            </w:tcBorders>
            <w:shd w:val="clear" w:color="auto" w:fill="C5E0B3"/>
            <w:vAlign w:val="center"/>
          </w:tcPr>
          <w:p w14:paraId="01E5CB28" w14:textId="77777777" w:rsidR="00AC52A5" w:rsidRPr="00AC52A5" w:rsidRDefault="00AC52A5" w:rsidP="00AC52A5">
            <w:pPr>
              <w:suppressAutoHyphens w:val="0"/>
              <w:spacing w:before="0" w:after="0"/>
              <w:jc w:val="center"/>
              <w:textAlignment w:val="auto"/>
              <w:rPr>
                <w:rFonts w:eastAsia="Times New Roman"/>
                <w:b/>
                <w:lang w:val="es-ES"/>
              </w:rPr>
            </w:pPr>
            <w:r w:rsidRPr="00AC52A5">
              <w:rPr>
                <w:rFonts w:eastAsia="Times New Roman"/>
                <w:b/>
                <w:lang w:val="es-ES"/>
              </w:rPr>
              <w:t>X</w:t>
            </w:r>
          </w:p>
        </w:tc>
      </w:tr>
      <w:tr w:rsidR="00AC52A5" w:rsidRPr="00AC52A5" w14:paraId="7412DAD6" w14:textId="77777777" w:rsidTr="00A917D9">
        <w:tc>
          <w:tcPr>
            <w:tcW w:w="310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0DFA7C7" w14:textId="77777777" w:rsidR="00AC52A5" w:rsidRPr="00AC52A5" w:rsidRDefault="00AC52A5" w:rsidP="00AC52A5">
            <w:pPr>
              <w:suppressAutoHyphens w:val="0"/>
              <w:spacing w:before="0" w:after="0"/>
              <w:jc w:val="left"/>
              <w:textAlignment w:val="auto"/>
              <w:rPr>
                <w:rFonts w:eastAsia="Times New Roman"/>
                <w:lang w:val="es-ES"/>
              </w:rPr>
            </w:pPr>
            <w:r w:rsidRPr="00AC52A5">
              <w:rPr>
                <w:rFonts w:eastAsia="Times New Roman"/>
                <w:lang w:val="es-ES"/>
              </w:rPr>
              <w:t>Auditoría periódica del proceso de producción</w:t>
            </w:r>
          </w:p>
        </w:tc>
        <w:tc>
          <w:tcPr>
            <w:tcW w:w="59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vAlign w:val="center"/>
          </w:tcPr>
          <w:p w14:paraId="2F346D63"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shd w:val="clear" w:color="auto" w:fill="auto"/>
            <w:vAlign w:val="center"/>
          </w:tcPr>
          <w:p w14:paraId="09553E9E"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shd w:val="clear" w:color="auto" w:fill="auto"/>
            <w:vAlign w:val="center"/>
          </w:tcPr>
          <w:p w14:paraId="264FEA19"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shd w:val="clear" w:color="auto" w:fill="FFC000"/>
            <w:vAlign w:val="center"/>
          </w:tcPr>
          <w:p w14:paraId="62D48B7C" w14:textId="77777777" w:rsidR="00AC52A5" w:rsidRPr="00AC52A5" w:rsidRDefault="00AC52A5" w:rsidP="00AC52A5">
            <w:pPr>
              <w:suppressAutoHyphens w:val="0"/>
              <w:spacing w:before="0" w:after="0"/>
              <w:jc w:val="center"/>
              <w:textAlignment w:val="auto"/>
              <w:rPr>
                <w:rFonts w:eastAsia="Times New Roman"/>
                <w:b/>
                <w:lang w:val="es-ES"/>
              </w:rPr>
            </w:pPr>
            <w:r w:rsidRPr="00AC52A5">
              <w:rPr>
                <w:rFonts w:eastAsia="Times New Roman"/>
                <w:b/>
                <w:lang w:val="es-ES"/>
              </w:rPr>
              <w:t>X</w:t>
            </w:r>
          </w:p>
        </w:tc>
        <w:tc>
          <w:tcPr>
            <w:tcW w:w="598" w:type="dxa"/>
            <w:tcBorders>
              <w:top w:val="single" w:sz="6" w:space="0" w:color="9CC2E5"/>
              <w:left w:val="single" w:sz="6" w:space="0" w:color="9CC2E5"/>
              <w:bottom w:val="single" w:sz="6" w:space="0" w:color="9CC2E5"/>
              <w:right w:val="single" w:sz="6" w:space="0" w:color="9CC2E5"/>
            </w:tcBorders>
            <w:shd w:val="clear" w:color="auto" w:fill="FFC000"/>
            <w:vAlign w:val="center"/>
          </w:tcPr>
          <w:p w14:paraId="0EF7FC0D" w14:textId="77777777" w:rsidR="00AC52A5" w:rsidRPr="00AC52A5" w:rsidRDefault="00AC52A5" w:rsidP="00AC52A5">
            <w:pPr>
              <w:suppressAutoHyphens w:val="0"/>
              <w:spacing w:before="0" w:after="0"/>
              <w:jc w:val="center"/>
              <w:textAlignment w:val="auto"/>
              <w:rPr>
                <w:rFonts w:eastAsia="Times New Roman"/>
                <w:b/>
                <w:lang w:val="es-ES"/>
              </w:rPr>
            </w:pPr>
            <w:r w:rsidRPr="00AC52A5">
              <w:rPr>
                <w:rFonts w:eastAsia="Times New Roman"/>
                <w:b/>
                <w:lang w:val="es-ES"/>
              </w:rPr>
              <w:t>X</w:t>
            </w:r>
          </w:p>
        </w:tc>
        <w:tc>
          <w:tcPr>
            <w:tcW w:w="598" w:type="dxa"/>
            <w:tcBorders>
              <w:top w:val="single" w:sz="6" w:space="0" w:color="9CC2E5"/>
              <w:left w:val="single" w:sz="6" w:space="0" w:color="9CC2E5"/>
              <w:bottom w:val="single" w:sz="6" w:space="0" w:color="9CC2E5"/>
              <w:right w:val="single" w:sz="6" w:space="0" w:color="9CC2E5"/>
            </w:tcBorders>
            <w:shd w:val="clear" w:color="auto" w:fill="A8D08D"/>
            <w:vAlign w:val="center"/>
          </w:tcPr>
          <w:p w14:paraId="5A8D36B1" w14:textId="77777777" w:rsidR="00AC52A5" w:rsidRPr="00AC52A5" w:rsidRDefault="00AC52A5" w:rsidP="00AC52A5">
            <w:pPr>
              <w:suppressAutoHyphens w:val="0"/>
              <w:spacing w:before="0" w:after="0"/>
              <w:jc w:val="center"/>
              <w:textAlignment w:val="auto"/>
              <w:rPr>
                <w:rFonts w:eastAsia="Times New Roman"/>
                <w:b/>
                <w:lang w:val="es-ES"/>
              </w:rPr>
            </w:pPr>
            <w:r w:rsidRPr="00AC52A5">
              <w:rPr>
                <w:rFonts w:eastAsia="Times New Roman"/>
                <w:b/>
                <w:lang w:val="es-ES"/>
              </w:rPr>
              <w:t>X</w:t>
            </w:r>
          </w:p>
        </w:tc>
        <w:tc>
          <w:tcPr>
            <w:tcW w:w="896" w:type="dxa"/>
            <w:tcBorders>
              <w:top w:val="single" w:sz="6" w:space="0" w:color="9CC2E5"/>
              <w:left w:val="single" w:sz="6" w:space="0" w:color="9CC2E5"/>
              <w:bottom w:val="single" w:sz="6" w:space="0" w:color="9CC2E5"/>
              <w:right w:val="single" w:sz="6" w:space="0" w:color="9CC2E5"/>
            </w:tcBorders>
            <w:shd w:val="clear" w:color="auto" w:fill="auto"/>
            <w:vAlign w:val="center"/>
          </w:tcPr>
          <w:p w14:paraId="76781870" w14:textId="77777777" w:rsidR="00AC52A5" w:rsidRPr="00AC52A5" w:rsidRDefault="00AC52A5" w:rsidP="00AC52A5">
            <w:pPr>
              <w:suppressAutoHyphens w:val="0"/>
              <w:spacing w:before="0" w:after="0"/>
              <w:jc w:val="center"/>
              <w:textAlignment w:val="auto"/>
              <w:rPr>
                <w:rFonts w:eastAsia="Times New Roman"/>
                <w:b/>
                <w:lang w:val="es-ES"/>
              </w:rPr>
            </w:pPr>
          </w:p>
        </w:tc>
        <w:tc>
          <w:tcPr>
            <w:tcW w:w="896" w:type="dxa"/>
            <w:tcBorders>
              <w:top w:val="single" w:sz="6" w:space="0" w:color="9CC2E5"/>
              <w:left w:val="single" w:sz="6" w:space="0" w:color="9CC2E5"/>
              <w:bottom w:val="single" w:sz="6" w:space="0" w:color="9CC2E5"/>
              <w:right w:val="single" w:sz="6" w:space="0" w:color="9CC2E5"/>
            </w:tcBorders>
            <w:shd w:val="clear" w:color="auto" w:fill="FFC000"/>
            <w:vAlign w:val="center"/>
          </w:tcPr>
          <w:p w14:paraId="784E6F5A" w14:textId="77777777" w:rsidR="00AC52A5" w:rsidRPr="00AC52A5" w:rsidRDefault="00AC52A5" w:rsidP="00AC52A5">
            <w:pPr>
              <w:suppressAutoHyphens w:val="0"/>
              <w:spacing w:before="0" w:after="0"/>
              <w:jc w:val="center"/>
              <w:textAlignment w:val="auto"/>
              <w:rPr>
                <w:rFonts w:eastAsia="Times New Roman"/>
                <w:b/>
                <w:lang w:val="es-ES"/>
              </w:rPr>
            </w:pPr>
            <w:r w:rsidRPr="00AC52A5">
              <w:rPr>
                <w:rFonts w:eastAsia="Times New Roman"/>
                <w:b/>
                <w:lang w:val="es-ES"/>
              </w:rPr>
              <w:t>X</w:t>
            </w:r>
          </w:p>
        </w:tc>
      </w:tr>
      <w:tr w:rsidR="00AC52A5" w:rsidRPr="00AC52A5" w14:paraId="45C35758" w14:textId="77777777" w:rsidTr="00A917D9">
        <w:tc>
          <w:tcPr>
            <w:tcW w:w="310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262296C" w14:textId="77777777" w:rsidR="00AC52A5" w:rsidRPr="00AC52A5" w:rsidRDefault="00AC52A5" w:rsidP="00AC52A5">
            <w:pPr>
              <w:suppressAutoHyphens w:val="0"/>
              <w:spacing w:before="0" w:after="0"/>
              <w:jc w:val="left"/>
              <w:textAlignment w:val="auto"/>
              <w:rPr>
                <w:rFonts w:eastAsia="Times New Roman"/>
                <w:lang w:val="es-ES"/>
              </w:rPr>
            </w:pPr>
            <w:r w:rsidRPr="00AC52A5">
              <w:rPr>
                <w:rFonts w:eastAsia="Times New Roman"/>
                <w:lang w:val="es-ES"/>
              </w:rPr>
              <w:t>Auditoría del sistema de gestión de calidad</w:t>
            </w:r>
          </w:p>
        </w:tc>
        <w:tc>
          <w:tcPr>
            <w:tcW w:w="59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vAlign w:val="center"/>
          </w:tcPr>
          <w:p w14:paraId="5ADBDA71"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vAlign w:val="center"/>
          </w:tcPr>
          <w:p w14:paraId="3F580275"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vAlign w:val="center"/>
          </w:tcPr>
          <w:p w14:paraId="2E632170"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vAlign w:val="center"/>
          </w:tcPr>
          <w:p w14:paraId="2C06A4D9"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vAlign w:val="center"/>
          </w:tcPr>
          <w:p w14:paraId="15EEE689"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left w:val="single" w:sz="6" w:space="0" w:color="9CC2E5"/>
              <w:bottom w:val="single" w:sz="6" w:space="0" w:color="9CC2E5"/>
              <w:right w:val="single" w:sz="6" w:space="0" w:color="9CC2E5"/>
            </w:tcBorders>
            <w:shd w:val="clear" w:color="auto" w:fill="A8D08D"/>
            <w:vAlign w:val="center"/>
          </w:tcPr>
          <w:p w14:paraId="090ED71C" w14:textId="77777777" w:rsidR="00AC52A5" w:rsidRPr="00AC52A5" w:rsidRDefault="00AC52A5" w:rsidP="00AC52A5">
            <w:pPr>
              <w:suppressAutoHyphens w:val="0"/>
              <w:spacing w:before="0" w:after="0"/>
              <w:jc w:val="center"/>
              <w:textAlignment w:val="auto"/>
              <w:rPr>
                <w:rFonts w:eastAsia="Times New Roman"/>
                <w:b/>
                <w:lang w:val="es-ES"/>
              </w:rPr>
            </w:pPr>
            <w:r w:rsidRPr="00AC52A5">
              <w:rPr>
                <w:rFonts w:eastAsia="Times New Roman"/>
                <w:b/>
                <w:lang w:val="es-ES"/>
              </w:rPr>
              <w:t>X</w:t>
            </w:r>
          </w:p>
        </w:tc>
        <w:tc>
          <w:tcPr>
            <w:tcW w:w="896" w:type="dxa"/>
            <w:tcBorders>
              <w:top w:val="single" w:sz="6" w:space="0" w:color="9CC2E5"/>
              <w:left w:val="single" w:sz="6" w:space="0" w:color="9CC2E5"/>
              <w:bottom w:val="single" w:sz="6" w:space="0" w:color="9CC2E5"/>
              <w:right w:val="single" w:sz="6" w:space="0" w:color="9CC2E5"/>
            </w:tcBorders>
            <w:vAlign w:val="center"/>
          </w:tcPr>
          <w:p w14:paraId="195F0FA3" w14:textId="77777777" w:rsidR="00AC52A5" w:rsidRPr="00AC52A5" w:rsidRDefault="00AC52A5" w:rsidP="00AC52A5">
            <w:pPr>
              <w:suppressAutoHyphens w:val="0"/>
              <w:spacing w:before="0" w:after="0"/>
              <w:jc w:val="center"/>
              <w:textAlignment w:val="auto"/>
              <w:rPr>
                <w:rFonts w:eastAsia="Times New Roman"/>
                <w:lang w:val="es-ES"/>
              </w:rPr>
            </w:pPr>
          </w:p>
        </w:tc>
        <w:tc>
          <w:tcPr>
            <w:tcW w:w="896" w:type="dxa"/>
            <w:tcBorders>
              <w:top w:val="single" w:sz="6" w:space="0" w:color="9CC2E5"/>
              <w:left w:val="single" w:sz="6" w:space="0" w:color="9CC2E5"/>
              <w:bottom w:val="single" w:sz="6" w:space="0" w:color="9CC2E5"/>
              <w:right w:val="single" w:sz="6" w:space="0" w:color="9CC2E5"/>
            </w:tcBorders>
            <w:vAlign w:val="center"/>
          </w:tcPr>
          <w:p w14:paraId="6EE7981C" w14:textId="77777777" w:rsidR="00AC52A5" w:rsidRPr="00AC52A5" w:rsidRDefault="00AC52A5" w:rsidP="00AC52A5">
            <w:pPr>
              <w:suppressAutoHyphens w:val="0"/>
              <w:spacing w:before="0" w:after="0"/>
              <w:jc w:val="center"/>
              <w:textAlignment w:val="auto"/>
              <w:rPr>
                <w:rFonts w:eastAsia="Times New Roman"/>
                <w:b/>
                <w:lang w:val="es-ES"/>
              </w:rPr>
            </w:pPr>
          </w:p>
        </w:tc>
      </w:tr>
      <w:tr w:rsidR="00AC52A5" w:rsidRPr="00AC52A5" w14:paraId="7FB248DD" w14:textId="77777777" w:rsidTr="00A917D9">
        <w:tc>
          <w:tcPr>
            <w:tcW w:w="3108" w:type="dxa"/>
            <w:tcBorders>
              <w:top w:val="single" w:sz="6" w:space="0" w:color="9CC2E5"/>
            </w:tcBorders>
            <w:shd w:val="clear" w:color="auto" w:fill="auto"/>
            <w:tcMar>
              <w:top w:w="0" w:type="dxa"/>
              <w:left w:w="108" w:type="dxa"/>
              <w:bottom w:w="0" w:type="dxa"/>
              <w:right w:w="108" w:type="dxa"/>
            </w:tcMar>
          </w:tcPr>
          <w:p w14:paraId="71FA9778" w14:textId="77777777" w:rsidR="00AC52A5" w:rsidRPr="00AC52A5" w:rsidRDefault="00AC52A5" w:rsidP="00AC52A5">
            <w:pPr>
              <w:suppressAutoHyphens w:val="0"/>
              <w:spacing w:before="0" w:after="0"/>
              <w:jc w:val="left"/>
              <w:textAlignment w:val="auto"/>
              <w:rPr>
                <w:rFonts w:eastAsia="Times New Roman"/>
                <w:lang w:val="es-ES"/>
              </w:rPr>
            </w:pPr>
          </w:p>
        </w:tc>
        <w:tc>
          <w:tcPr>
            <w:tcW w:w="598" w:type="dxa"/>
            <w:tcBorders>
              <w:top w:val="single" w:sz="6" w:space="0" w:color="9CC2E5"/>
            </w:tcBorders>
            <w:shd w:val="clear" w:color="auto" w:fill="auto"/>
            <w:tcMar>
              <w:top w:w="0" w:type="dxa"/>
              <w:left w:w="108" w:type="dxa"/>
              <w:bottom w:w="0" w:type="dxa"/>
              <w:right w:w="108" w:type="dxa"/>
            </w:tcMar>
          </w:tcPr>
          <w:p w14:paraId="3591C1E4"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tcBorders>
          </w:tcPr>
          <w:p w14:paraId="33C825DD"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tcBorders>
          </w:tcPr>
          <w:p w14:paraId="2061678E"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tcBorders>
          </w:tcPr>
          <w:p w14:paraId="53CE6503"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tcBorders>
          </w:tcPr>
          <w:p w14:paraId="3006074C"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tcBorders>
              <w:top w:val="single" w:sz="6" w:space="0" w:color="9CC2E5"/>
            </w:tcBorders>
            <w:shd w:val="clear" w:color="auto" w:fill="auto"/>
          </w:tcPr>
          <w:p w14:paraId="7252B4F7" w14:textId="77777777" w:rsidR="00AC52A5" w:rsidRPr="00AC52A5" w:rsidRDefault="00AC52A5" w:rsidP="00AC52A5">
            <w:pPr>
              <w:suppressAutoHyphens w:val="0"/>
              <w:spacing w:before="0" w:after="0"/>
              <w:jc w:val="center"/>
              <w:textAlignment w:val="auto"/>
              <w:rPr>
                <w:rFonts w:eastAsia="Times New Roman"/>
                <w:lang w:val="es-ES"/>
              </w:rPr>
            </w:pPr>
          </w:p>
        </w:tc>
        <w:tc>
          <w:tcPr>
            <w:tcW w:w="896" w:type="dxa"/>
            <w:tcBorders>
              <w:top w:val="single" w:sz="6" w:space="0" w:color="9CC2E5"/>
            </w:tcBorders>
          </w:tcPr>
          <w:p w14:paraId="69F55712" w14:textId="77777777" w:rsidR="00AC52A5" w:rsidRPr="00AC52A5" w:rsidRDefault="00AC52A5" w:rsidP="00AC52A5">
            <w:pPr>
              <w:suppressAutoHyphens w:val="0"/>
              <w:spacing w:before="0" w:after="0"/>
              <w:jc w:val="center"/>
              <w:textAlignment w:val="auto"/>
              <w:rPr>
                <w:rFonts w:eastAsia="Times New Roman"/>
                <w:lang w:val="es-ES"/>
              </w:rPr>
            </w:pPr>
          </w:p>
        </w:tc>
        <w:tc>
          <w:tcPr>
            <w:tcW w:w="896" w:type="dxa"/>
            <w:tcBorders>
              <w:top w:val="single" w:sz="6" w:space="0" w:color="9CC2E5"/>
            </w:tcBorders>
          </w:tcPr>
          <w:p w14:paraId="041A4AC0" w14:textId="77777777" w:rsidR="00AC52A5" w:rsidRPr="00AC52A5" w:rsidRDefault="00AC52A5" w:rsidP="00AC52A5">
            <w:pPr>
              <w:suppressAutoHyphens w:val="0"/>
              <w:spacing w:before="0" w:after="0"/>
              <w:jc w:val="center"/>
              <w:textAlignment w:val="auto"/>
              <w:rPr>
                <w:rFonts w:eastAsia="Times New Roman"/>
                <w:b/>
                <w:lang w:val="es-ES"/>
              </w:rPr>
            </w:pPr>
          </w:p>
        </w:tc>
      </w:tr>
      <w:tr w:rsidR="00AC52A5" w:rsidRPr="00AC52A5" w14:paraId="73D95210" w14:textId="77777777" w:rsidTr="00A917D9">
        <w:tc>
          <w:tcPr>
            <w:tcW w:w="3108" w:type="dxa"/>
            <w:shd w:val="clear" w:color="auto" w:fill="auto"/>
            <w:tcMar>
              <w:top w:w="0" w:type="dxa"/>
              <w:left w:w="108" w:type="dxa"/>
              <w:bottom w:w="0" w:type="dxa"/>
              <w:right w:w="108" w:type="dxa"/>
            </w:tcMar>
          </w:tcPr>
          <w:p w14:paraId="75A2516D" w14:textId="77777777" w:rsidR="00AC52A5" w:rsidRPr="00AC52A5" w:rsidRDefault="00AC52A5" w:rsidP="00AC52A5">
            <w:pPr>
              <w:suppressAutoHyphens w:val="0"/>
              <w:spacing w:before="0" w:after="0"/>
              <w:jc w:val="left"/>
              <w:textAlignment w:val="auto"/>
              <w:rPr>
                <w:rFonts w:eastAsia="Times New Roman"/>
                <w:lang w:val="es-ES"/>
              </w:rPr>
            </w:pPr>
          </w:p>
        </w:tc>
        <w:tc>
          <w:tcPr>
            <w:tcW w:w="598" w:type="dxa"/>
            <w:shd w:val="clear" w:color="auto" w:fill="FFC000"/>
            <w:tcMar>
              <w:top w:w="0" w:type="dxa"/>
              <w:left w:w="108" w:type="dxa"/>
              <w:bottom w:w="0" w:type="dxa"/>
              <w:right w:w="108" w:type="dxa"/>
            </w:tcMar>
          </w:tcPr>
          <w:p w14:paraId="6F1AA846" w14:textId="77777777" w:rsidR="00AC52A5" w:rsidRPr="00AC52A5" w:rsidRDefault="00AC52A5" w:rsidP="00AC52A5">
            <w:pPr>
              <w:suppressAutoHyphens w:val="0"/>
              <w:spacing w:before="0" w:after="0"/>
              <w:jc w:val="center"/>
              <w:textAlignment w:val="auto"/>
              <w:rPr>
                <w:rFonts w:eastAsia="Times New Roman"/>
                <w:lang w:val="es-ES"/>
              </w:rPr>
            </w:pPr>
          </w:p>
        </w:tc>
        <w:tc>
          <w:tcPr>
            <w:tcW w:w="1794" w:type="dxa"/>
            <w:gridSpan w:val="3"/>
          </w:tcPr>
          <w:p w14:paraId="6CB67200" w14:textId="77777777" w:rsidR="00AC52A5" w:rsidRPr="00AC52A5" w:rsidRDefault="00AC52A5" w:rsidP="00AC52A5">
            <w:pPr>
              <w:suppressAutoHyphens w:val="0"/>
              <w:spacing w:before="0" w:after="0"/>
              <w:jc w:val="left"/>
              <w:textAlignment w:val="auto"/>
              <w:rPr>
                <w:rFonts w:eastAsia="Times New Roman"/>
                <w:lang w:val="es-ES"/>
              </w:rPr>
            </w:pPr>
            <w:r w:rsidRPr="00AC52A5">
              <w:rPr>
                <w:rFonts w:eastAsia="Times New Roman"/>
                <w:lang w:val="es-ES"/>
              </w:rPr>
              <w:t>Obligatorio</w:t>
            </w:r>
          </w:p>
        </w:tc>
        <w:tc>
          <w:tcPr>
            <w:tcW w:w="598" w:type="dxa"/>
          </w:tcPr>
          <w:p w14:paraId="2E404B7C" w14:textId="0B2530FF" w:rsidR="00AC52A5" w:rsidRPr="00AC52A5" w:rsidRDefault="00AC52A5" w:rsidP="00AC52A5">
            <w:pPr>
              <w:suppressAutoHyphens w:val="0"/>
              <w:spacing w:before="0" w:after="0"/>
              <w:jc w:val="center"/>
              <w:textAlignment w:val="auto"/>
              <w:rPr>
                <w:rFonts w:eastAsia="Times New Roman"/>
                <w:lang w:val="es-ES"/>
              </w:rPr>
            </w:pPr>
          </w:p>
        </w:tc>
        <w:tc>
          <w:tcPr>
            <w:tcW w:w="598" w:type="dxa"/>
            <w:shd w:val="clear" w:color="auto" w:fill="auto"/>
          </w:tcPr>
          <w:p w14:paraId="739C93A8" w14:textId="77777777" w:rsidR="00AC52A5" w:rsidRPr="00AC52A5" w:rsidRDefault="00AC52A5" w:rsidP="00AC52A5">
            <w:pPr>
              <w:suppressAutoHyphens w:val="0"/>
              <w:spacing w:before="0" w:after="0"/>
              <w:jc w:val="center"/>
              <w:textAlignment w:val="auto"/>
              <w:rPr>
                <w:rFonts w:eastAsia="Times New Roman"/>
                <w:lang w:val="es-ES"/>
              </w:rPr>
            </w:pPr>
          </w:p>
        </w:tc>
        <w:tc>
          <w:tcPr>
            <w:tcW w:w="896" w:type="dxa"/>
          </w:tcPr>
          <w:p w14:paraId="58D99C66" w14:textId="77777777" w:rsidR="00AC52A5" w:rsidRPr="00AC52A5" w:rsidRDefault="00AC52A5" w:rsidP="00AC52A5">
            <w:pPr>
              <w:suppressAutoHyphens w:val="0"/>
              <w:spacing w:before="0" w:after="0"/>
              <w:jc w:val="center"/>
              <w:textAlignment w:val="auto"/>
              <w:rPr>
                <w:rFonts w:eastAsia="Times New Roman"/>
                <w:lang w:val="es-ES"/>
              </w:rPr>
            </w:pPr>
          </w:p>
        </w:tc>
        <w:tc>
          <w:tcPr>
            <w:tcW w:w="896" w:type="dxa"/>
          </w:tcPr>
          <w:p w14:paraId="2F51E560" w14:textId="77777777" w:rsidR="00AC52A5" w:rsidRPr="00AC52A5" w:rsidRDefault="00AC52A5" w:rsidP="00AC52A5">
            <w:pPr>
              <w:suppressAutoHyphens w:val="0"/>
              <w:spacing w:before="0" w:after="0"/>
              <w:jc w:val="center"/>
              <w:textAlignment w:val="auto"/>
              <w:rPr>
                <w:rFonts w:eastAsia="Times New Roman"/>
                <w:b/>
                <w:lang w:val="es-ES"/>
              </w:rPr>
            </w:pPr>
          </w:p>
        </w:tc>
      </w:tr>
      <w:tr w:rsidR="00AC52A5" w:rsidRPr="00AC52A5" w14:paraId="318DF42D" w14:textId="77777777" w:rsidTr="00A917D9">
        <w:tc>
          <w:tcPr>
            <w:tcW w:w="3108" w:type="dxa"/>
            <w:shd w:val="clear" w:color="auto" w:fill="auto"/>
            <w:tcMar>
              <w:top w:w="0" w:type="dxa"/>
              <w:left w:w="108" w:type="dxa"/>
              <w:bottom w:w="0" w:type="dxa"/>
              <w:right w:w="108" w:type="dxa"/>
            </w:tcMar>
          </w:tcPr>
          <w:p w14:paraId="732E26DF" w14:textId="77777777" w:rsidR="00AC52A5" w:rsidRPr="00AC52A5" w:rsidRDefault="00AC52A5" w:rsidP="00AC52A5">
            <w:pPr>
              <w:suppressAutoHyphens w:val="0"/>
              <w:spacing w:before="0" w:after="0"/>
              <w:jc w:val="left"/>
              <w:textAlignment w:val="auto"/>
              <w:rPr>
                <w:rFonts w:eastAsia="Times New Roman"/>
                <w:lang w:val="es-ES"/>
              </w:rPr>
            </w:pPr>
          </w:p>
        </w:tc>
        <w:tc>
          <w:tcPr>
            <w:tcW w:w="598" w:type="dxa"/>
            <w:shd w:val="clear" w:color="auto" w:fill="C5E0B3"/>
            <w:tcMar>
              <w:top w:w="0" w:type="dxa"/>
              <w:left w:w="108" w:type="dxa"/>
              <w:bottom w:w="0" w:type="dxa"/>
              <w:right w:w="108" w:type="dxa"/>
            </w:tcMar>
          </w:tcPr>
          <w:p w14:paraId="4C962AFA" w14:textId="77777777" w:rsidR="00AC52A5" w:rsidRPr="00AC52A5" w:rsidRDefault="00AC52A5" w:rsidP="00AC52A5">
            <w:pPr>
              <w:suppressAutoHyphens w:val="0"/>
              <w:spacing w:before="0" w:after="0"/>
              <w:jc w:val="center"/>
              <w:textAlignment w:val="auto"/>
              <w:rPr>
                <w:rFonts w:eastAsia="Times New Roman"/>
                <w:lang w:val="es-ES"/>
              </w:rPr>
            </w:pPr>
          </w:p>
        </w:tc>
        <w:tc>
          <w:tcPr>
            <w:tcW w:w="1794" w:type="dxa"/>
            <w:gridSpan w:val="3"/>
          </w:tcPr>
          <w:p w14:paraId="37FB9D4D" w14:textId="77777777" w:rsidR="00AC52A5" w:rsidRPr="00AC52A5" w:rsidRDefault="00AC52A5" w:rsidP="00AC52A5">
            <w:pPr>
              <w:suppressAutoHyphens w:val="0"/>
              <w:spacing w:before="0" w:after="0"/>
              <w:jc w:val="left"/>
              <w:textAlignment w:val="auto"/>
              <w:rPr>
                <w:rFonts w:eastAsia="Times New Roman"/>
                <w:lang w:val="es-ES"/>
              </w:rPr>
            </w:pPr>
            <w:r w:rsidRPr="00AC52A5">
              <w:rPr>
                <w:rFonts w:eastAsia="Times New Roman"/>
                <w:lang w:val="es-ES"/>
              </w:rPr>
              <w:t>Opcional</w:t>
            </w:r>
          </w:p>
        </w:tc>
        <w:tc>
          <w:tcPr>
            <w:tcW w:w="598" w:type="dxa"/>
          </w:tcPr>
          <w:p w14:paraId="4ACE5CB4"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shd w:val="clear" w:color="auto" w:fill="auto"/>
          </w:tcPr>
          <w:p w14:paraId="69C7350A" w14:textId="77777777" w:rsidR="00AC52A5" w:rsidRPr="00AC52A5" w:rsidRDefault="00AC52A5" w:rsidP="00AC52A5">
            <w:pPr>
              <w:suppressAutoHyphens w:val="0"/>
              <w:spacing w:before="0" w:after="0"/>
              <w:jc w:val="center"/>
              <w:textAlignment w:val="auto"/>
              <w:rPr>
                <w:rFonts w:eastAsia="Times New Roman"/>
                <w:lang w:val="es-ES"/>
              </w:rPr>
            </w:pPr>
          </w:p>
        </w:tc>
        <w:tc>
          <w:tcPr>
            <w:tcW w:w="896" w:type="dxa"/>
          </w:tcPr>
          <w:p w14:paraId="1A4A9DB2" w14:textId="77777777" w:rsidR="00AC52A5" w:rsidRPr="00AC52A5" w:rsidRDefault="00AC52A5" w:rsidP="00AC52A5">
            <w:pPr>
              <w:suppressAutoHyphens w:val="0"/>
              <w:spacing w:before="0" w:after="0"/>
              <w:jc w:val="center"/>
              <w:textAlignment w:val="auto"/>
              <w:rPr>
                <w:rFonts w:eastAsia="Times New Roman"/>
                <w:lang w:val="es-ES"/>
              </w:rPr>
            </w:pPr>
          </w:p>
        </w:tc>
        <w:tc>
          <w:tcPr>
            <w:tcW w:w="896" w:type="dxa"/>
          </w:tcPr>
          <w:p w14:paraId="3B908012" w14:textId="77777777" w:rsidR="00AC52A5" w:rsidRPr="00AC52A5" w:rsidRDefault="00AC52A5" w:rsidP="00AC52A5">
            <w:pPr>
              <w:suppressAutoHyphens w:val="0"/>
              <w:spacing w:before="0" w:after="0"/>
              <w:jc w:val="center"/>
              <w:textAlignment w:val="auto"/>
              <w:rPr>
                <w:rFonts w:eastAsia="Times New Roman"/>
                <w:b/>
                <w:lang w:val="es-ES"/>
              </w:rPr>
            </w:pPr>
          </w:p>
        </w:tc>
      </w:tr>
      <w:tr w:rsidR="00AC52A5" w:rsidRPr="00AC52A5" w14:paraId="425574BB" w14:textId="77777777" w:rsidTr="00A917D9">
        <w:tc>
          <w:tcPr>
            <w:tcW w:w="3108" w:type="dxa"/>
            <w:shd w:val="clear" w:color="auto" w:fill="auto"/>
            <w:tcMar>
              <w:top w:w="0" w:type="dxa"/>
              <w:left w:w="108" w:type="dxa"/>
              <w:bottom w:w="0" w:type="dxa"/>
              <w:right w:w="108" w:type="dxa"/>
            </w:tcMar>
          </w:tcPr>
          <w:p w14:paraId="2DDD40AF" w14:textId="77777777" w:rsidR="00AC52A5" w:rsidRPr="00AC52A5" w:rsidRDefault="00AC52A5" w:rsidP="00AC52A5">
            <w:pPr>
              <w:suppressAutoHyphens w:val="0"/>
              <w:spacing w:before="0" w:after="0"/>
              <w:jc w:val="left"/>
              <w:textAlignment w:val="auto"/>
              <w:rPr>
                <w:rFonts w:eastAsia="Times New Roman"/>
                <w:lang w:val="es-ES"/>
              </w:rPr>
            </w:pPr>
          </w:p>
        </w:tc>
        <w:tc>
          <w:tcPr>
            <w:tcW w:w="598" w:type="dxa"/>
            <w:shd w:val="clear" w:color="auto" w:fill="A8D08D"/>
            <w:tcMar>
              <w:top w:w="0" w:type="dxa"/>
              <w:left w:w="108" w:type="dxa"/>
              <w:bottom w:w="0" w:type="dxa"/>
              <w:right w:w="108" w:type="dxa"/>
            </w:tcMar>
          </w:tcPr>
          <w:p w14:paraId="1C07475A" w14:textId="77777777" w:rsidR="00AC52A5" w:rsidRPr="00AC52A5" w:rsidRDefault="00AC52A5" w:rsidP="00AC52A5">
            <w:pPr>
              <w:suppressAutoHyphens w:val="0"/>
              <w:spacing w:before="0" w:after="0"/>
              <w:jc w:val="center"/>
              <w:textAlignment w:val="auto"/>
              <w:rPr>
                <w:rFonts w:eastAsia="Times New Roman"/>
                <w:lang w:val="es-ES"/>
              </w:rPr>
            </w:pPr>
          </w:p>
        </w:tc>
        <w:tc>
          <w:tcPr>
            <w:tcW w:w="1794" w:type="dxa"/>
            <w:gridSpan w:val="3"/>
          </w:tcPr>
          <w:p w14:paraId="5E491000" w14:textId="77777777" w:rsidR="00AC52A5" w:rsidRPr="00AC52A5" w:rsidRDefault="00AC52A5" w:rsidP="00AC52A5">
            <w:pPr>
              <w:suppressAutoHyphens w:val="0"/>
              <w:spacing w:before="0" w:after="0"/>
              <w:jc w:val="left"/>
              <w:textAlignment w:val="auto"/>
              <w:rPr>
                <w:rFonts w:eastAsia="Times New Roman"/>
                <w:lang w:val="es-ES"/>
              </w:rPr>
            </w:pPr>
            <w:r w:rsidRPr="00AC52A5">
              <w:rPr>
                <w:rFonts w:eastAsia="Times New Roman"/>
                <w:lang w:val="es-ES"/>
              </w:rPr>
              <w:t>Opcional</w:t>
            </w:r>
          </w:p>
        </w:tc>
        <w:tc>
          <w:tcPr>
            <w:tcW w:w="598" w:type="dxa"/>
          </w:tcPr>
          <w:p w14:paraId="33F7B4B4" w14:textId="77777777" w:rsidR="00AC52A5" w:rsidRPr="00AC52A5" w:rsidRDefault="00AC52A5" w:rsidP="00AC52A5">
            <w:pPr>
              <w:suppressAutoHyphens w:val="0"/>
              <w:spacing w:before="0" w:after="0"/>
              <w:jc w:val="center"/>
              <w:textAlignment w:val="auto"/>
              <w:rPr>
                <w:rFonts w:eastAsia="Times New Roman"/>
                <w:lang w:val="es-ES"/>
              </w:rPr>
            </w:pPr>
          </w:p>
        </w:tc>
        <w:tc>
          <w:tcPr>
            <w:tcW w:w="598" w:type="dxa"/>
            <w:shd w:val="clear" w:color="auto" w:fill="auto"/>
          </w:tcPr>
          <w:p w14:paraId="40DC3C06" w14:textId="77777777" w:rsidR="00AC52A5" w:rsidRPr="00AC52A5" w:rsidRDefault="00AC52A5" w:rsidP="00AC52A5">
            <w:pPr>
              <w:suppressAutoHyphens w:val="0"/>
              <w:spacing w:before="0" w:after="0"/>
              <w:jc w:val="center"/>
              <w:textAlignment w:val="auto"/>
              <w:rPr>
                <w:rFonts w:eastAsia="Times New Roman"/>
                <w:lang w:val="es-ES"/>
              </w:rPr>
            </w:pPr>
          </w:p>
        </w:tc>
        <w:tc>
          <w:tcPr>
            <w:tcW w:w="896" w:type="dxa"/>
          </w:tcPr>
          <w:p w14:paraId="5BF79BD4" w14:textId="77777777" w:rsidR="00AC52A5" w:rsidRPr="00AC52A5" w:rsidRDefault="00AC52A5" w:rsidP="00AC52A5">
            <w:pPr>
              <w:suppressAutoHyphens w:val="0"/>
              <w:spacing w:before="0" w:after="0"/>
              <w:jc w:val="center"/>
              <w:textAlignment w:val="auto"/>
              <w:rPr>
                <w:rFonts w:eastAsia="Times New Roman"/>
                <w:lang w:val="es-ES"/>
              </w:rPr>
            </w:pPr>
          </w:p>
        </w:tc>
        <w:tc>
          <w:tcPr>
            <w:tcW w:w="896" w:type="dxa"/>
          </w:tcPr>
          <w:p w14:paraId="4521F233" w14:textId="77777777" w:rsidR="00AC52A5" w:rsidRPr="00AC52A5" w:rsidRDefault="00AC52A5" w:rsidP="00AC52A5">
            <w:pPr>
              <w:suppressAutoHyphens w:val="0"/>
              <w:spacing w:before="0" w:after="0"/>
              <w:jc w:val="center"/>
              <w:textAlignment w:val="auto"/>
              <w:rPr>
                <w:rFonts w:eastAsia="Times New Roman"/>
                <w:b/>
                <w:lang w:val="es-ES"/>
              </w:rPr>
            </w:pPr>
          </w:p>
        </w:tc>
      </w:tr>
    </w:tbl>
    <w:p w14:paraId="1DA6231A" w14:textId="192B5E91" w:rsidR="00356C6B" w:rsidRPr="00356C6B" w:rsidRDefault="005540D1" w:rsidP="00356C6B">
      <w:pPr>
        <w:pStyle w:val="Heading3"/>
        <w:rPr>
          <w:lang w:val="es-ES"/>
        </w:rPr>
      </w:pPr>
      <w:bookmarkStart w:id="52" w:name="_Toc516146021"/>
      <w:r>
        <w:rPr>
          <w:lang w:val="es-ES"/>
        </w:rPr>
        <w:t>Reglamentos de e</w:t>
      </w:r>
      <w:r w:rsidR="00356C6B">
        <w:rPr>
          <w:lang w:val="es-ES"/>
        </w:rPr>
        <w:t>tiquetado y m</w:t>
      </w:r>
      <w:r w:rsidR="00356C6B" w:rsidRPr="00356C6B">
        <w:rPr>
          <w:lang w:val="es-ES"/>
        </w:rPr>
        <w:t>arcado</w:t>
      </w:r>
      <w:bookmarkEnd w:id="52"/>
    </w:p>
    <w:p w14:paraId="5819CF81" w14:textId="7BAE3EE0" w:rsidR="005D7A73" w:rsidRDefault="00211AFE" w:rsidP="00356C6B">
      <w:pPr>
        <w:suppressAutoHyphens w:val="0"/>
        <w:rPr>
          <w:rFonts w:eastAsia="Calibri"/>
          <w:color w:val="auto"/>
          <w:lang w:val="es-ES"/>
        </w:rPr>
      </w:pPr>
      <w:r>
        <w:rPr>
          <w:rFonts w:eastAsia="Calibri"/>
          <w:color w:val="auto"/>
          <w:lang w:val="es-ES"/>
        </w:rPr>
        <w:t xml:space="preserve">Mientras que la etiqueta de energía europea </w:t>
      </w:r>
      <w:r w:rsidR="003C7FBF">
        <w:rPr>
          <w:rFonts w:eastAsia="Calibri"/>
          <w:color w:val="auto"/>
          <w:lang w:val="es-ES"/>
        </w:rPr>
        <w:t>indica la eficacia lumi</w:t>
      </w:r>
      <w:r w:rsidR="00A917D9">
        <w:rPr>
          <w:rFonts w:eastAsia="Calibri"/>
          <w:color w:val="auto"/>
          <w:lang w:val="es-ES"/>
        </w:rPr>
        <w:t>n</w:t>
      </w:r>
      <w:r w:rsidR="003C7FBF">
        <w:rPr>
          <w:rFonts w:eastAsia="Calibri"/>
          <w:color w:val="auto"/>
          <w:lang w:val="es-ES"/>
        </w:rPr>
        <w:t>osa de la lámpara (de acuerdo a clases de eficiencia energética), la etiqueta "</w:t>
      </w:r>
      <w:r w:rsidR="003C7FBF" w:rsidRPr="003C7FBF">
        <w:rPr>
          <w:rFonts w:eastAsia="Calibri"/>
          <w:i/>
          <w:color w:val="auto"/>
          <w:lang w:val="es-ES"/>
        </w:rPr>
        <w:t>Lighting facts</w:t>
      </w:r>
      <w:r w:rsidR="003C7FBF">
        <w:rPr>
          <w:rFonts w:eastAsia="Calibri"/>
          <w:color w:val="auto"/>
          <w:lang w:val="es-ES"/>
        </w:rPr>
        <w:t>" de EE.UU. indica de forma separada la luminosidad ("brillo") y la potencia ("uso de energía") de la lámpara en lm y W respectivamente.</w:t>
      </w:r>
      <w:r>
        <w:rPr>
          <w:rFonts w:eastAsia="Calibri"/>
          <w:color w:val="auto"/>
          <w:lang w:val="es-ES"/>
        </w:rPr>
        <w:t xml:space="preserve"> </w:t>
      </w:r>
    </w:p>
    <w:p w14:paraId="099D6727" w14:textId="1502F854" w:rsidR="00356C6B" w:rsidRDefault="003C7FBF" w:rsidP="00356C6B">
      <w:pPr>
        <w:suppressAutoHyphens w:val="0"/>
        <w:rPr>
          <w:rFonts w:eastAsia="Calibri"/>
          <w:color w:val="auto"/>
          <w:lang w:val="es-ES"/>
        </w:rPr>
      </w:pPr>
      <w:r>
        <w:rPr>
          <w:rFonts w:eastAsia="Calibri"/>
          <w:color w:val="auto"/>
          <w:lang w:val="es-ES"/>
        </w:rPr>
        <w:t>Además de la luminosidad y la potencia, la etiqueta "</w:t>
      </w:r>
      <w:r w:rsidRPr="003C7FBF">
        <w:rPr>
          <w:rFonts w:eastAsia="Calibri"/>
          <w:i/>
          <w:color w:val="auto"/>
          <w:lang w:val="es-ES"/>
        </w:rPr>
        <w:t>Lighting facts</w:t>
      </w:r>
      <w:r>
        <w:rPr>
          <w:rFonts w:eastAsia="Calibri"/>
          <w:color w:val="auto"/>
          <w:lang w:val="es-ES"/>
        </w:rPr>
        <w:t>" incluye la temperatura de color ("</w:t>
      </w:r>
      <w:r w:rsidRPr="00EA2D9B">
        <w:rPr>
          <w:rFonts w:eastAsia="Calibri"/>
          <w:i/>
          <w:color w:val="auto"/>
          <w:lang w:val="es-ES"/>
        </w:rPr>
        <w:t>light appearance</w:t>
      </w:r>
      <w:r>
        <w:rPr>
          <w:rFonts w:eastAsia="Calibri"/>
          <w:color w:val="auto"/>
          <w:lang w:val="es-ES"/>
        </w:rPr>
        <w:t>") en una escala continua entre los extremos marcados como "cálida" y "fría", la vida útil de la lámpara en años (basado en un uso de 3 horas por día)</w:t>
      </w:r>
      <w:r w:rsidR="00E61448">
        <w:rPr>
          <w:rFonts w:eastAsia="Calibri"/>
          <w:color w:val="auto"/>
          <w:lang w:val="es-ES"/>
        </w:rPr>
        <w:t xml:space="preserve">, </w:t>
      </w:r>
      <w:r>
        <w:rPr>
          <w:rFonts w:eastAsia="Calibri"/>
          <w:color w:val="auto"/>
          <w:lang w:val="es-ES"/>
        </w:rPr>
        <w:t>los costos de energía anuales estimados</w:t>
      </w:r>
      <w:r w:rsidR="00E61448">
        <w:rPr>
          <w:rFonts w:eastAsia="Calibri"/>
          <w:color w:val="auto"/>
          <w:lang w:val="es-ES"/>
        </w:rPr>
        <w:t>, y un aviso sobre el contenido y el desecho de mercurio</w:t>
      </w:r>
      <w:r>
        <w:rPr>
          <w:rFonts w:eastAsia="Calibri"/>
          <w:color w:val="auto"/>
          <w:lang w:val="es-ES"/>
        </w:rPr>
        <w:t>.</w:t>
      </w:r>
      <w:r w:rsidR="00E61448">
        <w:rPr>
          <w:rFonts w:eastAsia="Calibri"/>
          <w:color w:val="auto"/>
          <w:lang w:val="es-ES"/>
        </w:rPr>
        <w:t xml:space="preserve"> Mientras que el Reglamento Delegado (UE) 874/2012 requiere solamente la inclusión de información básica en la etiqueta (en particular el consumo anual de la lámpara expresado en kWh/1.000 horas), se requiere la inclusión de información amplia en el embalaje de la lámpara y en los avisos en internet (véase la sección 3.3.4).</w:t>
      </w:r>
      <w:r w:rsidR="00E61448">
        <w:rPr>
          <w:rStyle w:val="FootnoteReference"/>
          <w:rFonts w:eastAsia="Calibri"/>
          <w:color w:val="auto"/>
        </w:rPr>
        <w:footnoteReference w:id="81"/>
      </w:r>
      <w:r w:rsidR="00E61448">
        <w:rPr>
          <w:rFonts w:eastAsia="Calibri"/>
          <w:color w:val="auto"/>
          <w:lang w:val="es-ES"/>
        </w:rPr>
        <w:t xml:space="preserve"> </w:t>
      </w:r>
    </w:p>
    <w:p w14:paraId="0EE8565E" w14:textId="1787CA8C" w:rsidR="007F311F" w:rsidRDefault="00E61448" w:rsidP="00356C6B">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 xml:space="preserve">En Panamá, tanto la Ley </w:t>
      </w:r>
      <w:r w:rsidR="00C570F6">
        <w:rPr>
          <w:rFonts w:asciiTheme="minorHAnsi" w:eastAsia="Calibri" w:hAnsiTheme="minorHAnsi" w:cstheme="minorHAnsi"/>
          <w:color w:val="auto"/>
          <w:lang w:val="es-ES"/>
        </w:rPr>
        <w:t xml:space="preserve">69 de 2012 como el Decreto Ejecutivo </w:t>
      </w:r>
      <w:r w:rsidR="002B414D">
        <w:rPr>
          <w:rFonts w:asciiTheme="minorHAnsi" w:eastAsia="Calibri" w:hAnsiTheme="minorHAnsi" w:cstheme="minorHAnsi"/>
          <w:color w:val="auto"/>
          <w:lang w:val="es-ES"/>
        </w:rPr>
        <w:t xml:space="preserve">398 de 2013 </w:t>
      </w:r>
      <w:r w:rsidR="00C570F6">
        <w:rPr>
          <w:rFonts w:asciiTheme="minorHAnsi" w:eastAsia="Calibri" w:hAnsiTheme="minorHAnsi" w:cstheme="minorHAnsi"/>
          <w:color w:val="auto"/>
          <w:lang w:val="es-ES"/>
        </w:rPr>
        <w:t>requieren el etiquetado de los productos consumidores de la energía que se comercialicen en el territorio nacional.</w:t>
      </w:r>
      <w:r w:rsidR="00C570F6">
        <w:rPr>
          <w:rStyle w:val="FootnoteReference"/>
          <w:rFonts w:asciiTheme="minorHAnsi" w:eastAsia="Calibri" w:hAnsiTheme="minorHAnsi" w:cstheme="minorHAnsi"/>
          <w:color w:val="auto"/>
        </w:rPr>
        <w:footnoteReference w:id="82"/>
      </w:r>
      <w:r w:rsidR="002B414D" w:rsidRPr="002B414D">
        <w:rPr>
          <w:rFonts w:asciiTheme="minorHAnsi" w:eastAsia="Calibri" w:hAnsiTheme="minorHAnsi" w:cstheme="minorHAnsi"/>
          <w:color w:val="auto"/>
          <w:lang w:val="es-ES"/>
        </w:rPr>
        <w:t xml:space="preserve"> Además del hecho que es un requisito legal, el etiquetado de l</w:t>
      </w:r>
      <w:r w:rsidR="002B414D">
        <w:rPr>
          <w:rFonts w:asciiTheme="minorHAnsi" w:eastAsia="Calibri" w:hAnsiTheme="minorHAnsi" w:cstheme="minorHAnsi"/>
          <w:color w:val="auto"/>
          <w:lang w:val="es-ES"/>
        </w:rPr>
        <w:t>ámparas lleva la ventaja de la información al consumidor de las características de las lámparas. Tomando en consideración que las lámparas se venden habitualmente en embalajes</w:t>
      </w:r>
      <w:r w:rsidR="007F311F">
        <w:rPr>
          <w:rFonts w:asciiTheme="minorHAnsi" w:eastAsia="Calibri" w:hAnsiTheme="minorHAnsi" w:cstheme="minorHAnsi"/>
          <w:color w:val="auto"/>
          <w:lang w:val="es-ES"/>
        </w:rPr>
        <w:t xml:space="preserve">, donde se dispone normalmente de suficiente espacio para adherir o imprimir la etiqueta </w:t>
      </w:r>
      <w:r w:rsidR="00A917D9">
        <w:rPr>
          <w:rFonts w:asciiTheme="minorHAnsi" w:eastAsia="Calibri" w:hAnsiTheme="minorHAnsi" w:cstheme="minorHAnsi"/>
          <w:color w:val="auto"/>
          <w:lang w:val="es-ES"/>
        </w:rPr>
        <w:t>e</w:t>
      </w:r>
      <w:r w:rsidR="007F311F">
        <w:rPr>
          <w:rFonts w:asciiTheme="minorHAnsi" w:eastAsia="Calibri" w:hAnsiTheme="minorHAnsi" w:cstheme="minorHAnsi"/>
          <w:color w:val="auto"/>
          <w:lang w:val="es-ES"/>
        </w:rPr>
        <w:t xml:space="preserve"> información adicional para el consumidor, es preferible incluir la información para el consumidor (incluido la etiqueta) </w:t>
      </w:r>
      <w:r w:rsidR="007F311F">
        <w:rPr>
          <w:rFonts w:asciiTheme="minorHAnsi" w:eastAsia="Calibri" w:hAnsiTheme="minorHAnsi" w:cstheme="minorHAnsi"/>
          <w:color w:val="auto"/>
          <w:lang w:val="es-ES"/>
        </w:rPr>
        <w:lastRenderedPageBreak/>
        <w:t>en el embalaje, en lugar del marcado en el cuerpo del producto</w:t>
      </w:r>
      <w:r w:rsidR="0094768A">
        <w:rPr>
          <w:rFonts w:asciiTheme="minorHAnsi" w:eastAsia="Calibri" w:hAnsiTheme="minorHAnsi" w:cstheme="minorHAnsi"/>
          <w:color w:val="auto"/>
          <w:lang w:val="es-ES"/>
        </w:rPr>
        <w:t xml:space="preserve">. La información contenida en la etiqueta y/o en el embalaje debe incluir los datos más relevantes para el consumidor. </w:t>
      </w:r>
    </w:p>
    <w:p w14:paraId="46571C56" w14:textId="7F5F7DA4" w:rsidR="003C7FBF" w:rsidRPr="002B414D" w:rsidRDefault="007F311F" w:rsidP="00356C6B">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t>El aspecto de la etiqueta "</w:t>
      </w:r>
      <w:r w:rsidRPr="007F311F">
        <w:rPr>
          <w:rFonts w:asciiTheme="minorHAnsi" w:eastAsia="Calibri" w:hAnsiTheme="minorHAnsi" w:cstheme="minorHAnsi"/>
          <w:i/>
          <w:color w:val="auto"/>
          <w:lang w:val="es-ES"/>
        </w:rPr>
        <w:t>Lighting facts</w:t>
      </w:r>
      <w:r>
        <w:rPr>
          <w:rFonts w:asciiTheme="minorHAnsi" w:eastAsia="Calibri" w:hAnsiTheme="minorHAnsi" w:cstheme="minorHAnsi"/>
          <w:color w:val="auto"/>
          <w:lang w:val="es-ES"/>
        </w:rPr>
        <w:t>" de EE.UU. es más coherente con el diseño de las etiquetas panameñas aplicadas hasta el momento</w:t>
      </w:r>
      <w:r w:rsidR="00524C03">
        <w:rPr>
          <w:rFonts w:asciiTheme="minorHAnsi" w:eastAsia="Calibri" w:hAnsiTheme="minorHAnsi" w:cstheme="minorHAnsi"/>
          <w:color w:val="auto"/>
          <w:lang w:val="es-ES"/>
        </w:rPr>
        <w:t xml:space="preserve"> que la etiqueta europea, que indica la clase de eficiencia energética representada por una escala de letras y flechas correspondientes</w:t>
      </w:r>
      <w:r>
        <w:rPr>
          <w:rFonts w:asciiTheme="minorHAnsi" w:eastAsia="Calibri" w:hAnsiTheme="minorHAnsi" w:cstheme="minorHAnsi"/>
          <w:color w:val="auto"/>
          <w:lang w:val="es-ES"/>
        </w:rPr>
        <w:t>.</w:t>
      </w:r>
      <w:r>
        <w:rPr>
          <w:rStyle w:val="FootnoteReference"/>
          <w:rFonts w:asciiTheme="minorHAnsi" w:eastAsia="Calibri" w:hAnsiTheme="minorHAnsi" w:cstheme="minorHAnsi"/>
          <w:color w:val="auto"/>
        </w:rPr>
        <w:footnoteReference w:id="83"/>
      </w:r>
      <w:r>
        <w:rPr>
          <w:rFonts w:asciiTheme="minorHAnsi" w:eastAsia="Calibri" w:hAnsiTheme="minorHAnsi" w:cstheme="minorHAnsi"/>
          <w:color w:val="auto"/>
          <w:lang w:val="es-ES"/>
        </w:rPr>
        <w:t xml:space="preserve"> </w:t>
      </w:r>
      <w:r w:rsidR="00524C03">
        <w:rPr>
          <w:rFonts w:asciiTheme="minorHAnsi" w:eastAsia="Calibri" w:hAnsiTheme="minorHAnsi" w:cstheme="minorHAnsi"/>
          <w:color w:val="auto"/>
          <w:lang w:val="es-ES"/>
        </w:rPr>
        <w:t xml:space="preserve">Ello significa que orientarse a la etiqueta </w:t>
      </w:r>
      <w:r w:rsidR="00873F5B">
        <w:rPr>
          <w:rFonts w:asciiTheme="minorHAnsi" w:eastAsia="Calibri" w:hAnsiTheme="minorHAnsi" w:cstheme="minorHAnsi"/>
          <w:color w:val="auto"/>
          <w:lang w:val="es-ES"/>
        </w:rPr>
        <w:t>"</w:t>
      </w:r>
      <w:r w:rsidR="00873F5B" w:rsidRPr="00873F5B">
        <w:rPr>
          <w:rFonts w:asciiTheme="minorHAnsi" w:eastAsia="Calibri" w:hAnsiTheme="minorHAnsi" w:cstheme="minorHAnsi"/>
          <w:i/>
          <w:color w:val="auto"/>
          <w:lang w:val="es-ES"/>
        </w:rPr>
        <w:t>Lighting facts</w:t>
      </w:r>
      <w:r w:rsidR="00873F5B">
        <w:rPr>
          <w:rFonts w:asciiTheme="minorHAnsi" w:eastAsia="Calibri" w:hAnsiTheme="minorHAnsi" w:cstheme="minorHAnsi"/>
          <w:color w:val="auto"/>
          <w:lang w:val="es-ES"/>
        </w:rPr>
        <w:t xml:space="preserve">" </w:t>
      </w:r>
      <w:r w:rsidR="00524C03">
        <w:rPr>
          <w:rFonts w:asciiTheme="minorHAnsi" w:eastAsia="Calibri" w:hAnsiTheme="minorHAnsi" w:cstheme="minorHAnsi"/>
          <w:color w:val="auto"/>
          <w:lang w:val="es-ES"/>
        </w:rPr>
        <w:t>de EE.UU. será más coherente en el caso de Panamá. Sin embargo es necesario de revisar detalles con respecto a (i) la inclusión de información en la etiqueta y (ii) la opción de imprimir información adicional para el consumidor en el embalaje</w:t>
      </w:r>
      <w:r w:rsidR="0018674C">
        <w:rPr>
          <w:rFonts w:asciiTheme="minorHAnsi" w:eastAsia="Calibri" w:hAnsiTheme="minorHAnsi" w:cstheme="minorHAnsi"/>
          <w:color w:val="auto"/>
          <w:lang w:val="es-ES"/>
        </w:rPr>
        <w:t xml:space="preserve"> (véase la sección 5)</w:t>
      </w:r>
      <w:r w:rsidR="00524C03">
        <w:rPr>
          <w:rFonts w:asciiTheme="minorHAnsi" w:eastAsia="Calibri" w:hAnsiTheme="minorHAnsi" w:cstheme="minorHAnsi"/>
          <w:color w:val="auto"/>
          <w:lang w:val="es-ES"/>
        </w:rPr>
        <w:t xml:space="preserve">. </w:t>
      </w:r>
      <w:r>
        <w:rPr>
          <w:rFonts w:asciiTheme="minorHAnsi" w:eastAsia="Calibri" w:hAnsiTheme="minorHAnsi" w:cstheme="minorHAnsi"/>
          <w:color w:val="auto"/>
          <w:lang w:val="es-ES"/>
        </w:rPr>
        <w:t xml:space="preserve"> </w:t>
      </w:r>
      <w:r w:rsidR="002B414D">
        <w:rPr>
          <w:rFonts w:asciiTheme="minorHAnsi" w:eastAsia="Calibri" w:hAnsiTheme="minorHAnsi" w:cstheme="minorHAnsi"/>
          <w:color w:val="auto"/>
          <w:lang w:val="es-ES"/>
        </w:rPr>
        <w:t xml:space="preserve"> </w:t>
      </w:r>
      <w:r w:rsidR="002B414D" w:rsidRPr="002B414D">
        <w:rPr>
          <w:rFonts w:asciiTheme="minorHAnsi" w:eastAsia="Calibri" w:hAnsiTheme="minorHAnsi" w:cstheme="minorHAnsi"/>
          <w:color w:val="auto"/>
          <w:lang w:val="es-ES"/>
        </w:rPr>
        <w:t xml:space="preserve"> </w:t>
      </w:r>
    </w:p>
    <w:p w14:paraId="3230966E" w14:textId="6A2E962B" w:rsidR="00E838E4" w:rsidRDefault="00E838E4" w:rsidP="00CD5E63">
      <w:pPr>
        <w:suppressAutoHyphens w:val="0"/>
        <w:rPr>
          <w:rFonts w:asciiTheme="minorHAnsi" w:eastAsia="Calibri" w:hAnsiTheme="minorHAnsi" w:cstheme="minorHAnsi"/>
          <w:color w:val="auto"/>
          <w:lang w:val="es-ES"/>
        </w:rPr>
      </w:pPr>
    </w:p>
    <w:p w14:paraId="54CB8AC9" w14:textId="4730D707" w:rsidR="00BD7404" w:rsidRDefault="00BD7404" w:rsidP="00BD7404">
      <w:pPr>
        <w:suppressAutoHyphens w:val="0"/>
        <w:rPr>
          <w:rFonts w:asciiTheme="minorHAnsi" w:eastAsia="Calibri" w:hAnsiTheme="minorHAnsi" w:cstheme="minorHAnsi"/>
          <w:color w:val="auto"/>
          <w:lang w:val="es-ES"/>
        </w:rPr>
      </w:pPr>
    </w:p>
    <w:p w14:paraId="1280A5D0" w14:textId="6216F41F" w:rsidR="00BD7404" w:rsidRDefault="00BD7404">
      <w:pPr>
        <w:suppressAutoHyphens w:val="0"/>
        <w:rPr>
          <w:rFonts w:asciiTheme="minorHAnsi" w:eastAsia="Calibri" w:hAnsiTheme="minorHAnsi" w:cstheme="minorHAnsi"/>
          <w:color w:val="auto"/>
          <w:lang w:val="es-ES"/>
        </w:rPr>
      </w:pPr>
    </w:p>
    <w:p w14:paraId="25A0389B" w14:textId="77777777" w:rsidR="00BD7404" w:rsidRDefault="00BD7404">
      <w:pPr>
        <w:suppressAutoHyphens w:val="0"/>
        <w:rPr>
          <w:rFonts w:asciiTheme="minorHAnsi" w:eastAsia="Calibri" w:hAnsiTheme="minorHAnsi" w:cstheme="minorHAnsi"/>
          <w:color w:val="auto"/>
          <w:lang w:val="es-ES"/>
        </w:rPr>
      </w:pPr>
    </w:p>
    <w:p w14:paraId="11A7BE65" w14:textId="23F6AA88" w:rsidR="00510E48" w:rsidRDefault="00510E48">
      <w:pPr>
        <w:suppressAutoHyphens w:val="0"/>
        <w:rPr>
          <w:rFonts w:asciiTheme="minorHAnsi" w:eastAsia="Calibri" w:hAnsiTheme="minorHAnsi" w:cstheme="minorHAnsi"/>
          <w:color w:val="auto"/>
          <w:lang w:val="es-ES"/>
        </w:rPr>
      </w:pPr>
      <w:r>
        <w:rPr>
          <w:rFonts w:asciiTheme="minorHAnsi" w:eastAsia="Calibri" w:hAnsiTheme="minorHAnsi" w:cstheme="minorHAnsi"/>
          <w:color w:val="auto"/>
          <w:lang w:val="es-ES"/>
        </w:rPr>
        <w:br w:type="page"/>
      </w:r>
    </w:p>
    <w:p w14:paraId="12363732" w14:textId="7CD8C9A9" w:rsidR="003C6EB9" w:rsidRPr="00755908" w:rsidRDefault="00755908" w:rsidP="00755908">
      <w:pPr>
        <w:pStyle w:val="Heading1"/>
        <w:rPr>
          <w:lang w:val="es-ES"/>
        </w:rPr>
      </w:pPr>
      <w:bookmarkStart w:id="53" w:name="_Toc516146022"/>
      <w:r w:rsidRPr="00755908">
        <w:rPr>
          <w:lang w:val="es-ES"/>
        </w:rPr>
        <w:lastRenderedPageBreak/>
        <w:t>Anteproyecto de norma t</w:t>
      </w:r>
      <w:r>
        <w:rPr>
          <w:lang w:val="es-ES"/>
        </w:rPr>
        <w:t>écnica DGNTI-COPANIT: Eficiencia energética de lámparas para uso general</w:t>
      </w:r>
      <w:bookmarkEnd w:id="53"/>
    </w:p>
    <w:p w14:paraId="0FBAB7B5" w14:textId="1FC48DAD" w:rsidR="00502B90" w:rsidRDefault="00BC6BC7" w:rsidP="00502B90">
      <w:pPr>
        <w:pStyle w:val="BodyText"/>
        <w:rPr>
          <w:lang w:val="es-ES"/>
        </w:rPr>
      </w:pPr>
      <w:r>
        <w:rPr>
          <w:lang w:val="es-ES"/>
        </w:rPr>
        <w:t>Se comentará en esta sección el borrador del Anteproyecto de Norma Técnica DGNTI-COPANIT: Eficiencia Energética de Lámparas para Uso General</w:t>
      </w:r>
      <w:r w:rsidR="00F341D8">
        <w:rPr>
          <w:lang w:val="es-ES"/>
        </w:rPr>
        <w:t xml:space="preserve"> (de fecha de 20 de agosto de 2017), con respecto a:</w:t>
      </w:r>
      <w:r w:rsidR="001A5987">
        <w:rPr>
          <w:rStyle w:val="FootnoteReference"/>
        </w:rPr>
        <w:footnoteReference w:id="84"/>
      </w:r>
      <w:r>
        <w:rPr>
          <w:lang w:val="es-ES"/>
        </w:rPr>
        <w:t xml:space="preserve"> </w:t>
      </w:r>
      <w:r w:rsidR="004205D7">
        <w:rPr>
          <w:lang w:val="es-ES"/>
        </w:rPr>
        <w:t xml:space="preserve"> </w:t>
      </w:r>
    </w:p>
    <w:p w14:paraId="16079AC7" w14:textId="3FA679DB" w:rsidR="00F341D8" w:rsidRPr="00F341D8" w:rsidRDefault="00F341D8" w:rsidP="001404E7">
      <w:pPr>
        <w:pStyle w:val="ListParagraph"/>
        <w:numPr>
          <w:ilvl w:val="0"/>
          <w:numId w:val="25"/>
        </w:numPr>
        <w:spacing w:before="0" w:after="140"/>
        <w:rPr>
          <w:lang w:val="es-ES"/>
        </w:rPr>
      </w:pPr>
      <w:r w:rsidRPr="00F341D8">
        <w:rPr>
          <w:lang w:val="es-ES"/>
        </w:rPr>
        <w:t xml:space="preserve">Productos de iluminación incluidos </w:t>
      </w:r>
      <w:r w:rsidR="00162897">
        <w:rPr>
          <w:lang w:val="es-ES"/>
        </w:rPr>
        <w:t xml:space="preserve">en el borrador del anteproyecto NT/RT </w:t>
      </w:r>
      <w:r>
        <w:rPr>
          <w:lang w:val="es-ES"/>
        </w:rPr>
        <w:t>(alcance)</w:t>
      </w:r>
      <w:r w:rsidRPr="00F341D8">
        <w:rPr>
          <w:lang w:val="es-ES"/>
        </w:rPr>
        <w:t>;</w:t>
      </w:r>
    </w:p>
    <w:p w14:paraId="1B8B29A2" w14:textId="4C52EE98" w:rsidR="00F341D8" w:rsidRDefault="00F341D8" w:rsidP="001404E7">
      <w:pPr>
        <w:pStyle w:val="ListParagraph"/>
        <w:numPr>
          <w:ilvl w:val="0"/>
          <w:numId w:val="25"/>
        </w:numPr>
        <w:spacing w:before="0" w:after="140"/>
        <w:rPr>
          <w:lang w:val="es-ES"/>
        </w:rPr>
      </w:pPr>
      <w:r w:rsidRPr="00F341D8">
        <w:rPr>
          <w:lang w:val="es-ES"/>
        </w:rPr>
        <w:t>Límites (índices) de desempeño energético mínimo propuestos para los productos de iluminación</w:t>
      </w:r>
      <w:r w:rsidR="00162897">
        <w:rPr>
          <w:lang w:val="es-ES"/>
        </w:rPr>
        <w:t xml:space="preserve"> incluidos en el borrador del anteproyecto de NT/RT</w:t>
      </w:r>
      <w:r>
        <w:rPr>
          <w:lang w:val="es-ES"/>
        </w:rPr>
        <w:t>;</w:t>
      </w:r>
    </w:p>
    <w:p w14:paraId="24981A0F" w14:textId="4BBCB55A" w:rsidR="00A66F24" w:rsidRPr="00F341D8" w:rsidRDefault="00A66F24" w:rsidP="001404E7">
      <w:pPr>
        <w:pStyle w:val="ListParagraph"/>
        <w:numPr>
          <w:ilvl w:val="0"/>
          <w:numId w:val="25"/>
        </w:numPr>
        <w:spacing w:before="0" w:after="140"/>
        <w:rPr>
          <w:lang w:val="es-ES"/>
        </w:rPr>
      </w:pPr>
      <w:r>
        <w:rPr>
          <w:lang w:val="es-ES"/>
        </w:rPr>
        <w:t>Normas de medición (métodos de prueba);</w:t>
      </w:r>
    </w:p>
    <w:p w14:paraId="44C8E938" w14:textId="725CCB26" w:rsidR="00F341D8" w:rsidRPr="00F341D8" w:rsidRDefault="00F341D8" w:rsidP="001404E7">
      <w:pPr>
        <w:pStyle w:val="ListParagraph"/>
        <w:numPr>
          <w:ilvl w:val="0"/>
          <w:numId w:val="25"/>
        </w:numPr>
        <w:spacing w:before="0" w:after="140"/>
        <w:rPr>
          <w:lang w:val="es-ES"/>
        </w:rPr>
      </w:pPr>
      <w:r w:rsidRPr="00F341D8">
        <w:rPr>
          <w:lang w:val="es-ES"/>
        </w:rPr>
        <w:t>El grado de armonización y alineación, respectivamente, con otras normas y reglamentos nacionales e internacionales (ISO/IEC, NOM-ENER, los estándares y métodos de prueba de EE.UU., los reglamentos de diseño ecológico de la UE);</w:t>
      </w:r>
    </w:p>
    <w:p w14:paraId="7744311B" w14:textId="788E7661" w:rsidR="00F341D8" w:rsidRPr="00F341D8" w:rsidRDefault="00F341D8" w:rsidP="001404E7">
      <w:pPr>
        <w:pStyle w:val="ListParagraph"/>
        <w:numPr>
          <w:ilvl w:val="0"/>
          <w:numId w:val="25"/>
        </w:numPr>
        <w:spacing w:before="0" w:after="140"/>
        <w:rPr>
          <w:lang w:val="es-ES"/>
        </w:rPr>
      </w:pPr>
      <w:r w:rsidRPr="00F341D8">
        <w:rPr>
          <w:lang w:val="es-ES"/>
        </w:rPr>
        <w:t xml:space="preserve">Integridad técnica y editorial del borrador de </w:t>
      </w:r>
      <w:r w:rsidR="001A5987">
        <w:rPr>
          <w:lang w:val="es-ES"/>
        </w:rPr>
        <w:t>ante</w:t>
      </w:r>
      <w:r w:rsidRPr="00F341D8">
        <w:rPr>
          <w:lang w:val="es-ES"/>
        </w:rPr>
        <w:t>proyecto NT/RT (incluyendo estipulaciones sobre etiquetado o marcado, evaluación de conformidad, etc.).</w:t>
      </w:r>
    </w:p>
    <w:p w14:paraId="59ABE8FA" w14:textId="2E55AC0E" w:rsidR="001A5987" w:rsidRDefault="00162897" w:rsidP="001A5987">
      <w:pPr>
        <w:rPr>
          <w:lang w:val="es-ES"/>
        </w:rPr>
      </w:pPr>
      <w:r>
        <w:rPr>
          <w:lang w:val="es-ES"/>
        </w:rPr>
        <w:t xml:space="preserve">Las propuestas del consultor para el desarrollo posterior y la finalización del proyecto NT/RT se presentan en </w:t>
      </w:r>
      <w:r w:rsidR="001D5043">
        <w:rPr>
          <w:lang w:val="es-ES"/>
        </w:rPr>
        <w:t>la sección 5 de este</w:t>
      </w:r>
      <w:r>
        <w:rPr>
          <w:lang w:val="es-ES"/>
        </w:rPr>
        <w:t xml:space="preserve"> informe. </w:t>
      </w:r>
    </w:p>
    <w:p w14:paraId="37675C94" w14:textId="2E5EFBE4" w:rsidR="001A5987" w:rsidRDefault="001A5987" w:rsidP="001A5987">
      <w:pPr>
        <w:rPr>
          <w:lang w:val="es-ES"/>
        </w:rPr>
      </w:pPr>
      <w:r>
        <w:rPr>
          <w:lang w:val="es-ES"/>
        </w:rPr>
        <w:t>De acuerdo a la afirmación en su título, el borrador del Anteproyecto NT/RT corresponde parcialmente a la Norma Oficial Mexicana NOM-028-ENER-2010.</w:t>
      </w:r>
      <w:r w:rsidR="00D63100">
        <w:rPr>
          <w:lang w:val="es-ES"/>
        </w:rPr>
        <w:t xml:space="preserve"> Ello significa que todavía no toma en consideración la revisión de esta norma </w:t>
      </w:r>
      <w:r w:rsidR="00D63100" w:rsidRPr="00C6486B">
        <w:rPr>
          <w:lang w:val="es-ES"/>
        </w:rPr>
        <w:t>PROY-</w:t>
      </w:r>
      <w:r w:rsidR="00425616" w:rsidRPr="00C6486B">
        <w:rPr>
          <w:lang w:val="es-ES"/>
        </w:rPr>
        <w:t>NOM-</w:t>
      </w:r>
      <w:r w:rsidR="00D63100" w:rsidRPr="00C6486B">
        <w:rPr>
          <w:lang w:val="es-ES"/>
        </w:rPr>
        <w:t>028-ENER-2017</w:t>
      </w:r>
      <w:r w:rsidR="00C6486B">
        <w:rPr>
          <w:lang w:val="es-ES"/>
        </w:rPr>
        <w:t xml:space="preserve"> (que resultó en la NOM-028-ENER-2017 de marzo de 2018)</w:t>
      </w:r>
      <w:r w:rsidR="00D63100">
        <w:rPr>
          <w:lang w:val="es-ES"/>
        </w:rPr>
        <w:t>.</w:t>
      </w:r>
    </w:p>
    <w:p w14:paraId="7718241C" w14:textId="1F30D41E" w:rsidR="00842463" w:rsidRPr="00411146" w:rsidRDefault="00755908" w:rsidP="001404E7">
      <w:pPr>
        <w:pStyle w:val="Heading2"/>
        <w:numPr>
          <w:ilvl w:val="1"/>
          <w:numId w:val="17"/>
        </w:numPr>
        <w:rPr>
          <w:lang w:val="es-ES"/>
        </w:rPr>
      </w:pPr>
      <w:bookmarkStart w:id="54" w:name="_Toc516146023"/>
      <w:r w:rsidRPr="00411146">
        <w:rPr>
          <w:lang w:val="es-ES"/>
        </w:rPr>
        <w:t>Productos de iluminación incluidas en el anteproyecto</w:t>
      </w:r>
      <w:bookmarkEnd w:id="54"/>
    </w:p>
    <w:p w14:paraId="30D84FE5" w14:textId="27B66257" w:rsidR="00842463" w:rsidRDefault="001A5987" w:rsidP="00EA4CB5">
      <w:pPr>
        <w:spacing w:before="0" w:after="140"/>
        <w:rPr>
          <w:lang w:val="es-ES"/>
        </w:rPr>
      </w:pPr>
      <w:r>
        <w:rPr>
          <w:lang w:val="es-ES"/>
        </w:rPr>
        <w:t xml:space="preserve">El alcance del borrador del Anteproyecto NT/RT </w:t>
      </w:r>
      <w:r w:rsidR="00425616">
        <w:rPr>
          <w:lang w:val="es-ES"/>
        </w:rPr>
        <w:t xml:space="preserve">declarado </w:t>
      </w:r>
      <w:r>
        <w:rPr>
          <w:lang w:val="es-ES"/>
        </w:rPr>
        <w:t>es idéntico al alcance de la NOM-028-ENER-2010, es decir que incluye lámparas incandescentes, incandescentes con h</w:t>
      </w:r>
      <w:r w:rsidR="0064021D">
        <w:rPr>
          <w:lang w:val="es-ES"/>
        </w:rPr>
        <w:t>a</w:t>
      </w:r>
      <w:r>
        <w:rPr>
          <w:lang w:val="es-ES"/>
        </w:rPr>
        <w:t>l</w:t>
      </w:r>
      <w:r w:rsidR="0064021D">
        <w:rPr>
          <w:lang w:val="es-ES"/>
        </w:rPr>
        <w:t>ó</w:t>
      </w:r>
      <w:r>
        <w:rPr>
          <w:lang w:val="es-ES"/>
        </w:rPr>
        <w:t>genos</w:t>
      </w:r>
      <w:r w:rsidR="0064021D">
        <w:rPr>
          <w:lang w:val="es-ES"/>
        </w:rPr>
        <w:t xml:space="preserve">, LFC, lámparas fluorescentes lineales y lámparas de descarga de alta intensidad y luz mixta. Por consiguiente, no incluye lámparas LED integradas, ni luminarios </w:t>
      </w:r>
      <w:r w:rsidR="0064021D" w:rsidRPr="0064021D">
        <w:rPr>
          <w:lang w:val="es-ES"/>
        </w:rPr>
        <w:t xml:space="preserve">con elementos de iluminación LED </w:t>
      </w:r>
      <w:r w:rsidR="0064021D" w:rsidRPr="005030E1">
        <w:rPr>
          <w:strike/>
          <w:color w:val="FF0000"/>
          <w:lang w:val="es-ES"/>
        </w:rPr>
        <w:t>destinados a vialidades y áreas exteriores públicas</w:t>
      </w:r>
      <w:r w:rsidR="0064021D">
        <w:rPr>
          <w:lang w:val="es-ES"/>
        </w:rPr>
        <w:t>.</w:t>
      </w:r>
    </w:p>
    <w:p w14:paraId="1F5EF579" w14:textId="1AE76180" w:rsidR="0064021D" w:rsidRDefault="0064021D" w:rsidP="00A77182">
      <w:pPr>
        <w:spacing w:before="0" w:after="140"/>
        <w:rPr>
          <w:lang w:val="es-ES"/>
        </w:rPr>
      </w:pPr>
      <w:r>
        <w:rPr>
          <w:lang w:val="es-ES"/>
        </w:rPr>
        <w:t xml:space="preserve">La lista de excepciones </w:t>
      </w:r>
      <w:r w:rsidR="00D63100">
        <w:rPr>
          <w:lang w:val="es-ES"/>
        </w:rPr>
        <w:t>corresponde también a la NOM-028-ENER-2010. Se trata de lámparas para aplicaciones específicas, así como lámparas de descarga de alta intensidad que no se aplican para alumbrado exterior.</w:t>
      </w:r>
      <w:r w:rsidR="00A77182">
        <w:rPr>
          <w:rStyle w:val="FootnoteReference"/>
        </w:rPr>
        <w:footnoteReference w:id="85"/>
      </w:r>
      <w:r w:rsidR="00D63100">
        <w:rPr>
          <w:lang w:val="es-ES"/>
        </w:rPr>
        <w:t xml:space="preserve">  </w:t>
      </w:r>
      <w:r w:rsidR="00A77182">
        <w:rPr>
          <w:lang w:val="es-ES"/>
        </w:rPr>
        <w:t>Ello significa que el alcance incluye lámparas de descarga de alta intensidad aptas par</w:t>
      </w:r>
      <w:r w:rsidR="009373FB">
        <w:rPr>
          <w:lang w:val="es-ES"/>
        </w:rPr>
        <w:t>a</w:t>
      </w:r>
      <w:r w:rsidR="00A77182">
        <w:rPr>
          <w:lang w:val="es-ES"/>
        </w:rPr>
        <w:t xml:space="preserve"> alumbrado exterior (lámparas de vapor de mercurio</w:t>
      </w:r>
      <w:r w:rsidR="00B12B02">
        <w:rPr>
          <w:lang w:val="es-ES"/>
        </w:rPr>
        <w:t xml:space="preserve"> a alta presión</w:t>
      </w:r>
      <w:r w:rsidR="00A77182">
        <w:rPr>
          <w:lang w:val="es-ES"/>
        </w:rPr>
        <w:t xml:space="preserve">, lámparas </w:t>
      </w:r>
      <w:r w:rsidR="00A77182" w:rsidRPr="00A77182">
        <w:rPr>
          <w:lang w:val="es-ES"/>
        </w:rPr>
        <w:t xml:space="preserve">de halogenuros metálicos, lámparas de sodio </w:t>
      </w:r>
      <w:r w:rsidR="002D0124">
        <w:rPr>
          <w:lang w:val="es-ES"/>
        </w:rPr>
        <w:t>a</w:t>
      </w:r>
      <w:r w:rsidR="00A77182" w:rsidRPr="00A77182">
        <w:rPr>
          <w:lang w:val="es-ES"/>
        </w:rPr>
        <w:t xml:space="preserve"> alta presión</w:t>
      </w:r>
      <w:r w:rsidR="00A77182">
        <w:rPr>
          <w:lang w:val="es-ES"/>
        </w:rPr>
        <w:t xml:space="preserve">). Como ya mencionado, no están incluidas luminarios con elementos LED </w:t>
      </w:r>
      <w:r w:rsidR="00A77182" w:rsidRPr="005030E1">
        <w:rPr>
          <w:strike/>
          <w:color w:val="FF0000"/>
          <w:lang w:val="es-ES"/>
        </w:rPr>
        <w:t>para alumbrado exterior</w:t>
      </w:r>
      <w:r w:rsidR="00A77182">
        <w:rPr>
          <w:lang w:val="es-ES"/>
        </w:rPr>
        <w:t>.</w:t>
      </w:r>
    </w:p>
    <w:p w14:paraId="668BAD71" w14:textId="1CBD334A" w:rsidR="00A77182" w:rsidRDefault="00A77182" w:rsidP="00A77182">
      <w:pPr>
        <w:spacing w:before="0" w:after="140"/>
        <w:rPr>
          <w:lang w:val="es-ES"/>
        </w:rPr>
      </w:pPr>
      <w:r>
        <w:rPr>
          <w:lang w:val="es-ES"/>
        </w:rPr>
        <w:t>Como referencias se mencionan las normas mexicanas NOM-028-ENER-2010 y NOM-</w:t>
      </w:r>
      <w:r w:rsidR="003666CB">
        <w:rPr>
          <w:lang w:val="es-ES"/>
        </w:rPr>
        <w:t>017-</w:t>
      </w:r>
      <w:r>
        <w:rPr>
          <w:lang w:val="es-ES"/>
        </w:rPr>
        <w:t xml:space="preserve">ENER/SCFI-2012. </w:t>
      </w:r>
      <w:r w:rsidR="003F798B">
        <w:rPr>
          <w:lang w:val="es-ES"/>
        </w:rPr>
        <w:t xml:space="preserve">Parece sin embargo, que se consultó también el proyecto de norma </w:t>
      </w:r>
      <w:r w:rsidR="003F798B" w:rsidRPr="00331B83">
        <w:rPr>
          <w:lang w:val="es-ES"/>
        </w:rPr>
        <w:t>PROY-NOM-028-ENER-2017</w:t>
      </w:r>
      <w:r w:rsidR="003F798B">
        <w:rPr>
          <w:lang w:val="es-ES"/>
        </w:rPr>
        <w:t>.</w:t>
      </w:r>
      <w:r>
        <w:rPr>
          <w:lang w:val="es-ES"/>
        </w:rPr>
        <w:t xml:space="preserve"> </w:t>
      </w:r>
    </w:p>
    <w:p w14:paraId="138348A3" w14:textId="14CB6711" w:rsidR="00E83EFB" w:rsidRPr="00A77182" w:rsidRDefault="00E83EFB" w:rsidP="00A77182">
      <w:pPr>
        <w:spacing w:before="0" w:after="140"/>
        <w:rPr>
          <w:lang w:val="es-ES"/>
        </w:rPr>
      </w:pPr>
      <w:r>
        <w:rPr>
          <w:lang w:val="es-ES"/>
        </w:rPr>
        <w:t>Las definiciones se orientan a las de la NOM-028-ENER-2010. Sin embargo, par</w:t>
      </w:r>
      <w:r w:rsidR="00425616">
        <w:rPr>
          <w:lang w:val="es-ES"/>
        </w:rPr>
        <w:t>e</w:t>
      </w:r>
      <w:r>
        <w:rPr>
          <w:lang w:val="es-ES"/>
        </w:rPr>
        <w:t>ce que se borraron las definiciones para lámparas de vapor de mercurio</w:t>
      </w:r>
      <w:r w:rsidR="00B12B02">
        <w:rPr>
          <w:lang w:val="es-ES"/>
        </w:rPr>
        <w:t xml:space="preserve"> a alta presión</w:t>
      </w:r>
      <w:r>
        <w:rPr>
          <w:lang w:val="es-ES"/>
        </w:rPr>
        <w:t xml:space="preserve">, lámparas de vapor de sodio </w:t>
      </w:r>
      <w:r w:rsidR="002D0124">
        <w:rPr>
          <w:lang w:val="es-ES"/>
        </w:rPr>
        <w:t>a</w:t>
      </w:r>
      <w:r>
        <w:rPr>
          <w:lang w:val="es-ES"/>
        </w:rPr>
        <w:t xml:space="preserve"> alta presión, además de la definición genérica de la lámpara incandescente con halógenos (mientras que se mantienen las definiciones para lámparas incandescentes e </w:t>
      </w:r>
      <w:r>
        <w:rPr>
          <w:lang w:val="es-ES"/>
        </w:rPr>
        <w:lastRenderedPageBreak/>
        <w:t>incandescentes con halógenos de espectro general y de espectro modificado).</w:t>
      </w:r>
      <w:r w:rsidR="00533A70">
        <w:rPr>
          <w:lang w:val="es-ES"/>
        </w:rPr>
        <w:t xml:space="preserve"> Como se puede apreciar del comentario respectivo en el documento, se está considerando la elaboración de una NT/RT separada para alumbrado público. </w:t>
      </w:r>
      <w:r w:rsidR="00331B83">
        <w:rPr>
          <w:lang w:val="es-ES"/>
        </w:rPr>
        <w:t>De acuerdo al comentario recibido de la SNE, es debido a que la entendid competente para el alumbrado público es la Autoridad de los Servicios Públicos (ASEP)</w:t>
      </w:r>
      <w:r w:rsidR="00024599">
        <w:rPr>
          <w:lang w:val="es-ES"/>
        </w:rPr>
        <w:t xml:space="preserve">, que emite </w:t>
      </w:r>
      <w:r w:rsidR="00024599" w:rsidRPr="00024599">
        <w:rPr>
          <w:lang w:val="es-ES"/>
        </w:rPr>
        <w:t xml:space="preserve">el </w:t>
      </w:r>
      <w:r w:rsidR="00024599">
        <w:rPr>
          <w:lang w:val="es-ES"/>
        </w:rPr>
        <w:t>R</w:t>
      </w:r>
      <w:r w:rsidR="00024599" w:rsidRPr="00024599">
        <w:rPr>
          <w:lang w:val="es-ES"/>
        </w:rPr>
        <w:t xml:space="preserve">eglamento de Distribución y Comercialización, el cual incluye las </w:t>
      </w:r>
      <w:r w:rsidR="00B33437">
        <w:rPr>
          <w:lang w:val="es-ES"/>
        </w:rPr>
        <w:t>“</w:t>
      </w:r>
      <w:r w:rsidR="00024599" w:rsidRPr="00024599">
        <w:rPr>
          <w:lang w:val="es-ES"/>
        </w:rPr>
        <w:t>Normas de Alumbrado Público</w:t>
      </w:r>
      <w:r w:rsidR="00B33437">
        <w:rPr>
          <w:lang w:val="es-ES"/>
        </w:rPr>
        <w:t xml:space="preserve"> para Calles, Avenidas y otros de Uso Público”</w:t>
      </w:r>
      <w:r w:rsidR="00B33437">
        <w:rPr>
          <w:rStyle w:val="FootnoteReference"/>
        </w:rPr>
        <w:footnoteReference w:id="86"/>
      </w:r>
      <w:r w:rsidR="00B33437">
        <w:rPr>
          <w:lang w:val="es-ES"/>
        </w:rPr>
        <w:t xml:space="preserve">. Estas normas incluyen estipulaciones con respecto a los niveles de iluminación en las vialidades, la eficiencia energética en la operación de las </w:t>
      </w:r>
      <w:r w:rsidR="00B33437" w:rsidRPr="00355CC2">
        <w:rPr>
          <w:i/>
          <w:lang w:val="es-ES"/>
        </w:rPr>
        <w:t>luminarias</w:t>
      </w:r>
      <w:r w:rsidR="00B33437">
        <w:rPr>
          <w:lang w:val="es-ES"/>
        </w:rPr>
        <w:t xml:space="preserve"> y del sistema de alumbrado público, su mantenimiento, etc.</w:t>
      </w:r>
      <w:r w:rsidR="008D6F45">
        <w:rPr>
          <w:rStyle w:val="FootnoteReference"/>
        </w:rPr>
        <w:footnoteReference w:id="87"/>
      </w:r>
      <w:r w:rsidR="00024599" w:rsidRPr="00024599">
        <w:rPr>
          <w:lang w:val="es-ES"/>
        </w:rPr>
        <w:t xml:space="preserve"> </w:t>
      </w:r>
      <w:r w:rsidR="001533C1">
        <w:rPr>
          <w:lang w:val="es-ES"/>
        </w:rPr>
        <w:t xml:space="preserve">De acuerdo al comenario recibido, la SNE está considerando estudiar la posibilidad que la AESP emite y/o aplique normas de desempeño energético mínimo para </w:t>
      </w:r>
      <w:r w:rsidR="001533C1" w:rsidRPr="00355CC2">
        <w:rPr>
          <w:i/>
          <w:lang w:val="es-ES"/>
        </w:rPr>
        <w:t>lámparas</w:t>
      </w:r>
      <w:r w:rsidR="001533C1">
        <w:rPr>
          <w:lang w:val="es-ES"/>
        </w:rPr>
        <w:t xml:space="preserve"> de descarga </w:t>
      </w:r>
      <w:r w:rsidR="005E6430">
        <w:rPr>
          <w:lang w:val="es-ES"/>
        </w:rPr>
        <w:t>de</w:t>
      </w:r>
      <w:r w:rsidR="001533C1">
        <w:rPr>
          <w:lang w:val="es-ES"/>
        </w:rPr>
        <w:t xml:space="preserve"> alta intensidad, para alumbrado público, de acuerdo a los valores límites establecidos por la SNE y el CGIEE.</w:t>
      </w:r>
      <w:r w:rsidR="00533A70">
        <w:rPr>
          <w:lang w:val="es-ES"/>
        </w:rPr>
        <w:t>.</w:t>
      </w:r>
      <w:r>
        <w:rPr>
          <w:lang w:val="es-ES"/>
        </w:rPr>
        <w:t xml:space="preserve"> </w:t>
      </w:r>
    </w:p>
    <w:p w14:paraId="62844F75" w14:textId="77777777" w:rsidR="00A66F24" w:rsidRPr="00A66F24" w:rsidRDefault="00A66F24" w:rsidP="001404E7">
      <w:pPr>
        <w:pStyle w:val="Heading2"/>
        <w:numPr>
          <w:ilvl w:val="1"/>
          <w:numId w:val="17"/>
        </w:numPr>
        <w:rPr>
          <w:lang w:val="es-ES"/>
        </w:rPr>
      </w:pPr>
      <w:bookmarkStart w:id="55" w:name="_Toc516146024"/>
      <w:r w:rsidRPr="00A66F24">
        <w:rPr>
          <w:lang w:val="es-ES"/>
        </w:rPr>
        <w:t>Índices de desempeño energético mínimo</w:t>
      </w:r>
      <w:bookmarkEnd w:id="55"/>
    </w:p>
    <w:p w14:paraId="1D89AAAA" w14:textId="5A3DADF2" w:rsidR="00A66F24" w:rsidRDefault="00A66F24" w:rsidP="00A66F24">
      <w:pPr>
        <w:spacing w:before="0" w:after="140"/>
        <w:rPr>
          <w:rFonts w:cs="Calibri"/>
          <w:lang w:val="es-ES"/>
        </w:rPr>
      </w:pPr>
      <w:r>
        <w:rPr>
          <w:lang w:val="es-ES"/>
        </w:rPr>
        <w:t>Los valores de eficacia mínima para lámparas incandescentes, incandescentes con halógenos de espectro general y espectro m</w:t>
      </w:r>
      <w:r w:rsidR="00C45A4C">
        <w:rPr>
          <w:lang w:val="es-ES"/>
        </w:rPr>
        <w:t>odificado (tabla 1 del borrador del Anteproyecto)</w:t>
      </w:r>
      <w:r>
        <w:rPr>
          <w:lang w:val="es-ES"/>
        </w:rPr>
        <w:t xml:space="preserve"> parece una elaboración propia en base de los valores límites incluidas en el PROY-NOM-028-ENER-2017 (aplicando el futuro límite de 60 lm/W para lámparas con flujo luminoso &gt; 787 lm y valor</w:t>
      </w:r>
      <w:r w:rsidR="000F48C6">
        <w:rPr>
          <w:lang w:val="es-ES"/>
        </w:rPr>
        <w:t>es</w:t>
      </w:r>
      <w:r>
        <w:rPr>
          <w:lang w:val="es-ES"/>
        </w:rPr>
        <w:t xml:space="preserve"> de</w:t>
      </w:r>
      <w:r w:rsidR="000F48C6">
        <w:rPr>
          <w:lang w:val="es-ES"/>
        </w:rPr>
        <w:t xml:space="preserve"> 17,44 lm/W </w:t>
      </w:r>
      <w:r w:rsidR="000F48C6" w:rsidRPr="000F48C6">
        <w:rPr>
          <w:lang w:val="es-ES"/>
        </w:rPr>
        <w:t xml:space="preserve">para lámparas con flujo luminoso entre 562 y 787 lm y de </w:t>
      </w:r>
      <w:r>
        <w:rPr>
          <w:lang w:val="es-ES"/>
        </w:rPr>
        <w:t xml:space="preserve">14 lm/W para lámparas de flujo luminoso </w:t>
      </w:r>
      <w:r>
        <w:rPr>
          <w:rFonts w:cs="Calibri"/>
          <w:lang w:val="es-ES"/>
        </w:rPr>
        <w:t>≤ 562 lm. Mientras que el valor de 60 lm/W</w:t>
      </w:r>
      <w:r>
        <w:rPr>
          <w:rStyle w:val="FootnoteReference"/>
          <w:rFonts w:cs="Calibri"/>
        </w:rPr>
        <w:footnoteReference w:id="88"/>
      </w:r>
      <w:r>
        <w:rPr>
          <w:rFonts w:cs="Calibri"/>
          <w:lang w:val="es-ES"/>
        </w:rPr>
        <w:t xml:space="preserve"> corresponde a los valores mínimos previstos en el PROY-NOM-028-ENER-2017 para 2019, los demás valores corresponden a valores límites muy bajos, que resultarían en la permanecía de lámparas incandescentes de hasta 60 W en el mercado.</w:t>
      </w:r>
    </w:p>
    <w:p w14:paraId="4564F35B" w14:textId="6311200B" w:rsidR="00A66F24" w:rsidRDefault="00A66F24" w:rsidP="00A66F24">
      <w:pPr>
        <w:spacing w:before="0" w:after="140"/>
        <w:rPr>
          <w:rFonts w:cs="Calibri"/>
          <w:lang w:val="es-ES"/>
        </w:rPr>
      </w:pPr>
      <w:r>
        <w:rPr>
          <w:rFonts w:cs="Calibri"/>
          <w:lang w:val="es-ES"/>
        </w:rPr>
        <w:t>De otra parte, los valores mínimos de eficacia propuestos para lámparas fluorescentes compactas autobalastradas corresponden a los límites de la NOM-017-ENER/SCFI-2012 (para LFC sin envolvente) y los valores correspondientes para lámparas incandescentes, incandescentes con halógenos y LFC autobalastradas</w:t>
      </w:r>
      <w:r w:rsidR="00425616">
        <w:rPr>
          <w:rFonts w:cs="Calibri"/>
          <w:lang w:val="es-ES"/>
        </w:rPr>
        <w:t xml:space="preserve"> de la NOM-028-ENER-2010</w:t>
      </w:r>
      <w:r>
        <w:rPr>
          <w:rFonts w:cs="Calibri"/>
          <w:lang w:val="es-ES"/>
        </w:rPr>
        <w:t xml:space="preserve">. Ello significa que las LFC permanecerían en el mercado. </w:t>
      </w:r>
    </w:p>
    <w:p w14:paraId="4CD8BB5B" w14:textId="3FB2D3BE" w:rsidR="00A66F24" w:rsidRDefault="00A66F24" w:rsidP="00A66F24">
      <w:pPr>
        <w:spacing w:before="0" w:after="140"/>
        <w:rPr>
          <w:rFonts w:cs="Calibri"/>
          <w:lang w:val="es-ES"/>
        </w:rPr>
      </w:pPr>
      <w:r>
        <w:rPr>
          <w:rFonts w:cs="Calibri"/>
          <w:lang w:val="es-ES"/>
        </w:rPr>
        <w:t>Los valores de eficacia mínima para lámparas fluorescentes (lineales) de diámetro mayor o igual a 25mm (T8) son idénticos a los valores de la NOM-028-ENER-2010 (y de PROY-NOM-028-ENER-2017). Está incluido también el requisito de Índice de Rendimiento de Color mínimo de 80</w:t>
      </w:r>
      <w:r w:rsidR="0041608D">
        <w:rPr>
          <w:rFonts w:cs="Calibri"/>
          <w:lang w:val="es-ES"/>
        </w:rPr>
        <w:t xml:space="preserve"> Ra</w:t>
      </w:r>
      <w:r>
        <w:rPr>
          <w:rFonts w:cs="Calibri"/>
          <w:lang w:val="es-ES"/>
        </w:rPr>
        <w:t>. La tabla con los valores límites para lámparas fluorescentes lineales de diámetro mayor a 15 mm y menor a 25 mm (T5) es invisible en el documento disponible, sin embargo</w:t>
      </w:r>
      <w:r w:rsidR="00CF7C2F">
        <w:rPr>
          <w:rFonts w:cs="Calibri"/>
          <w:lang w:val="es-ES"/>
        </w:rPr>
        <w:t>,</w:t>
      </w:r>
      <w:r>
        <w:rPr>
          <w:rFonts w:cs="Calibri"/>
          <w:lang w:val="es-ES"/>
        </w:rPr>
        <w:t xml:space="preserve"> se supone que </w:t>
      </w:r>
      <w:r>
        <w:rPr>
          <w:rFonts w:cs="Calibri"/>
          <w:lang w:val="es-ES"/>
        </w:rPr>
        <w:lastRenderedPageBreak/>
        <w:t xml:space="preserve">corresponde a los valores mínimos incluidos en la NOM-028-ENER-2010 (y PROY-NOM-028-ENER-2017). </w:t>
      </w:r>
    </w:p>
    <w:p w14:paraId="31986EF9" w14:textId="612A841A" w:rsidR="00A66F24" w:rsidRDefault="00A66F24" w:rsidP="00A66F24">
      <w:pPr>
        <w:spacing w:before="0" w:after="140"/>
        <w:rPr>
          <w:rFonts w:cs="Calibri"/>
          <w:lang w:val="es-ES"/>
        </w:rPr>
      </w:pPr>
      <w:r>
        <w:rPr>
          <w:rFonts w:cs="Calibri"/>
          <w:lang w:val="es-ES"/>
        </w:rPr>
        <w:t xml:space="preserve">Para lámparas de </w:t>
      </w:r>
      <w:r w:rsidRPr="009D795C">
        <w:rPr>
          <w:rFonts w:cs="Calibri"/>
          <w:lang w:val="es-ES"/>
        </w:rPr>
        <w:t>descarga de alta intensidad</w:t>
      </w:r>
      <w:r>
        <w:rPr>
          <w:rFonts w:cs="Calibri"/>
          <w:lang w:val="es-ES"/>
        </w:rPr>
        <w:t xml:space="preserve"> y luz mixta se proponen valores de eficacia mínima de 75 lm/W para lámparas con potencia ≤ 100 W y 90 lm/W para lámparas con potencia &gt; 100 W. Estos límites son más ambiciosos que los limites correspondientes en la NOM-028-ENER-2010 (y PROY-NOM-028-ENER-2017), y eliminarían las lámparas de vapor de mercurio</w:t>
      </w:r>
      <w:r w:rsidR="00B12B02">
        <w:rPr>
          <w:rFonts w:cs="Calibri"/>
          <w:lang w:val="es-ES"/>
        </w:rPr>
        <w:t xml:space="preserve"> a alta presión</w:t>
      </w:r>
      <w:r>
        <w:rPr>
          <w:rFonts w:cs="Calibri"/>
          <w:lang w:val="es-ES"/>
        </w:rPr>
        <w:t xml:space="preserve"> y los modelos menos eficientes de las lámparas </w:t>
      </w:r>
      <w:r w:rsidRPr="00A66F24">
        <w:rPr>
          <w:rFonts w:cs="Calibri"/>
          <w:lang w:val="es-ES"/>
        </w:rPr>
        <w:t xml:space="preserve">de halogenuros metálicos </w:t>
      </w:r>
      <w:r>
        <w:rPr>
          <w:rFonts w:cs="Calibri"/>
          <w:lang w:val="es-ES"/>
        </w:rPr>
        <w:t>del mercado.</w:t>
      </w:r>
    </w:p>
    <w:p w14:paraId="15F15EFE" w14:textId="70F73907" w:rsidR="004A5371" w:rsidRPr="009D795C" w:rsidRDefault="004A5371" w:rsidP="00A66F24">
      <w:pPr>
        <w:spacing w:before="0" w:after="140"/>
        <w:rPr>
          <w:rFonts w:cs="Calibri"/>
          <w:lang w:val="es-ES"/>
        </w:rPr>
      </w:pPr>
      <w:r>
        <w:rPr>
          <w:rFonts w:cs="Calibri"/>
          <w:lang w:val="es-ES"/>
        </w:rPr>
        <w:t>En la Acta de Reunión Ordinaria N</w:t>
      </w:r>
      <w:r w:rsidRPr="004A5371">
        <w:rPr>
          <w:rFonts w:cs="Calibri"/>
          <w:vertAlign w:val="superscript"/>
          <w:lang w:val="es-ES"/>
        </w:rPr>
        <w:t>o</w:t>
      </w:r>
      <w:r>
        <w:rPr>
          <w:rFonts w:cs="Calibri"/>
          <w:lang w:val="es-ES"/>
        </w:rPr>
        <w:t xml:space="preserve"> 3-17 Extendida del Comité Gestor de Índices para la Eficiencia Energética (CGIEE) del 22 y 23 de junio de 2017 (proporcionado por la SNE el 9 de abril de 2018), se mencionan también límites de eficacia luminosa mínimos para lámparas LED de uso general</w:t>
      </w:r>
      <w:r w:rsidR="00D8528F">
        <w:rPr>
          <w:rFonts w:cs="Calibri"/>
          <w:lang w:val="es-ES"/>
        </w:rPr>
        <w:t xml:space="preserve"> entre</w:t>
      </w:r>
      <w:r>
        <w:rPr>
          <w:rFonts w:cs="Calibri"/>
          <w:lang w:val="es-ES"/>
        </w:rPr>
        <w:t xml:space="preserve"> 61 y 70 lm/W.</w:t>
      </w:r>
      <w:r>
        <w:rPr>
          <w:rStyle w:val="FootnoteReference"/>
          <w:rFonts w:cs="Calibri"/>
        </w:rPr>
        <w:footnoteReference w:id="89"/>
      </w:r>
    </w:p>
    <w:p w14:paraId="1F1BF075" w14:textId="2D867B22" w:rsidR="00AF4355" w:rsidRPr="00411146" w:rsidRDefault="00755908" w:rsidP="001404E7">
      <w:pPr>
        <w:pStyle w:val="Heading2"/>
        <w:numPr>
          <w:ilvl w:val="1"/>
          <w:numId w:val="17"/>
        </w:numPr>
        <w:rPr>
          <w:lang w:val="es-ES"/>
        </w:rPr>
      </w:pPr>
      <w:bookmarkStart w:id="56" w:name="_Toc516146025"/>
      <w:r w:rsidRPr="00411146">
        <w:rPr>
          <w:lang w:val="es-ES"/>
        </w:rPr>
        <w:t>Métodos de prueba</w:t>
      </w:r>
      <w:bookmarkEnd w:id="56"/>
    </w:p>
    <w:p w14:paraId="3DDACD88" w14:textId="77777777" w:rsidR="00075728" w:rsidRDefault="00075728" w:rsidP="00E437B9">
      <w:pPr>
        <w:spacing w:before="0" w:after="140"/>
        <w:rPr>
          <w:lang w:val="es-ES"/>
        </w:rPr>
      </w:pPr>
      <w:r>
        <w:rPr>
          <w:lang w:val="es-ES"/>
        </w:rPr>
        <w:t>En el numeral 7 del borrador del Anteproyecto de NT/RT se menciona:</w:t>
      </w:r>
    </w:p>
    <w:p w14:paraId="6253CFD5" w14:textId="2187F748" w:rsidR="00075728" w:rsidRPr="00075728" w:rsidRDefault="00075728" w:rsidP="00075728">
      <w:pPr>
        <w:rPr>
          <w:lang w:val="es-ES"/>
        </w:rPr>
      </w:pPr>
      <w:r>
        <w:rPr>
          <w:lang w:val="es-ES"/>
        </w:rPr>
        <w:t>"</w:t>
      </w:r>
      <w:r w:rsidRPr="00075728">
        <w:rPr>
          <w:lang w:val="es-ES"/>
        </w:rPr>
        <w:t>Colocar referencias de métodos de prueba ANSI, IEC. (60081 fluorescentes lineales; IEC60901 lámparas fluorescentes compactas con un casquillo; IEC 60969 lámparas fluorescentes compactas integradas).</w:t>
      </w:r>
      <w:r>
        <w:rPr>
          <w:lang w:val="es-ES"/>
        </w:rPr>
        <w:t xml:space="preserve"> </w:t>
      </w:r>
      <w:r w:rsidRPr="00075728">
        <w:rPr>
          <w:lang w:val="es-ES"/>
        </w:rPr>
        <w:t>LED IEC62612 lámparas integradas LED",</w:t>
      </w:r>
    </w:p>
    <w:p w14:paraId="782657A7" w14:textId="46F3441C" w:rsidR="00075728" w:rsidRDefault="00075728" w:rsidP="00075728">
      <w:pPr>
        <w:rPr>
          <w:lang w:val="es-ES"/>
        </w:rPr>
      </w:pPr>
      <w:r w:rsidRPr="00075728">
        <w:rPr>
          <w:lang w:val="es-ES"/>
        </w:rPr>
        <w:t>mientras que en el Anexo A (Norma</w:t>
      </w:r>
      <w:r>
        <w:rPr>
          <w:lang w:val="es-ES"/>
        </w:rPr>
        <w:t>tiv</w:t>
      </w:r>
      <w:r w:rsidR="00BA7B8D">
        <w:rPr>
          <w:lang w:val="es-ES"/>
        </w:rPr>
        <w:t>o</w:t>
      </w:r>
      <w:r>
        <w:rPr>
          <w:lang w:val="es-ES"/>
        </w:rPr>
        <w:t>) se incluye una copia del mismo Anexo de la NOM-028-ENER-2010 (y PROY-NOM-028-ENER-2017): "Condiciones generales para las pruebas eléctricas y de Temperatura de color correlacionada para lámparas de luz mixta</w:t>
      </w:r>
      <w:r w:rsidR="00553D3A">
        <w:rPr>
          <w:lang w:val="es-ES"/>
        </w:rPr>
        <w:t>"</w:t>
      </w:r>
      <w:r w:rsidR="00C50BDB">
        <w:rPr>
          <w:rStyle w:val="FootnoteReference"/>
        </w:rPr>
        <w:footnoteReference w:id="90"/>
      </w:r>
      <w:r w:rsidR="00553D3A">
        <w:rPr>
          <w:lang w:val="es-ES"/>
        </w:rPr>
        <w:t>, además del Anexo B (Informativo): "Dimensiones de las lámparas fluorescentes".</w:t>
      </w:r>
    </w:p>
    <w:p w14:paraId="2FD205A7" w14:textId="0B4714A7" w:rsidR="00553D3A" w:rsidRPr="00075728" w:rsidRDefault="00553D3A" w:rsidP="00075728">
      <w:pPr>
        <w:rPr>
          <w:lang w:val="es-ES"/>
        </w:rPr>
      </w:pPr>
      <w:r>
        <w:rPr>
          <w:lang w:val="es-ES"/>
        </w:rPr>
        <w:t xml:space="preserve">Ello significa, en la interpretación del consultor, que todavía no se ha </w:t>
      </w:r>
      <w:r w:rsidR="00CF7C2F">
        <w:rPr>
          <w:lang w:val="es-ES"/>
        </w:rPr>
        <w:t xml:space="preserve">tomado </w:t>
      </w:r>
      <w:r>
        <w:rPr>
          <w:lang w:val="es-ES"/>
        </w:rPr>
        <w:t xml:space="preserve">una decisión con respecto a los métodos de prueba a aplicar (de acuerdo a los métodos de prueba incluidas y referenciadas en la NOM-028-ENER-2010 y el </w:t>
      </w:r>
      <w:r w:rsidRPr="00BF7375">
        <w:rPr>
          <w:lang w:val="es-ES"/>
        </w:rPr>
        <w:t>PROY-NOM-028-ENER-2017</w:t>
      </w:r>
      <w:r>
        <w:rPr>
          <w:lang w:val="es-ES"/>
        </w:rPr>
        <w:t>, o los métodos de prueba incluidas en las normas internacionales IEC correspondientes).</w:t>
      </w:r>
      <w:r>
        <w:rPr>
          <w:rStyle w:val="FootnoteReference"/>
        </w:rPr>
        <w:footnoteReference w:id="91"/>
      </w:r>
    </w:p>
    <w:p w14:paraId="366FB385" w14:textId="2ED81216" w:rsidR="00D73D32" w:rsidRPr="00655AB9" w:rsidRDefault="00655AB9" w:rsidP="00573DCA">
      <w:pPr>
        <w:pStyle w:val="Heading2"/>
        <w:rPr>
          <w:lang w:val="es-ES"/>
        </w:rPr>
      </w:pPr>
      <w:bookmarkStart w:id="57" w:name="_Toc516146026"/>
      <w:r w:rsidRPr="00655AB9">
        <w:rPr>
          <w:lang w:val="es-ES"/>
        </w:rPr>
        <w:t>Grado de armonizaci</w:t>
      </w:r>
      <w:r>
        <w:rPr>
          <w:lang w:val="es-ES"/>
        </w:rPr>
        <w:t>ón y alineación con otras normas y reglamentos nacionales e internacionales</w:t>
      </w:r>
      <w:bookmarkEnd w:id="57"/>
    </w:p>
    <w:p w14:paraId="6D413925" w14:textId="47366CDB" w:rsidR="004205D7" w:rsidRDefault="00553D3A" w:rsidP="00E437B9">
      <w:pPr>
        <w:spacing w:before="0" w:after="140"/>
        <w:rPr>
          <w:lang w:val="es-ES"/>
        </w:rPr>
      </w:pPr>
      <w:r>
        <w:rPr>
          <w:lang w:val="es-ES"/>
        </w:rPr>
        <w:t xml:space="preserve">Como se menciona en el título del borrador del Anteproyecto de NT/RT, se </w:t>
      </w:r>
      <w:r w:rsidR="00A27A5E">
        <w:rPr>
          <w:lang w:val="es-ES"/>
        </w:rPr>
        <w:t>afirma</w:t>
      </w:r>
      <w:r>
        <w:rPr>
          <w:lang w:val="es-ES"/>
        </w:rPr>
        <w:t xml:space="preserve"> que la NT/RT debe tener</w:t>
      </w:r>
      <w:r w:rsidRPr="00553D3A">
        <w:rPr>
          <w:lang w:val="es-ES"/>
        </w:rPr>
        <w:t xml:space="preserve"> corresponde</w:t>
      </w:r>
      <w:r>
        <w:rPr>
          <w:lang w:val="es-ES"/>
        </w:rPr>
        <w:t>ncia</w:t>
      </w:r>
      <w:r w:rsidRPr="00553D3A">
        <w:rPr>
          <w:lang w:val="es-ES"/>
        </w:rPr>
        <w:t xml:space="preserve"> parcial a la Norma Oficial Mexicana NOM-028-ENER-2010</w:t>
      </w:r>
      <w:r w:rsidR="00A27A5E">
        <w:rPr>
          <w:lang w:val="es-ES"/>
        </w:rPr>
        <w:t>, incluidos límites de desempeño energético mínimo para LFC.</w:t>
      </w:r>
      <w:r w:rsidRPr="00553D3A">
        <w:rPr>
          <w:lang w:val="es-ES"/>
        </w:rPr>
        <w:t xml:space="preserve"> </w:t>
      </w:r>
      <w:r w:rsidR="00A27A5E">
        <w:rPr>
          <w:lang w:val="es-ES"/>
        </w:rPr>
        <w:t>Ello significaría una NT/RT válida para lámparas incandescentes, incandescentes con halógenos, LFC, lámparas fluorescentes y lámparas de descarga de alta intensidad, observando (en gran medida) los valores límites incluidos en la NOM-028-ENER-2010, PROY-NOM-028-ENER-2017 y NOM-017-ENER/SCFI-2012.</w:t>
      </w:r>
      <w:r w:rsidR="003D3F7C">
        <w:rPr>
          <w:rStyle w:val="FootnoteReference"/>
        </w:rPr>
        <w:footnoteReference w:id="92"/>
      </w:r>
      <w:r w:rsidR="00A27A5E">
        <w:rPr>
          <w:lang w:val="es-ES"/>
        </w:rPr>
        <w:t xml:space="preserve"> No incluirá valores límites para lámparas LED integrada</w:t>
      </w:r>
      <w:r w:rsidR="00E44370">
        <w:rPr>
          <w:lang w:val="es-ES"/>
        </w:rPr>
        <w:t>s y luminarios con elementos LED</w:t>
      </w:r>
      <w:r w:rsidR="00A27A5E">
        <w:rPr>
          <w:lang w:val="es-ES"/>
        </w:rPr>
        <w:t xml:space="preserve"> </w:t>
      </w:r>
      <w:r w:rsidR="00A27A5E" w:rsidRPr="005030E1">
        <w:rPr>
          <w:strike/>
          <w:color w:val="FF0000"/>
          <w:lang w:val="es-ES"/>
        </w:rPr>
        <w:t>para alumbrado exterior</w:t>
      </w:r>
      <w:r w:rsidR="00A27A5E">
        <w:rPr>
          <w:lang w:val="es-ES"/>
        </w:rPr>
        <w:t>. Además significar</w:t>
      </w:r>
      <w:r w:rsidR="00E44370">
        <w:rPr>
          <w:lang w:val="es-ES"/>
        </w:rPr>
        <w:t>ía</w:t>
      </w:r>
      <w:r w:rsidR="00A27A5E">
        <w:rPr>
          <w:lang w:val="es-ES"/>
        </w:rPr>
        <w:t xml:space="preserve"> aplicar </w:t>
      </w:r>
      <w:r w:rsidR="0077493E" w:rsidRPr="0077493E">
        <w:rPr>
          <w:lang w:val="es-ES"/>
        </w:rPr>
        <w:t>–</w:t>
      </w:r>
      <w:r w:rsidR="00A27A5E">
        <w:rPr>
          <w:lang w:val="es-ES"/>
        </w:rPr>
        <w:t xml:space="preserve"> con la excepción de lámparas fluorescentes lineales </w:t>
      </w:r>
      <w:r w:rsidR="0077493E">
        <w:rPr>
          <w:lang w:val="es-ES"/>
        </w:rPr>
        <w:t>y probablemente las lámparas de descarga de alta intensidad</w:t>
      </w:r>
      <w:r w:rsidR="0077493E">
        <w:rPr>
          <w:rStyle w:val="FootnoteReference"/>
        </w:rPr>
        <w:footnoteReference w:id="93"/>
      </w:r>
      <w:r w:rsidR="0077493E">
        <w:rPr>
          <w:lang w:val="es-ES"/>
        </w:rPr>
        <w:t xml:space="preserve"> </w:t>
      </w:r>
      <w:r w:rsidR="0077493E" w:rsidRPr="0077493E">
        <w:rPr>
          <w:lang w:val="es-ES"/>
        </w:rPr>
        <w:t>–</w:t>
      </w:r>
      <w:r w:rsidR="00A27A5E">
        <w:rPr>
          <w:lang w:val="es-ES"/>
        </w:rPr>
        <w:t xml:space="preserve"> límites de desempeño energético </w:t>
      </w:r>
      <w:r w:rsidR="0077493E">
        <w:rPr>
          <w:lang w:val="es-ES"/>
        </w:rPr>
        <w:t xml:space="preserve">poco exigentes, que prolongarán la permanencia en el mercado de </w:t>
      </w:r>
      <w:r w:rsidR="0077493E">
        <w:rPr>
          <w:lang w:val="es-ES"/>
        </w:rPr>
        <w:lastRenderedPageBreak/>
        <w:t xml:space="preserve">LFC y </w:t>
      </w:r>
      <w:r w:rsidR="0077493E" w:rsidRPr="0077493E">
        <w:rPr>
          <w:lang w:val="es-ES"/>
        </w:rPr>
        <w:t>–</w:t>
      </w:r>
      <w:r w:rsidR="0077493E">
        <w:rPr>
          <w:lang w:val="es-ES"/>
        </w:rPr>
        <w:t xml:space="preserve"> de acuerdo a la tabla 1 del borrador del Anteproyecto </w:t>
      </w:r>
      <w:r w:rsidR="0077493E" w:rsidRPr="0077493E">
        <w:rPr>
          <w:lang w:val="es-ES"/>
        </w:rPr>
        <w:t>–</w:t>
      </w:r>
      <w:r w:rsidR="0077493E">
        <w:rPr>
          <w:lang w:val="es-ES"/>
        </w:rPr>
        <w:t xml:space="preserve"> también de ciertos tipos de lámparas incandescentes e incandescentes con halógenos.</w:t>
      </w:r>
    </w:p>
    <w:p w14:paraId="7243F5B7" w14:textId="14D286D7" w:rsidR="0077493E" w:rsidRDefault="0077493E" w:rsidP="00E437B9">
      <w:pPr>
        <w:spacing w:before="0" w:after="140"/>
        <w:rPr>
          <w:lang w:val="es-ES"/>
        </w:rPr>
      </w:pPr>
      <w:r>
        <w:rPr>
          <w:lang w:val="es-ES"/>
        </w:rPr>
        <w:t xml:space="preserve">Como fue mencionado en la sección 2 de este informe, los reglamentos de desempeño energético mínimo para productos consumidores de energía constituyen un instrumento adecuado para lograr la transición de mercado hacia productos y tecnologías más eficiente. En este sentido es cuestionable de introducir a través de una NT/RT de eficiencia energética valores límites que no eliminan tecnologías ineficientes (como: lámparas incandescentes e incandescentes con halógenos, LFC y </w:t>
      </w:r>
      <w:r w:rsidR="005C5B46">
        <w:rPr>
          <w:lang w:val="es-ES"/>
        </w:rPr>
        <w:t>lámparas de vapor de mercurio</w:t>
      </w:r>
      <w:r w:rsidR="00B12B02">
        <w:rPr>
          <w:lang w:val="es-ES"/>
        </w:rPr>
        <w:t xml:space="preserve"> a alta presión</w:t>
      </w:r>
      <w:r w:rsidR="005C5B46">
        <w:rPr>
          <w:lang w:val="es-ES"/>
        </w:rPr>
        <w:t>) del mercado.</w:t>
      </w:r>
    </w:p>
    <w:p w14:paraId="37635F6B" w14:textId="2F84C167" w:rsidR="005C5B46" w:rsidRDefault="005C5B46" w:rsidP="00E437B9">
      <w:pPr>
        <w:spacing w:before="0" w:after="140"/>
        <w:rPr>
          <w:lang w:val="es-ES"/>
        </w:rPr>
      </w:pPr>
      <w:r>
        <w:rPr>
          <w:lang w:val="es-ES"/>
        </w:rPr>
        <w:t xml:space="preserve">Para lograr una transición de mercado efectiva, es aconsejable orientarse o por lo menos acercarse a límites de desempeño energético mínimos más ambiciosos, como por ejemplo los valores incluidos en los reglamentos existentes y el nuevo reglamento </w:t>
      </w:r>
      <w:r w:rsidR="00BA7B8D">
        <w:rPr>
          <w:lang w:val="es-ES"/>
        </w:rPr>
        <w:t xml:space="preserve">de diseño ecológico </w:t>
      </w:r>
      <w:r>
        <w:rPr>
          <w:lang w:val="es-ES"/>
        </w:rPr>
        <w:t xml:space="preserve">propuesto en la Unión Europea. </w:t>
      </w:r>
      <w:r w:rsidR="001E6465">
        <w:rPr>
          <w:lang w:val="es-ES"/>
        </w:rPr>
        <w:t xml:space="preserve">Ello significaría </w:t>
      </w:r>
      <w:r w:rsidR="00BA7B8D">
        <w:rPr>
          <w:lang w:val="es-ES"/>
        </w:rPr>
        <w:t xml:space="preserve">también que se debe tomar en consideración </w:t>
      </w:r>
      <w:r w:rsidR="001E6465">
        <w:rPr>
          <w:lang w:val="es-ES"/>
        </w:rPr>
        <w:t>de incluir lámparas LED (lámparas LED integradas y luminarios con elementos LED) en el alance de la NT/RT.</w:t>
      </w:r>
    </w:p>
    <w:p w14:paraId="2EACAAE7" w14:textId="6B4B68A3" w:rsidR="00E76761" w:rsidRDefault="00E76761" w:rsidP="00E437B9">
      <w:pPr>
        <w:spacing w:before="0" w:after="140"/>
        <w:rPr>
          <w:lang w:val="es-ES"/>
        </w:rPr>
      </w:pPr>
      <w:r>
        <w:rPr>
          <w:lang w:val="es-ES"/>
        </w:rPr>
        <w:t>Con respecto a los métodos de prueba, se debe tomar una decisión de orientarse alternativamente a los métodos de prueba de México o la</w:t>
      </w:r>
      <w:r w:rsidR="00BA7B8D">
        <w:rPr>
          <w:lang w:val="es-ES"/>
        </w:rPr>
        <w:t>s</w:t>
      </w:r>
      <w:r>
        <w:rPr>
          <w:lang w:val="es-ES"/>
        </w:rPr>
        <w:t xml:space="preserve"> normas internacionales IEC correspondientes.</w:t>
      </w:r>
      <w:r w:rsidR="003D3F7C">
        <w:rPr>
          <w:rStyle w:val="FootnoteReference"/>
        </w:rPr>
        <w:footnoteReference w:id="94"/>
      </w:r>
    </w:p>
    <w:p w14:paraId="15035404" w14:textId="779C5A05" w:rsidR="00D73D32" w:rsidRPr="00D73D32" w:rsidRDefault="00D73D32" w:rsidP="00573DCA">
      <w:pPr>
        <w:pStyle w:val="Heading2"/>
        <w:rPr>
          <w:lang w:val="es-ES"/>
        </w:rPr>
      </w:pPr>
      <w:bookmarkStart w:id="58" w:name="_Toc516146027"/>
      <w:r>
        <w:rPr>
          <w:lang w:val="es-ES"/>
        </w:rPr>
        <w:t>In</w:t>
      </w:r>
      <w:r w:rsidR="00655AB9">
        <w:rPr>
          <w:lang w:val="es-ES"/>
        </w:rPr>
        <w:t xml:space="preserve">tegridad técnica y </w:t>
      </w:r>
      <w:r w:rsidR="00E265A9">
        <w:rPr>
          <w:lang w:val="es-ES"/>
        </w:rPr>
        <w:t>editorial del anteproyecto</w:t>
      </w:r>
      <w:bookmarkEnd w:id="58"/>
    </w:p>
    <w:p w14:paraId="72A523AF" w14:textId="0EA5B61F" w:rsidR="001C59FC" w:rsidRDefault="00AB0F6C" w:rsidP="00E437B9">
      <w:pPr>
        <w:spacing w:before="0" w:after="140"/>
        <w:rPr>
          <w:lang w:val="es-ES"/>
        </w:rPr>
      </w:pPr>
      <w:r>
        <w:rPr>
          <w:lang w:val="es-ES"/>
        </w:rPr>
        <w:t>El borrador del Anteproyecto de NT/RT carece todavía de</w:t>
      </w:r>
      <w:r w:rsidR="00E76761">
        <w:rPr>
          <w:lang w:val="es-ES"/>
        </w:rPr>
        <w:t xml:space="preserve"> varias estipulaciones importantes, incluidos el etiquetado</w:t>
      </w:r>
      <w:r w:rsidR="00CA7574">
        <w:rPr>
          <w:lang w:val="es-ES"/>
        </w:rPr>
        <w:t xml:space="preserve">, </w:t>
      </w:r>
      <w:r w:rsidR="00E76761">
        <w:rPr>
          <w:lang w:val="es-ES"/>
        </w:rPr>
        <w:t>el muestreo, los criterios de aplicación</w:t>
      </w:r>
      <w:r w:rsidR="00CA7574">
        <w:rPr>
          <w:lang w:val="es-ES"/>
        </w:rPr>
        <w:t>, los procedimientos de evaluación de la conformidad, vigilancia y sanciones</w:t>
      </w:r>
      <w:r>
        <w:rPr>
          <w:lang w:val="es-ES"/>
        </w:rPr>
        <w:t>.</w:t>
      </w:r>
    </w:p>
    <w:p w14:paraId="1BB9A413" w14:textId="3C15055C" w:rsidR="00CA7574" w:rsidRDefault="00CA7574" w:rsidP="00CA7574">
      <w:pPr>
        <w:spacing w:before="0" w:after="140"/>
        <w:rPr>
          <w:lang w:val="es-ES"/>
        </w:rPr>
      </w:pPr>
      <w:r>
        <w:rPr>
          <w:lang w:val="es-ES"/>
        </w:rPr>
        <w:t xml:space="preserve">De importancia especial son los procedimientos de evaluación de la conformidad, que deben alinearse en la medida posible a los esquemas </w:t>
      </w:r>
      <w:r w:rsidRPr="00CA7574">
        <w:rPr>
          <w:lang w:val="es-ES"/>
        </w:rPr>
        <w:t xml:space="preserve">de evaluación incluidos en la norma </w:t>
      </w:r>
      <w:r>
        <w:rPr>
          <w:lang w:val="es-ES"/>
        </w:rPr>
        <w:t xml:space="preserve">internacional </w:t>
      </w:r>
      <w:r w:rsidRPr="00CA7574">
        <w:rPr>
          <w:lang w:val="es-ES"/>
        </w:rPr>
        <w:t>ISO/IEC 1706</w:t>
      </w:r>
      <w:r w:rsidR="00E84F8A">
        <w:rPr>
          <w:lang w:val="es-ES"/>
        </w:rPr>
        <w:t>7</w:t>
      </w:r>
      <w:r>
        <w:rPr>
          <w:lang w:val="es-ES"/>
        </w:rPr>
        <w:t>.</w:t>
      </w:r>
    </w:p>
    <w:p w14:paraId="7D7C6562" w14:textId="5376D1C8" w:rsidR="00CA7574" w:rsidRPr="00CA7574" w:rsidRDefault="00CA7574" w:rsidP="00CA7574">
      <w:pPr>
        <w:spacing w:before="0" w:after="140"/>
        <w:rPr>
          <w:lang w:val="es-ES"/>
        </w:rPr>
      </w:pPr>
      <w:r>
        <w:rPr>
          <w:lang w:val="es-ES"/>
        </w:rPr>
        <w:t xml:space="preserve">Tomando en consideración que el borrador del Anteproyecto NT/RT todavía se encuentra en una fase muy preliminar de redacción, se </w:t>
      </w:r>
      <w:r w:rsidR="0052345B">
        <w:rPr>
          <w:lang w:val="es-ES"/>
        </w:rPr>
        <w:t xml:space="preserve">deben </w:t>
      </w:r>
      <w:r>
        <w:rPr>
          <w:lang w:val="es-ES"/>
        </w:rPr>
        <w:t>reserva</w:t>
      </w:r>
      <w:r w:rsidR="0052345B">
        <w:rPr>
          <w:lang w:val="es-ES"/>
        </w:rPr>
        <w:t>r</w:t>
      </w:r>
      <w:r>
        <w:rPr>
          <w:lang w:val="es-ES"/>
        </w:rPr>
        <w:t xml:space="preserve"> los comentarios editoriales para </w:t>
      </w:r>
      <w:r w:rsidR="0052345B">
        <w:rPr>
          <w:lang w:val="es-ES"/>
        </w:rPr>
        <w:t>una</w:t>
      </w:r>
      <w:r>
        <w:rPr>
          <w:lang w:val="es-ES"/>
        </w:rPr>
        <w:t xml:space="preserve"> próxima versión del documento. </w:t>
      </w:r>
    </w:p>
    <w:p w14:paraId="517A8E41" w14:textId="00524D28" w:rsidR="00EB4623" w:rsidRDefault="00EB4623">
      <w:pPr>
        <w:suppressAutoHyphens w:val="0"/>
        <w:rPr>
          <w:lang w:val="es-ES"/>
        </w:rPr>
      </w:pPr>
      <w:r>
        <w:rPr>
          <w:lang w:val="es-ES"/>
        </w:rPr>
        <w:br w:type="page"/>
      </w:r>
    </w:p>
    <w:p w14:paraId="1C1057B9" w14:textId="527D83F7" w:rsidR="00EB4623" w:rsidRPr="00EB4623" w:rsidRDefault="00DE431E" w:rsidP="00EB4623">
      <w:pPr>
        <w:pStyle w:val="Heading1"/>
        <w:rPr>
          <w:lang w:val="es-ES"/>
        </w:rPr>
      </w:pPr>
      <w:bookmarkStart w:id="59" w:name="_Toc516146028"/>
      <w:r>
        <w:rPr>
          <w:lang w:val="es-ES"/>
        </w:rPr>
        <w:lastRenderedPageBreak/>
        <w:t>Propuestas y recomendaciones</w:t>
      </w:r>
      <w:bookmarkEnd w:id="59"/>
    </w:p>
    <w:p w14:paraId="43495100" w14:textId="49EB7410" w:rsidR="00EB1882" w:rsidRPr="00EB1882" w:rsidRDefault="00EB1882" w:rsidP="00EB1882">
      <w:pPr>
        <w:spacing w:before="0" w:after="140"/>
        <w:rPr>
          <w:lang w:val="es-ES"/>
        </w:rPr>
      </w:pPr>
      <w:r>
        <w:rPr>
          <w:lang w:val="es-ES"/>
        </w:rPr>
        <w:t>En base de los antecedentes internacionales y nacionales presentados en las secciones anteriores</w:t>
      </w:r>
      <w:r w:rsidRPr="00EB1882">
        <w:rPr>
          <w:lang w:val="es-ES"/>
        </w:rPr>
        <w:t xml:space="preserve">, </w:t>
      </w:r>
      <w:r>
        <w:rPr>
          <w:lang w:val="es-ES"/>
        </w:rPr>
        <w:t xml:space="preserve">se presentan </w:t>
      </w:r>
      <w:r w:rsidRPr="00EB1882">
        <w:rPr>
          <w:lang w:val="es-ES"/>
        </w:rPr>
        <w:t xml:space="preserve">– en </w:t>
      </w:r>
      <w:r>
        <w:rPr>
          <w:lang w:val="es-ES"/>
        </w:rPr>
        <w:t>esta sección</w:t>
      </w:r>
      <w:r w:rsidRPr="00EB1882">
        <w:rPr>
          <w:lang w:val="es-ES"/>
        </w:rPr>
        <w:t xml:space="preserve"> – propuestas </w:t>
      </w:r>
      <w:r>
        <w:rPr>
          <w:lang w:val="es-ES"/>
        </w:rPr>
        <w:t xml:space="preserve">y recomendaciones </w:t>
      </w:r>
      <w:r w:rsidRPr="00EB1882">
        <w:rPr>
          <w:lang w:val="es-ES"/>
        </w:rPr>
        <w:t>con respecto a:</w:t>
      </w:r>
    </w:p>
    <w:p w14:paraId="6EB53E55" w14:textId="77777777" w:rsidR="00EB1882" w:rsidRPr="00EB1882" w:rsidRDefault="00EB1882" w:rsidP="001404E7">
      <w:pPr>
        <w:numPr>
          <w:ilvl w:val="0"/>
          <w:numId w:val="26"/>
        </w:numPr>
        <w:spacing w:before="0" w:after="140"/>
        <w:rPr>
          <w:lang w:val="es-ES"/>
        </w:rPr>
      </w:pPr>
      <w:r w:rsidRPr="00EB1882">
        <w:rPr>
          <w:lang w:val="es-ES"/>
        </w:rPr>
        <w:t>Los productos de iluminación que deberían incluirse en la NT/RT;</w:t>
      </w:r>
    </w:p>
    <w:p w14:paraId="3A25366B" w14:textId="77777777" w:rsidR="00EB1882" w:rsidRPr="00EB1882" w:rsidRDefault="00EB1882" w:rsidP="001404E7">
      <w:pPr>
        <w:numPr>
          <w:ilvl w:val="0"/>
          <w:numId w:val="26"/>
        </w:numPr>
        <w:spacing w:before="0" w:after="140"/>
        <w:rPr>
          <w:lang w:val="es-ES"/>
        </w:rPr>
      </w:pPr>
      <w:r w:rsidRPr="00EB1882">
        <w:rPr>
          <w:lang w:val="es-ES"/>
        </w:rPr>
        <w:t xml:space="preserve">Las normas de medición (métodos de prueba) apropiadas para cada categoría de producto a incluir o referirse en la NT/RT; </w:t>
      </w:r>
    </w:p>
    <w:p w14:paraId="40A5844F" w14:textId="05058D18" w:rsidR="00EB1882" w:rsidRDefault="00EB1882" w:rsidP="001404E7">
      <w:pPr>
        <w:numPr>
          <w:ilvl w:val="0"/>
          <w:numId w:val="26"/>
        </w:numPr>
        <w:spacing w:before="0" w:after="140"/>
        <w:rPr>
          <w:lang w:val="es-ES"/>
        </w:rPr>
      </w:pPr>
      <w:r w:rsidRPr="00EB1882">
        <w:rPr>
          <w:lang w:val="es-ES"/>
        </w:rPr>
        <w:t>Los límites (índices) adecuados para lograr a una transición efectiva de mercado, tomando en consideración los valores mínimos aplicados en los reglamentos correspondientes de EE.UU., de la Unión Europea y de México, incluidas las ventajas y desventajas de límites específicos por producto o límites unificados para una gama amplia de productos de iluminación incluidos en la NT/RT;</w:t>
      </w:r>
    </w:p>
    <w:p w14:paraId="41027336" w14:textId="441075D3" w:rsidR="00EB1882" w:rsidRPr="00EB1882" w:rsidRDefault="00EB1882" w:rsidP="001404E7">
      <w:pPr>
        <w:numPr>
          <w:ilvl w:val="0"/>
          <w:numId w:val="26"/>
        </w:numPr>
        <w:spacing w:before="0" w:after="140"/>
        <w:rPr>
          <w:lang w:val="es-ES"/>
        </w:rPr>
      </w:pPr>
      <w:r w:rsidRPr="00EB1882">
        <w:rPr>
          <w:lang w:val="es-ES"/>
        </w:rPr>
        <w:t>Los procedimientos de evaluación de la conformidad para ser incluidos o referidos en la NT/RT</w:t>
      </w:r>
      <w:r>
        <w:rPr>
          <w:lang w:val="es-ES"/>
        </w:rPr>
        <w:t>;</w:t>
      </w:r>
    </w:p>
    <w:p w14:paraId="28D19195" w14:textId="77777777" w:rsidR="00EB1882" w:rsidRPr="00EB1882" w:rsidRDefault="00EB1882" w:rsidP="001404E7">
      <w:pPr>
        <w:numPr>
          <w:ilvl w:val="0"/>
          <w:numId w:val="26"/>
        </w:numPr>
        <w:spacing w:before="0" w:after="140"/>
        <w:rPr>
          <w:lang w:val="es-ES"/>
        </w:rPr>
      </w:pPr>
      <w:r w:rsidRPr="00EB1882">
        <w:rPr>
          <w:lang w:val="es-ES"/>
        </w:rPr>
        <w:t xml:space="preserve">La conveniencia de lograr un mayor grado de alineación con las normas y reglamentos de US-DOE, de la Unión Europea y/o de las NOM-ENER, así como con los métodos de prueba correspondientes, y su justificación, incluidas opciones; </w:t>
      </w:r>
    </w:p>
    <w:p w14:paraId="2247F8E4" w14:textId="51E13AD7" w:rsidR="00EB1882" w:rsidRPr="00EB1882" w:rsidRDefault="00EB1882" w:rsidP="001404E7">
      <w:pPr>
        <w:numPr>
          <w:ilvl w:val="0"/>
          <w:numId w:val="26"/>
        </w:numPr>
        <w:spacing w:before="0" w:after="140"/>
        <w:rPr>
          <w:lang w:val="es-ES"/>
        </w:rPr>
      </w:pPr>
      <w:r>
        <w:rPr>
          <w:lang w:val="es-ES"/>
        </w:rPr>
        <w:t>Los principios de d</w:t>
      </w:r>
      <w:r w:rsidRPr="00EB1882">
        <w:rPr>
          <w:lang w:val="es-ES"/>
        </w:rPr>
        <w:t>iseño, contenido y colocación de una etiqueta para productos de iluminación;</w:t>
      </w:r>
    </w:p>
    <w:p w14:paraId="3E23FEFF" w14:textId="2277FB62" w:rsidR="00EB1882" w:rsidRPr="00022A5F" w:rsidRDefault="00EB1882" w:rsidP="001404E7">
      <w:pPr>
        <w:numPr>
          <w:ilvl w:val="0"/>
          <w:numId w:val="26"/>
        </w:numPr>
        <w:spacing w:before="0" w:after="140"/>
        <w:rPr>
          <w:lang w:val="es-ES"/>
        </w:rPr>
      </w:pPr>
      <w:r w:rsidRPr="00022A5F">
        <w:rPr>
          <w:lang w:val="es-ES"/>
        </w:rPr>
        <w:t>La inclusión o modificación de estipulaciones faltantes o incompletas y mejoras editoriales de la NT/RT.</w:t>
      </w:r>
    </w:p>
    <w:p w14:paraId="4900061E" w14:textId="36B6C860" w:rsidR="00DE431E" w:rsidRPr="00D73D32" w:rsidRDefault="00DE431E" w:rsidP="00DE431E">
      <w:pPr>
        <w:pStyle w:val="Heading2"/>
        <w:rPr>
          <w:lang w:val="es-ES"/>
        </w:rPr>
      </w:pPr>
      <w:bookmarkStart w:id="60" w:name="_Toc516146029"/>
      <w:r>
        <w:rPr>
          <w:lang w:val="es-ES"/>
        </w:rPr>
        <w:t>Alcance de la NT/RT (productos incluidos)</w:t>
      </w:r>
      <w:bookmarkEnd w:id="60"/>
    </w:p>
    <w:p w14:paraId="6ABA9BAC" w14:textId="704AE7E9" w:rsidR="007F48E1" w:rsidRDefault="00FD03E5" w:rsidP="00DE431E">
      <w:pPr>
        <w:spacing w:before="0" w:after="140"/>
        <w:rPr>
          <w:lang w:val="es-ES"/>
        </w:rPr>
      </w:pPr>
      <w:r>
        <w:rPr>
          <w:lang w:val="es-ES"/>
        </w:rPr>
        <w:t>Se observa</w:t>
      </w:r>
      <w:r w:rsidR="001404E7">
        <w:rPr>
          <w:lang w:val="es-ES"/>
        </w:rPr>
        <w:t xml:space="preserve"> </w:t>
      </w:r>
      <w:r w:rsidRPr="00FD03E5">
        <w:rPr>
          <w:lang w:val="es-ES"/>
        </w:rPr>
        <w:t>–</w:t>
      </w:r>
      <w:r>
        <w:rPr>
          <w:lang w:val="es-ES"/>
        </w:rPr>
        <w:t xml:space="preserve"> </w:t>
      </w:r>
      <w:r w:rsidR="001404E7">
        <w:rPr>
          <w:lang w:val="es-ES"/>
        </w:rPr>
        <w:t xml:space="preserve">en el ámbito internacional </w:t>
      </w:r>
      <w:r w:rsidRPr="00FD03E5">
        <w:rPr>
          <w:lang w:val="es-ES"/>
        </w:rPr>
        <w:t>–</w:t>
      </w:r>
      <w:r>
        <w:rPr>
          <w:lang w:val="es-ES"/>
        </w:rPr>
        <w:t xml:space="preserve"> una tendencia </w:t>
      </w:r>
      <w:r w:rsidR="001404E7">
        <w:rPr>
          <w:lang w:val="es-ES"/>
        </w:rPr>
        <w:t>hacia reglamentos de eficiencia energética integrales para ciertas familias de producto, por ejemplo</w:t>
      </w:r>
      <w:r w:rsidR="00CF7C2F">
        <w:rPr>
          <w:lang w:val="es-ES"/>
        </w:rPr>
        <w:t>,</w:t>
      </w:r>
      <w:r w:rsidR="001404E7">
        <w:rPr>
          <w:lang w:val="es-ES"/>
        </w:rPr>
        <w:t xml:space="preserve"> para lámparas. Esta tendencia se manifiesta en las recientes propuestas de los reglamentos</w:t>
      </w:r>
      <w:r w:rsidR="000A43BC">
        <w:rPr>
          <w:lang w:val="es-ES"/>
        </w:rPr>
        <w:t xml:space="preserve"> en EE.UU. y en la Unión Europea, que incluyen una gama amplia de lámparas de uso doméstico y comercial (incandescentes, incandescentes con halógenos, fluorescentes lineales, LFC y LED), y </w:t>
      </w:r>
      <w:r w:rsidR="000A43BC" w:rsidRPr="000A43BC">
        <w:rPr>
          <w:lang w:val="es-ES"/>
        </w:rPr>
        <w:t>–</w:t>
      </w:r>
      <w:r w:rsidR="000A43BC">
        <w:rPr>
          <w:lang w:val="es-ES"/>
        </w:rPr>
        <w:t xml:space="preserve"> en el caso de la Unión Europea </w:t>
      </w:r>
      <w:r w:rsidR="000A43BC" w:rsidRPr="000A43BC">
        <w:rPr>
          <w:lang w:val="es-ES"/>
        </w:rPr>
        <w:t>–</w:t>
      </w:r>
      <w:r w:rsidR="000A43BC">
        <w:rPr>
          <w:lang w:val="es-ES"/>
        </w:rPr>
        <w:t xml:space="preserve"> </w:t>
      </w:r>
      <w:r w:rsidR="007F48E1">
        <w:rPr>
          <w:lang w:val="es-ES"/>
        </w:rPr>
        <w:t xml:space="preserve">además </w:t>
      </w:r>
      <w:r w:rsidR="000A43BC">
        <w:rPr>
          <w:lang w:val="es-ES"/>
        </w:rPr>
        <w:t>lámparas para alumbrado exterior (lámparas de vapor de mercurio</w:t>
      </w:r>
      <w:r w:rsidR="00B12B02">
        <w:rPr>
          <w:lang w:val="es-ES"/>
        </w:rPr>
        <w:t xml:space="preserve"> a alta presión</w:t>
      </w:r>
      <w:r w:rsidR="000A43BC">
        <w:rPr>
          <w:lang w:val="es-ES"/>
        </w:rPr>
        <w:t xml:space="preserve">, de halogenuros metálicos, de sodio </w:t>
      </w:r>
      <w:r w:rsidR="002D0124">
        <w:rPr>
          <w:lang w:val="es-ES"/>
        </w:rPr>
        <w:t>a</w:t>
      </w:r>
      <w:r w:rsidR="000A43BC">
        <w:rPr>
          <w:lang w:val="es-ES"/>
        </w:rPr>
        <w:t xml:space="preserve"> alta presión y </w:t>
      </w:r>
      <w:r w:rsidR="005030E1" w:rsidRPr="005030E1">
        <w:rPr>
          <w:color w:val="FF0000"/>
          <w:lang w:val="es-ES"/>
        </w:rPr>
        <w:t xml:space="preserve">fuentes </w:t>
      </w:r>
      <w:r w:rsidR="000A43BC" w:rsidRPr="005030E1">
        <w:rPr>
          <w:color w:val="FF0000"/>
          <w:lang w:val="es-ES"/>
        </w:rPr>
        <w:t>de</w:t>
      </w:r>
      <w:r w:rsidR="005030E1" w:rsidRPr="005030E1">
        <w:rPr>
          <w:color w:val="FF0000"/>
          <w:lang w:val="es-ES"/>
        </w:rPr>
        <w:t xml:space="preserve"> luz con </w:t>
      </w:r>
      <w:r w:rsidR="000A43BC" w:rsidRPr="005030E1">
        <w:rPr>
          <w:color w:val="FF0000"/>
          <w:lang w:val="es-ES"/>
        </w:rPr>
        <w:t xml:space="preserve"> </w:t>
      </w:r>
      <w:r w:rsidR="000A43BC">
        <w:rPr>
          <w:lang w:val="es-ES"/>
        </w:rPr>
        <w:t xml:space="preserve">elementos LED). </w:t>
      </w:r>
    </w:p>
    <w:p w14:paraId="3C3082EA" w14:textId="41DA6EB9" w:rsidR="0025496D" w:rsidRDefault="000A43BC" w:rsidP="00DE431E">
      <w:pPr>
        <w:spacing w:before="0" w:after="140"/>
        <w:rPr>
          <w:lang w:val="es-ES"/>
        </w:rPr>
      </w:pPr>
      <w:r>
        <w:rPr>
          <w:lang w:val="es-ES"/>
        </w:rPr>
        <w:t xml:space="preserve">Similar, el proyecto de norma oficial mexicana </w:t>
      </w:r>
      <w:r w:rsidRPr="00C80548">
        <w:rPr>
          <w:lang w:val="es-ES"/>
        </w:rPr>
        <w:t>PROY-</w:t>
      </w:r>
      <w:r w:rsidR="00787B80" w:rsidRPr="00C80548">
        <w:rPr>
          <w:lang w:val="es-ES"/>
        </w:rPr>
        <w:t>NOM-028-ENER-2017</w:t>
      </w:r>
      <w:r w:rsidR="00787B80">
        <w:rPr>
          <w:lang w:val="es-ES"/>
        </w:rPr>
        <w:t xml:space="preserve"> “Lámparas para uso general” incluye lámparas incandescentes, incandescentes con halógenos, LFL, y lámparas de descarga en alta intensidad (para alumbrado de exteriores). No incluye LFC autobalastradas (que son regulados en la NOM-017-ENER/SCFI-201</w:t>
      </w:r>
      <w:r w:rsidR="00DB6416">
        <w:rPr>
          <w:lang w:val="es-ES"/>
        </w:rPr>
        <w:t>2</w:t>
      </w:r>
      <w:r w:rsidR="00787B80">
        <w:rPr>
          <w:lang w:val="es-ES"/>
        </w:rPr>
        <w:t xml:space="preserve">), y tampoco lámparas LED y </w:t>
      </w:r>
      <w:r w:rsidR="00ED255A">
        <w:rPr>
          <w:lang w:val="es-ES"/>
        </w:rPr>
        <w:t xml:space="preserve">luminarias </w:t>
      </w:r>
      <w:r w:rsidR="00787B80">
        <w:rPr>
          <w:lang w:val="es-ES"/>
        </w:rPr>
        <w:t>con elementos LED par</w:t>
      </w:r>
      <w:r w:rsidR="00FD03E5">
        <w:rPr>
          <w:lang w:val="es-ES"/>
        </w:rPr>
        <w:t>a la iluminación de exteriores (que son regulados en las NOM-030-ENER-2016 y NOM-031-ENER-2012 respectivamente</w:t>
      </w:r>
      <w:r w:rsidR="009361E7">
        <w:rPr>
          <w:lang w:val="es-ES"/>
        </w:rPr>
        <w:t>)</w:t>
      </w:r>
      <w:r w:rsidR="00FD03E5">
        <w:rPr>
          <w:lang w:val="es-ES"/>
        </w:rPr>
        <w:t>.</w:t>
      </w:r>
      <w:r w:rsidR="009361E7">
        <w:rPr>
          <w:lang w:val="es-ES"/>
        </w:rPr>
        <w:t xml:space="preserve"> Mientras que la inclusión de las LFC </w:t>
      </w:r>
      <w:r w:rsidR="00F319CF">
        <w:rPr>
          <w:lang w:val="es-ES"/>
        </w:rPr>
        <w:t xml:space="preserve">en una NOM-ENER separada </w:t>
      </w:r>
      <w:r w:rsidR="009361E7">
        <w:rPr>
          <w:lang w:val="es-ES"/>
        </w:rPr>
        <w:t xml:space="preserve">se puede explicar por razones </w:t>
      </w:r>
      <w:r w:rsidR="00ED255A">
        <w:rPr>
          <w:lang w:val="es-ES"/>
        </w:rPr>
        <w:t xml:space="preserve">históricas </w:t>
      </w:r>
      <w:r w:rsidR="009361E7">
        <w:rPr>
          <w:lang w:val="es-ES"/>
        </w:rPr>
        <w:t>(se definieron</w:t>
      </w:r>
      <w:r w:rsidR="0096366F">
        <w:rPr>
          <w:lang w:val="es-ES"/>
        </w:rPr>
        <w:t>,</w:t>
      </w:r>
      <w:r w:rsidR="009361E7">
        <w:rPr>
          <w:lang w:val="es-ES"/>
        </w:rPr>
        <w:t xml:space="preserve"> en </w:t>
      </w:r>
      <w:r w:rsidR="00DB6416">
        <w:rPr>
          <w:lang w:val="es-ES"/>
        </w:rPr>
        <w:t>el momento de elaborar el reglamento</w:t>
      </w:r>
      <w:r w:rsidR="0096366F">
        <w:rPr>
          <w:lang w:val="es-ES"/>
        </w:rPr>
        <w:t>,</w:t>
      </w:r>
      <w:r w:rsidR="00DB6416">
        <w:rPr>
          <w:lang w:val="es-ES"/>
        </w:rPr>
        <w:t xml:space="preserve"> límites mínimos más exigentes para LFC, comparados con los límites para lámparas incandescentes), la</w:t>
      </w:r>
      <w:r w:rsidR="007A2D0F">
        <w:rPr>
          <w:lang w:val="es-ES"/>
        </w:rPr>
        <w:t>s</w:t>
      </w:r>
      <w:r w:rsidR="00DB6416">
        <w:rPr>
          <w:lang w:val="es-ES"/>
        </w:rPr>
        <w:t xml:space="preserve"> raz</w:t>
      </w:r>
      <w:r w:rsidR="007A2D0F">
        <w:rPr>
          <w:lang w:val="es-ES"/>
        </w:rPr>
        <w:t>o</w:t>
      </w:r>
      <w:r w:rsidR="00DB6416">
        <w:rPr>
          <w:lang w:val="es-ES"/>
        </w:rPr>
        <w:t>n</w:t>
      </w:r>
      <w:r w:rsidR="007A2D0F">
        <w:rPr>
          <w:lang w:val="es-ES"/>
        </w:rPr>
        <w:t>es</w:t>
      </w:r>
      <w:r w:rsidR="00DB6416">
        <w:rPr>
          <w:lang w:val="es-ES"/>
        </w:rPr>
        <w:t xml:space="preserve"> de incluir las lámparas LED y </w:t>
      </w:r>
      <w:r w:rsidR="00ED255A">
        <w:rPr>
          <w:lang w:val="es-ES"/>
        </w:rPr>
        <w:t xml:space="preserve">luminarias </w:t>
      </w:r>
      <w:r w:rsidR="00DB6416">
        <w:rPr>
          <w:lang w:val="es-ES"/>
        </w:rPr>
        <w:t>con elementos LED en reglamentos separados no son obvi</w:t>
      </w:r>
      <w:r w:rsidR="007A2D0F">
        <w:rPr>
          <w:lang w:val="es-ES"/>
        </w:rPr>
        <w:t>a</w:t>
      </w:r>
      <w:r w:rsidR="00DB6416">
        <w:rPr>
          <w:lang w:val="es-ES"/>
        </w:rPr>
        <w:t>s a primera vista.</w:t>
      </w:r>
      <w:r w:rsidR="00DB6416">
        <w:rPr>
          <w:rStyle w:val="FootnoteReference"/>
        </w:rPr>
        <w:footnoteReference w:id="95"/>
      </w:r>
    </w:p>
    <w:p w14:paraId="4454678B" w14:textId="06C1F524" w:rsidR="009361E7" w:rsidRDefault="009361E7" w:rsidP="00DE431E">
      <w:pPr>
        <w:spacing w:before="0" w:after="140"/>
        <w:rPr>
          <w:lang w:val="es-ES"/>
        </w:rPr>
      </w:pPr>
      <w:r>
        <w:rPr>
          <w:lang w:val="es-ES"/>
        </w:rPr>
        <w:lastRenderedPageBreak/>
        <w:t xml:space="preserve">Con el objetivo de eliminar tecnologías ineficientes (en particular lámparas incandescentes e incandescentes con halógenos) del mercado, es recomendable fijar límites de desempeño energético mínimo uniformes que se aplican para todos (o por lo menos varios) tipos de lámparas incluidos en el reglamento. </w:t>
      </w:r>
      <w:r w:rsidR="00AB4857">
        <w:rPr>
          <w:lang w:val="es-ES"/>
        </w:rPr>
        <w:t xml:space="preserve">Ello significa que para la NT/RT panameña se recomienda fijar índices de desempeño energético mínimos uniformes para por lo menos lámparas incandescentes e incandescentes con halógenos, LFC y lámparas LED integradas, y </w:t>
      </w:r>
      <w:r w:rsidR="00AB4857" w:rsidRPr="00AB4857">
        <w:rPr>
          <w:lang w:val="es-ES"/>
        </w:rPr>
        <w:t>–</w:t>
      </w:r>
      <w:r w:rsidR="00AB4857">
        <w:rPr>
          <w:lang w:val="es-ES"/>
        </w:rPr>
        <w:t xml:space="preserve"> opcionalmente – también las lámparas fluorescentes lineales. También se recomienda fijar índices de desempeño energético mínimos uniformes con respecto a las lámparas para el alumbrado de los exteriores (lámparas de descarga en alta intensidad y luminarios con elementos LED)</w:t>
      </w:r>
      <w:r w:rsidR="00DC763D">
        <w:rPr>
          <w:lang w:val="es-ES"/>
        </w:rPr>
        <w:t>.</w:t>
      </w:r>
      <w:r w:rsidR="00C80548">
        <w:rPr>
          <w:rStyle w:val="FootnoteReference"/>
        </w:rPr>
        <w:footnoteReference w:id="96"/>
      </w:r>
    </w:p>
    <w:p w14:paraId="710A13AF" w14:textId="04E76A27" w:rsidR="009309F8" w:rsidRDefault="0025496D" w:rsidP="00DE431E">
      <w:pPr>
        <w:spacing w:before="0" w:after="140"/>
        <w:rPr>
          <w:lang w:val="es-ES"/>
        </w:rPr>
      </w:pPr>
      <w:r>
        <w:rPr>
          <w:lang w:val="es-ES"/>
        </w:rPr>
        <w:t>Mientras que los límites de desempeño energético mínimo serán discutidos en la sección 5.3, se puede constatar que la inclusión de varios tipos de lámparas en un solo reglamento facilita un enfoque “tecnológicamente neutral”</w:t>
      </w:r>
      <w:r w:rsidR="007B0909">
        <w:rPr>
          <w:lang w:val="es-ES"/>
        </w:rPr>
        <w:t xml:space="preserve"> (integral o por lo menos parcial). </w:t>
      </w:r>
    </w:p>
    <w:p w14:paraId="61F6DDC4" w14:textId="59E61AC0" w:rsidR="0025496D" w:rsidRDefault="009309F8" w:rsidP="00DE431E">
      <w:pPr>
        <w:spacing w:before="0" w:after="140"/>
        <w:rPr>
          <w:lang w:val="es-ES"/>
        </w:rPr>
      </w:pPr>
      <w:r>
        <w:rPr>
          <w:lang w:val="es-ES"/>
        </w:rPr>
        <w:t xml:space="preserve">En resumen, se recomienda para la NT/RT </w:t>
      </w:r>
      <w:r w:rsidR="00ED255A">
        <w:rPr>
          <w:lang w:val="es-ES"/>
        </w:rPr>
        <w:t xml:space="preserve">panameña </w:t>
      </w:r>
      <w:r>
        <w:rPr>
          <w:lang w:val="es-ES"/>
        </w:rPr>
        <w:t xml:space="preserve">el siguiente alcance de tecnologías de acuerdo a las opciones </w:t>
      </w:r>
      <w:r w:rsidR="00D47D5D">
        <w:rPr>
          <w:lang w:val="es-ES"/>
        </w:rPr>
        <w:t xml:space="preserve">A y B que se muestran </w:t>
      </w:r>
      <w:r>
        <w:rPr>
          <w:lang w:val="es-ES"/>
        </w:rPr>
        <w:t>en la tabla</w:t>
      </w:r>
      <w:r w:rsidR="00D47D5D">
        <w:rPr>
          <w:lang w:val="es-ES"/>
        </w:rPr>
        <w:t xml:space="preserve"> 9</w:t>
      </w:r>
      <w:r>
        <w:rPr>
          <w:rStyle w:val="FootnoteReference"/>
        </w:rPr>
        <w:footnoteReference w:id="97"/>
      </w:r>
      <w:r w:rsidR="00D47D5D">
        <w:rPr>
          <w:lang w:val="es-ES"/>
        </w:rPr>
        <w:t>:</w:t>
      </w:r>
    </w:p>
    <w:p w14:paraId="32DFBB65" w14:textId="590120D2" w:rsidR="00D47D5D" w:rsidRPr="00566934" w:rsidRDefault="00D47D5D" w:rsidP="00D47D5D">
      <w:pPr>
        <w:keepNext/>
        <w:keepLines/>
        <w:spacing w:before="0" w:after="0"/>
        <w:jc w:val="center"/>
        <w:rPr>
          <w:iCs/>
          <w:color w:val="002B7F"/>
          <w:szCs w:val="18"/>
          <w:lang w:val="es-ES"/>
        </w:rPr>
      </w:pPr>
      <w:r w:rsidRPr="00566934">
        <w:rPr>
          <w:iCs/>
          <w:color w:val="002B7F"/>
          <w:szCs w:val="18"/>
          <w:lang w:val="es-ES"/>
        </w:rPr>
        <w:t xml:space="preserve">Tabla </w:t>
      </w:r>
      <w:r w:rsidRPr="00566934">
        <w:rPr>
          <w:iCs/>
          <w:color w:val="002B7F"/>
          <w:szCs w:val="18"/>
          <w:lang w:val="es-ES"/>
        </w:rPr>
        <w:fldChar w:fldCharType="begin"/>
      </w:r>
      <w:r w:rsidRPr="00566934">
        <w:rPr>
          <w:iCs/>
          <w:color w:val="002B7F"/>
          <w:szCs w:val="18"/>
          <w:lang w:val="es-ES"/>
        </w:rPr>
        <w:instrText xml:space="preserve"> SEQ Tabla \* ARABIC </w:instrText>
      </w:r>
      <w:r w:rsidRPr="00566934">
        <w:rPr>
          <w:iCs/>
          <w:color w:val="002B7F"/>
          <w:szCs w:val="18"/>
          <w:lang w:val="es-ES"/>
        </w:rPr>
        <w:fldChar w:fldCharType="separate"/>
      </w:r>
      <w:r w:rsidR="005E6430">
        <w:rPr>
          <w:iCs/>
          <w:noProof/>
          <w:color w:val="002B7F"/>
          <w:szCs w:val="18"/>
          <w:lang w:val="es-ES"/>
        </w:rPr>
        <w:t>9</w:t>
      </w:r>
      <w:r w:rsidRPr="00566934">
        <w:rPr>
          <w:iCs/>
          <w:noProof/>
          <w:color w:val="002B7F"/>
          <w:szCs w:val="18"/>
          <w:lang w:val="es-ES"/>
        </w:rPr>
        <w:fldChar w:fldCharType="end"/>
      </w:r>
      <w:r w:rsidRPr="00566934">
        <w:rPr>
          <w:iCs/>
          <w:color w:val="002B7F"/>
          <w:szCs w:val="18"/>
          <w:lang w:val="es-ES"/>
        </w:rPr>
        <w:t xml:space="preserve"> – </w:t>
      </w:r>
      <w:r>
        <w:rPr>
          <w:iCs/>
          <w:color w:val="002B7F"/>
          <w:szCs w:val="18"/>
          <w:lang w:val="es-ES"/>
        </w:rPr>
        <w:t>Alcance de la NT/RT para lámparas (productos incluidos)</w:t>
      </w:r>
    </w:p>
    <w:p w14:paraId="4C24DDBE" w14:textId="4F50E22B" w:rsidR="00D47D5D" w:rsidRPr="00AD6CDA" w:rsidRDefault="00D47D5D" w:rsidP="00D47D5D">
      <w:pPr>
        <w:suppressAutoHyphens w:val="0"/>
        <w:autoSpaceDN/>
        <w:spacing w:before="0" w:after="140"/>
        <w:jc w:val="center"/>
        <w:textAlignment w:val="auto"/>
        <w:rPr>
          <w:rFonts w:asciiTheme="minorHAnsi" w:eastAsia="Calibri" w:hAnsiTheme="minorHAnsi" w:cstheme="minorHAnsi"/>
          <w:color w:val="002B7F"/>
          <w:lang w:val="es-ES"/>
        </w:rPr>
      </w:pPr>
      <w:r w:rsidRPr="00AD6CDA">
        <w:rPr>
          <w:i/>
          <w:color w:val="002B7F"/>
          <w:sz w:val="18"/>
          <w:lang w:val="es-ES"/>
        </w:rPr>
        <w:t xml:space="preserve">Fuente: </w:t>
      </w:r>
      <w:r w:rsidRPr="00AD6CDA">
        <w:rPr>
          <w:rFonts w:cstheme="minorHAnsi"/>
          <w:color w:val="002B7F"/>
          <w:sz w:val="18"/>
          <w:lang w:val="es-PA"/>
        </w:rPr>
        <w:t>Elaboración propia</w:t>
      </w:r>
    </w:p>
    <w:tbl>
      <w:tblPr>
        <w:tblW w:w="5000" w:type="pct"/>
        <w:tblCellMar>
          <w:left w:w="10" w:type="dxa"/>
          <w:right w:w="10" w:type="dxa"/>
        </w:tblCellMar>
        <w:tblLook w:val="0000" w:firstRow="0" w:lastRow="0" w:firstColumn="0" w:lastColumn="0" w:noHBand="0" w:noVBand="0"/>
      </w:tblPr>
      <w:tblGrid>
        <w:gridCol w:w="4245"/>
        <w:gridCol w:w="4251"/>
      </w:tblGrid>
      <w:tr w:rsidR="00D47D5D" w:rsidRPr="000D360C" w14:paraId="4D266FF2" w14:textId="77777777" w:rsidTr="00D47D5D">
        <w:tc>
          <w:tcPr>
            <w:tcW w:w="4245"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3D5BA9E0" w14:textId="462E1058" w:rsidR="00D47D5D" w:rsidRPr="00CC334B" w:rsidRDefault="00D47D5D" w:rsidP="00D47D5D">
            <w:pPr>
              <w:suppressAutoHyphens w:val="0"/>
              <w:spacing w:before="0" w:after="0"/>
              <w:jc w:val="center"/>
              <w:textAlignment w:val="auto"/>
              <w:rPr>
                <w:rFonts w:eastAsia="Times New Roman"/>
                <w:b/>
                <w:color w:val="FFFFFF" w:themeColor="background1"/>
                <w:lang w:val="es-ES"/>
              </w:rPr>
            </w:pPr>
            <w:r>
              <w:rPr>
                <w:rFonts w:eastAsia="Times New Roman"/>
                <w:b/>
                <w:color w:val="FFFFFF" w:themeColor="background1"/>
                <w:lang w:val="es-ES"/>
              </w:rPr>
              <w:t>Opción A</w:t>
            </w:r>
          </w:p>
        </w:tc>
        <w:tc>
          <w:tcPr>
            <w:tcW w:w="4251" w:type="dxa"/>
            <w:tcBorders>
              <w:top w:val="single" w:sz="6" w:space="0" w:color="5B9BD5"/>
              <w:bottom w:val="single" w:sz="6" w:space="0" w:color="5B9BD5"/>
            </w:tcBorders>
            <w:shd w:val="clear" w:color="auto" w:fill="5B9BD5"/>
            <w:tcMar>
              <w:top w:w="0" w:type="dxa"/>
              <w:left w:w="108" w:type="dxa"/>
              <w:bottom w:w="0" w:type="dxa"/>
              <w:right w:w="108" w:type="dxa"/>
            </w:tcMar>
          </w:tcPr>
          <w:p w14:paraId="0090C6C7" w14:textId="7A4EF96E" w:rsidR="00D47D5D" w:rsidRPr="00B56A15" w:rsidRDefault="00D47D5D" w:rsidP="00D47D5D">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Opción B</w:t>
            </w:r>
          </w:p>
        </w:tc>
      </w:tr>
      <w:tr w:rsidR="00D47D5D" w:rsidRPr="00914127" w14:paraId="7E7776FB" w14:textId="77777777" w:rsidTr="00D47D5D">
        <w:tc>
          <w:tcPr>
            <w:tcW w:w="424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D7254F8" w14:textId="77777777" w:rsidR="00D47D5D" w:rsidRDefault="00D47D5D" w:rsidP="00D47D5D">
            <w:pPr>
              <w:suppressAutoHyphens w:val="0"/>
              <w:spacing w:before="0" w:after="0"/>
              <w:jc w:val="left"/>
              <w:textAlignment w:val="auto"/>
              <w:rPr>
                <w:rFonts w:eastAsia="Times New Roman"/>
                <w:lang w:val="es-ES"/>
              </w:rPr>
            </w:pPr>
            <w:r>
              <w:rPr>
                <w:rFonts w:eastAsia="Times New Roman"/>
                <w:lang w:val="es-ES"/>
              </w:rPr>
              <w:t>Lámparas para uso general</w:t>
            </w:r>
          </w:p>
          <w:p w14:paraId="13868360" w14:textId="51E974E9" w:rsidR="00D47D5D" w:rsidRDefault="00D47D5D" w:rsidP="00D47D5D">
            <w:pPr>
              <w:suppressAutoHyphens w:val="0"/>
              <w:spacing w:before="0" w:after="0"/>
              <w:jc w:val="left"/>
              <w:textAlignment w:val="auto"/>
              <w:rPr>
                <w:rFonts w:eastAsia="Times New Roman"/>
                <w:lang w:val="es-ES"/>
              </w:rPr>
            </w:pPr>
            <w:r>
              <w:rPr>
                <w:rFonts w:eastAsia="Times New Roman"/>
                <w:lang w:val="es-ES"/>
              </w:rPr>
              <w:t xml:space="preserve">(incluidas lámparas y </w:t>
            </w:r>
            <w:r w:rsidR="005030E1" w:rsidRPr="005030E1">
              <w:rPr>
                <w:rFonts w:eastAsia="Times New Roman"/>
                <w:color w:val="FF0000"/>
                <w:lang w:val="es-ES"/>
              </w:rPr>
              <w:t>luminarias /</w:t>
            </w:r>
            <w:r w:rsidR="005030E1">
              <w:rPr>
                <w:rFonts w:eastAsia="Times New Roman"/>
                <w:lang w:val="es-ES"/>
              </w:rPr>
              <w:t xml:space="preserve"> </w:t>
            </w:r>
            <w:r>
              <w:rPr>
                <w:rFonts w:eastAsia="Times New Roman"/>
                <w:lang w:val="es-ES"/>
              </w:rPr>
              <w:t>módulos LED)</w:t>
            </w:r>
          </w:p>
          <w:p w14:paraId="7391C548" w14:textId="77777777" w:rsidR="00D47D5D" w:rsidRPr="00520193" w:rsidRDefault="00D47D5D" w:rsidP="00520193">
            <w:pPr>
              <w:pStyle w:val="ListParagraph"/>
              <w:numPr>
                <w:ilvl w:val="0"/>
                <w:numId w:val="33"/>
              </w:numPr>
              <w:suppressAutoHyphens w:val="0"/>
              <w:spacing w:before="0" w:after="0"/>
              <w:jc w:val="left"/>
              <w:textAlignment w:val="auto"/>
              <w:rPr>
                <w:rFonts w:eastAsia="Times New Roman"/>
                <w:lang w:val="es-ES"/>
              </w:rPr>
            </w:pPr>
            <w:r w:rsidRPr="00520193">
              <w:rPr>
                <w:rFonts w:eastAsia="Times New Roman"/>
                <w:lang w:val="es-ES"/>
              </w:rPr>
              <w:t>Lámparas incandescentes</w:t>
            </w:r>
          </w:p>
          <w:p w14:paraId="14431696" w14:textId="77777777" w:rsidR="00D47D5D" w:rsidRPr="00520193" w:rsidRDefault="00D47D5D" w:rsidP="00520193">
            <w:pPr>
              <w:pStyle w:val="ListParagraph"/>
              <w:numPr>
                <w:ilvl w:val="0"/>
                <w:numId w:val="33"/>
              </w:numPr>
              <w:suppressAutoHyphens w:val="0"/>
              <w:spacing w:before="0" w:after="0"/>
              <w:jc w:val="left"/>
              <w:textAlignment w:val="auto"/>
              <w:rPr>
                <w:rFonts w:eastAsia="Times New Roman"/>
                <w:lang w:val="es-ES"/>
              </w:rPr>
            </w:pPr>
            <w:r w:rsidRPr="00520193">
              <w:rPr>
                <w:rFonts w:eastAsia="Times New Roman"/>
                <w:lang w:val="es-ES"/>
              </w:rPr>
              <w:t>Lámparas incandescentes con halógenos</w:t>
            </w:r>
          </w:p>
          <w:p w14:paraId="3464E7FF" w14:textId="77777777" w:rsidR="00D47D5D" w:rsidRPr="00520193" w:rsidRDefault="00D47D5D" w:rsidP="00520193">
            <w:pPr>
              <w:pStyle w:val="ListParagraph"/>
              <w:numPr>
                <w:ilvl w:val="0"/>
                <w:numId w:val="33"/>
              </w:numPr>
              <w:suppressAutoHyphens w:val="0"/>
              <w:spacing w:before="0" w:after="0"/>
              <w:jc w:val="left"/>
              <w:textAlignment w:val="auto"/>
              <w:rPr>
                <w:rFonts w:eastAsia="Times New Roman"/>
                <w:lang w:val="es-ES"/>
              </w:rPr>
            </w:pPr>
            <w:r w:rsidRPr="00520193">
              <w:rPr>
                <w:rFonts w:eastAsia="Times New Roman"/>
                <w:lang w:val="es-ES"/>
              </w:rPr>
              <w:t>Lámparas fluorescentes (lineales)</w:t>
            </w:r>
          </w:p>
          <w:p w14:paraId="6C020114" w14:textId="77777777" w:rsidR="00D47D5D" w:rsidRPr="00520193" w:rsidRDefault="00D47D5D" w:rsidP="00520193">
            <w:pPr>
              <w:pStyle w:val="ListParagraph"/>
              <w:numPr>
                <w:ilvl w:val="0"/>
                <w:numId w:val="33"/>
              </w:numPr>
              <w:suppressAutoHyphens w:val="0"/>
              <w:spacing w:before="0" w:after="0"/>
              <w:jc w:val="left"/>
              <w:textAlignment w:val="auto"/>
              <w:rPr>
                <w:rFonts w:eastAsia="Times New Roman"/>
                <w:lang w:val="es-ES"/>
              </w:rPr>
            </w:pPr>
            <w:r w:rsidRPr="00520193">
              <w:rPr>
                <w:rFonts w:eastAsia="Times New Roman"/>
                <w:lang w:val="es-ES"/>
              </w:rPr>
              <w:t>LFC autobalastradas</w:t>
            </w:r>
          </w:p>
          <w:p w14:paraId="5A7E4E32" w14:textId="77777777" w:rsidR="00D47D5D" w:rsidRPr="00520193" w:rsidRDefault="00D47D5D" w:rsidP="00520193">
            <w:pPr>
              <w:pStyle w:val="ListParagraph"/>
              <w:numPr>
                <w:ilvl w:val="0"/>
                <w:numId w:val="33"/>
              </w:numPr>
              <w:suppressAutoHyphens w:val="0"/>
              <w:spacing w:before="0" w:after="0"/>
              <w:jc w:val="left"/>
              <w:textAlignment w:val="auto"/>
              <w:rPr>
                <w:rFonts w:eastAsia="Times New Roman"/>
                <w:lang w:val="es-ES"/>
              </w:rPr>
            </w:pPr>
            <w:r w:rsidRPr="00520193">
              <w:rPr>
                <w:rFonts w:eastAsia="Times New Roman"/>
                <w:lang w:val="es-ES"/>
              </w:rPr>
              <w:t>Lámparas de descarga de alta intensidad</w:t>
            </w:r>
          </w:p>
          <w:p w14:paraId="2F445A91" w14:textId="77777777" w:rsidR="00D47D5D" w:rsidRPr="00520193" w:rsidRDefault="00D47D5D" w:rsidP="00520193">
            <w:pPr>
              <w:pStyle w:val="ListParagraph"/>
              <w:numPr>
                <w:ilvl w:val="0"/>
                <w:numId w:val="33"/>
              </w:numPr>
              <w:suppressAutoHyphens w:val="0"/>
              <w:spacing w:before="0" w:after="0"/>
              <w:jc w:val="left"/>
              <w:textAlignment w:val="auto"/>
              <w:rPr>
                <w:rFonts w:eastAsia="Times New Roman"/>
                <w:lang w:val="es-ES"/>
              </w:rPr>
            </w:pPr>
            <w:r w:rsidRPr="00520193">
              <w:rPr>
                <w:rFonts w:eastAsia="Times New Roman"/>
                <w:lang w:val="es-ES"/>
              </w:rPr>
              <w:t>Lámparas LED integradas</w:t>
            </w:r>
          </w:p>
          <w:p w14:paraId="0D71D698" w14:textId="3E4E208F" w:rsidR="00D47D5D" w:rsidRPr="00520193" w:rsidRDefault="005030E1" w:rsidP="005030E1">
            <w:pPr>
              <w:pStyle w:val="ListParagraph"/>
              <w:numPr>
                <w:ilvl w:val="0"/>
                <w:numId w:val="33"/>
              </w:numPr>
              <w:suppressAutoHyphens w:val="0"/>
              <w:spacing w:before="0" w:after="0"/>
              <w:jc w:val="left"/>
              <w:textAlignment w:val="auto"/>
              <w:rPr>
                <w:rFonts w:eastAsia="Times New Roman"/>
                <w:lang w:val="es-ES"/>
              </w:rPr>
            </w:pPr>
            <w:r w:rsidRPr="005030E1">
              <w:rPr>
                <w:rFonts w:eastAsia="Times New Roman"/>
                <w:color w:val="FF0000"/>
                <w:lang w:val="es-ES"/>
              </w:rPr>
              <w:t>Luminarias /</w:t>
            </w:r>
            <w:r>
              <w:rPr>
                <w:rFonts w:eastAsia="Times New Roman"/>
                <w:lang w:val="es-ES"/>
              </w:rPr>
              <w:t xml:space="preserve"> m</w:t>
            </w:r>
            <w:r w:rsidR="00D47D5D" w:rsidRPr="00520193">
              <w:rPr>
                <w:rFonts w:eastAsia="Times New Roman"/>
                <w:lang w:val="es-ES"/>
              </w:rPr>
              <w:t>ódulos LED</w:t>
            </w:r>
          </w:p>
        </w:tc>
        <w:tc>
          <w:tcPr>
            <w:tcW w:w="42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3903A0C" w14:textId="77777777" w:rsidR="00D47D5D" w:rsidRDefault="00D47D5D" w:rsidP="00D47D5D">
            <w:pPr>
              <w:suppressAutoHyphens w:val="0"/>
              <w:spacing w:before="0" w:after="0"/>
              <w:jc w:val="left"/>
              <w:textAlignment w:val="auto"/>
              <w:rPr>
                <w:rFonts w:eastAsia="Times New Roman"/>
                <w:lang w:val="es-ES"/>
              </w:rPr>
            </w:pPr>
            <w:r>
              <w:rPr>
                <w:rFonts w:eastAsia="Times New Roman"/>
                <w:lang w:val="es-ES"/>
              </w:rPr>
              <w:t>Lámparas para uso general</w:t>
            </w:r>
          </w:p>
          <w:p w14:paraId="206EA3F5" w14:textId="29023E90" w:rsidR="00D47D5D" w:rsidRDefault="00D47D5D" w:rsidP="00D47D5D">
            <w:pPr>
              <w:suppressAutoHyphens w:val="0"/>
              <w:spacing w:before="0" w:after="0"/>
              <w:jc w:val="left"/>
              <w:textAlignment w:val="auto"/>
              <w:rPr>
                <w:rFonts w:eastAsia="Times New Roman"/>
                <w:lang w:val="es-ES"/>
              </w:rPr>
            </w:pPr>
            <w:r>
              <w:rPr>
                <w:rFonts w:eastAsia="Times New Roman"/>
                <w:lang w:val="es-ES"/>
              </w:rPr>
              <w:t xml:space="preserve">(excluidas lámparas y </w:t>
            </w:r>
            <w:r w:rsidR="005030E1" w:rsidRPr="005030E1">
              <w:rPr>
                <w:rFonts w:eastAsia="Times New Roman"/>
                <w:color w:val="FF0000"/>
                <w:lang w:val="es-ES"/>
              </w:rPr>
              <w:t>luminarias /</w:t>
            </w:r>
            <w:r w:rsidR="005030E1">
              <w:rPr>
                <w:rFonts w:eastAsia="Times New Roman"/>
                <w:lang w:val="es-ES"/>
              </w:rPr>
              <w:t xml:space="preserve"> </w:t>
            </w:r>
            <w:r>
              <w:rPr>
                <w:rFonts w:eastAsia="Times New Roman"/>
                <w:lang w:val="es-ES"/>
              </w:rPr>
              <w:t>módulos LED)</w:t>
            </w:r>
          </w:p>
          <w:p w14:paraId="365D0648" w14:textId="77777777" w:rsidR="00D47D5D" w:rsidRPr="00520193" w:rsidRDefault="00D47D5D" w:rsidP="00520193">
            <w:pPr>
              <w:pStyle w:val="ListParagraph"/>
              <w:numPr>
                <w:ilvl w:val="0"/>
                <w:numId w:val="34"/>
              </w:numPr>
              <w:suppressAutoHyphens w:val="0"/>
              <w:spacing w:before="0" w:after="0"/>
              <w:jc w:val="left"/>
              <w:textAlignment w:val="auto"/>
              <w:rPr>
                <w:rFonts w:eastAsia="Times New Roman"/>
                <w:lang w:val="es-ES"/>
              </w:rPr>
            </w:pPr>
            <w:r w:rsidRPr="00520193">
              <w:rPr>
                <w:rFonts w:eastAsia="Times New Roman"/>
                <w:lang w:val="es-ES"/>
              </w:rPr>
              <w:t>Lámparas incandescentes</w:t>
            </w:r>
          </w:p>
          <w:p w14:paraId="29C6BC45" w14:textId="77777777" w:rsidR="00D47D5D" w:rsidRPr="00520193" w:rsidRDefault="00D47D5D" w:rsidP="00520193">
            <w:pPr>
              <w:pStyle w:val="ListParagraph"/>
              <w:numPr>
                <w:ilvl w:val="0"/>
                <w:numId w:val="34"/>
              </w:numPr>
              <w:suppressAutoHyphens w:val="0"/>
              <w:spacing w:before="0" w:after="0"/>
              <w:jc w:val="left"/>
              <w:textAlignment w:val="auto"/>
              <w:rPr>
                <w:rFonts w:eastAsia="Times New Roman"/>
                <w:lang w:val="es-ES"/>
              </w:rPr>
            </w:pPr>
            <w:r w:rsidRPr="00520193">
              <w:rPr>
                <w:rFonts w:eastAsia="Times New Roman"/>
                <w:lang w:val="es-ES"/>
              </w:rPr>
              <w:t>Lámparas incandescentes con halógenos</w:t>
            </w:r>
          </w:p>
          <w:p w14:paraId="48315AD0" w14:textId="77777777" w:rsidR="00D47D5D" w:rsidRPr="00520193" w:rsidRDefault="00D47D5D" w:rsidP="00520193">
            <w:pPr>
              <w:pStyle w:val="ListParagraph"/>
              <w:numPr>
                <w:ilvl w:val="0"/>
                <w:numId w:val="34"/>
              </w:numPr>
              <w:suppressAutoHyphens w:val="0"/>
              <w:spacing w:before="0" w:after="0"/>
              <w:jc w:val="left"/>
              <w:textAlignment w:val="auto"/>
              <w:rPr>
                <w:rFonts w:eastAsia="Times New Roman"/>
                <w:lang w:val="es-ES"/>
              </w:rPr>
            </w:pPr>
            <w:r w:rsidRPr="00520193">
              <w:rPr>
                <w:rFonts w:eastAsia="Times New Roman"/>
                <w:lang w:val="es-ES"/>
              </w:rPr>
              <w:t>Lámparas fluorescentes (lineales)</w:t>
            </w:r>
          </w:p>
          <w:p w14:paraId="2875BCCC" w14:textId="77777777" w:rsidR="00D47D5D" w:rsidRPr="00520193" w:rsidRDefault="00D47D5D" w:rsidP="00520193">
            <w:pPr>
              <w:pStyle w:val="ListParagraph"/>
              <w:numPr>
                <w:ilvl w:val="0"/>
                <w:numId w:val="34"/>
              </w:numPr>
              <w:suppressAutoHyphens w:val="0"/>
              <w:spacing w:before="0" w:after="0"/>
              <w:jc w:val="left"/>
              <w:textAlignment w:val="auto"/>
              <w:rPr>
                <w:rFonts w:eastAsia="Times New Roman"/>
                <w:lang w:val="es-ES"/>
              </w:rPr>
            </w:pPr>
            <w:r w:rsidRPr="00520193">
              <w:rPr>
                <w:rFonts w:eastAsia="Times New Roman"/>
                <w:lang w:val="es-ES"/>
              </w:rPr>
              <w:t>LFC autobalastradas</w:t>
            </w:r>
          </w:p>
          <w:p w14:paraId="47D8B2C7" w14:textId="77777777" w:rsidR="00D47D5D" w:rsidRPr="00520193" w:rsidRDefault="00D47D5D" w:rsidP="00520193">
            <w:pPr>
              <w:pStyle w:val="ListParagraph"/>
              <w:numPr>
                <w:ilvl w:val="0"/>
                <w:numId w:val="34"/>
              </w:numPr>
              <w:suppressAutoHyphens w:val="0"/>
              <w:spacing w:before="0" w:after="0"/>
              <w:jc w:val="left"/>
              <w:textAlignment w:val="auto"/>
              <w:rPr>
                <w:rFonts w:eastAsia="Times New Roman"/>
                <w:lang w:val="es-ES"/>
              </w:rPr>
            </w:pPr>
            <w:r w:rsidRPr="00520193">
              <w:rPr>
                <w:rFonts w:eastAsia="Times New Roman"/>
                <w:lang w:val="es-ES"/>
              </w:rPr>
              <w:t>Lámparas de descarga de alta intensidad</w:t>
            </w:r>
          </w:p>
          <w:p w14:paraId="63423851" w14:textId="0817F8CA" w:rsidR="00D47D5D" w:rsidRPr="00316DB7" w:rsidRDefault="00D47D5D" w:rsidP="00D47D5D">
            <w:pPr>
              <w:suppressAutoHyphens w:val="0"/>
              <w:spacing w:before="0" w:after="0"/>
              <w:jc w:val="left"/>
              <w:textAlignment w:val="auto"/>
              <w:rPr>
                <w:rFonts w:eastAsia="Times New Roman"/>
                <w:lang w:val="es-ES"/>
              </w:rPr>
            </w:pPr>
          </w:p>
        </w:tc>
      </w:tr>
      <w:tr w:rsidR="00D47D5D" w:rsidRPr="00D47D5D" w14:paraId="4C50012C" w14:textId="77777777" w:rsidTr="00D47D5D">
        <w:tc>
          <w:tcPr>
            <w:tcW w:w="424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81C692E" w14:textId="073CFEDF" w:rsidR="00D47D5D" w:rsidRPr="000C68E2" w:rsidRDefault="00520193" w:rsidP="00D47D5D">
            <w:pPr>
              <w:suppressAutoHyphens w:val="0"/>
              <w:spacing w:before="0" w:after="0"/>
              <w:jc w:val="left"/>
              <w:textAlignment w:val="auto"/>
              <w:rPr>
                <w:rFonts w:eastAsia="Times New Roman"/>
                <w:lang w:val="es-ES"/>
              </w:rPr>
            </w:pPr>
            <w:r w:rsidRPr="00520193">
              <w:rPr>
                <w:rFonts w:eastAsia="Times New Roman"/>
                <w:lang w:val="es-ES"/>
              </w:rPr>
              <w:t>–</w:t>
            </w:r>
          </w:p>
        </w:tc>
        <w:tc>
          <w:tcPr>
            <w:tcW w:w="42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0306C0D" w14:textId="41D52C09" w:rsidR="00520193" w:rsidRDefault="00520193" w:rsidP="00520193">
            <w:pPr>
              <w:suppressAutoHyphens w:val="0"/>
              <w:spacing w:before="0" w:after="0"/>
              <w:jc w:val="left"/>
              <w:textAlignment w:val="auto"/>
              <w:rPr>
                <w:rFonts w:eastAsia="Times New Roman"/>
                <w:lang w:val="es-ES"/>
              </w:rPr>
            </w:pPr>
            <w:r>
              <w:rPr>
                <w:rFonts w:eastAsia="Times New Roman"/>
                <w:lang w:val="es-ES"/>
              </w:rPr>
              <w:t xml:space="preserve">Lámparas y </w:t>
            </w:r>
            <w:r w:rsidR="005030E1" w:rsidRPr="005030E1">
              <w:rPr>
                <w:rFonts w:eastAsia="Times New Roman"/>
                <w:color w:val="FF0000"/>
                <w:lang w:val="es-ES"/>
              </w:rPr>
              <w:t xml:space="preserve">luminarias / </w:t>
            </w:r>
            <w:r>
              <w:rPr>
                <w:rFonts w:eastAsia="Times New Roman"/>
                <w:lang w:val="es-ES"/>
              </w:rPr>
              <w:t>módulos LED:</w:t>
            </w:r>
          </w:p>
          <w:p w14:paraId="446CCDE6" w14:textId="30900584" w:rsidR="00520193" w:rsidRPr="00520193" w:rsidRDefault="00520193" w:rsidP="00520193">
            <w:pPr>
              <w:pStyle w:val="ListParagraph"/>
              <w:numPr>
                <w:ilvl w:val="0"/>
                <w:numId w:val="35"/>
              </w:numPr>
              <w:suppressAutoHyphens w:val="0"/>
              <w:spacing w:before="0" w:after="0"/>
              <w:jc w:val="left"/>
              <w:textAlignment w:val="auto"/>
              <w:rPr>
                <w:rFonts w:eastAsia="Times New Roman"/>
                <w:lang w:val="es-ES"/>
              </w:rPr>
            </w:pPr>
            <w:r w:rsidRPr="00520193">
              <w:rPr>
                <w:rFonts w:eastAsia="Times New Roman"/>
                <w:lang w:val="es-ES"/>
              </w:rPr>
              <w:t>Lámparas LED integradas</w:t>
            </w:r>
          </w:p>
          <w:p w14:paraId="04FBD611" w14:textId="7E330532" w:rsidR="00D47D5D" w:rsidRPr="00520193" w:rsidRDefault="005030E1" w:rsidP="005030E1">
            <w:pPr>
              <w:pStyle w:val="ListParagraph"/>
              <w:numPr>
                <w:ilvl w:val="0"/>
                <w:numId w:val="35"/>
              </w:numPr>
              <w:suppressAutoHyphens w:val="0"/>
              <w:spacing w:before="0" w:after="0"/>
              <w:jc w:val="left"/>
              <w:textAlignment w:val="auto"/>
              <w:rPr>
                <w:rFonts w:eastAsia="Times New Roman"/>
                <w:lang w:val="es-ES"/>
              </w:rPr>
            </w:pPr>
            <w:r w:rsidRPr="005030E1">
              <w:rPr>
                <w:rFonts w:eastAsia="Times New Roman"/>
                <w:color w:val="FF0000"/>
                <w:lang w:val="es-ES"/>
              </w:rPr>
              <w:t>Luminarias /</w:t>
            </w:r>
            <w:r>
              <w:rPr>
                <w:rFonts w:eastAsia="Times New Roman"/>
                <w:lang w:val="es-ES"/>
              </w:rPr>
              <w:t xml:space="preserve"> m</w:t>
            </w:r>
            <w:r w:rsidR="00520193" w:rsidRPr="00520193">
              <w:rPr>
                <w:rFonts w:eastAsia="Times New Roman"/>
                <w:lang w:val="es-ES"/>
              </w:rPr>
              <w:t>ódulos LED</w:t>
            </w:r>
          </w:p>
        </w:tc>
      </w:tr>
    </w:tbl>
    <w:p w14:paraId="52CD6A50" w14:textId="77777777" w:rsidR="00D47D5D" w:rsidRDefault="00D47D5D" w:rsidP="00D47D5D">
      <w:pPr>
        <w:suppressAutoHyphens w:val="0"/>
        <w:rPr>
          <w:lang w:val="es-ES"/>
        </w:rPr>
      </w:pPr>
    </w:p>
    <w:p w14:paraId="186DB7A3" w14:textId="53A509DF" w:rsidR="00DE431E" w:rsidRPr="00DE431E" w:rsidRDefault="00DE431E" w:rsidP="00DE431E">
      <w:pPr>
        <w:pStyle w:val="Heading2"/>
        <w:rPr>
          <w:lang w:val="es-ES"/>
        </w:rPr>
      </w:pPr>
      <w:bookmarkStart w:id="61" w:name="_Toc516146030"/>
      <w:r>
        <w:rPr>
          <w:lang w:val="es-ES"/>
        </w:rPr>
        <w:t>Normas de medición (métodos de prueba)</w:t>
      </w:r>
      <w:bookmarkEnd w:id="61"/>
    </w:p>
    <w:p w14:paraId="646B0F18" w14:textId="6B9D2C30" w:rsidR="00DE431E" w:rsidRDefault="00501BA5" w:rsidP="00E437B9">
      <w:pPr>
        <w:spacing w:before="0" w:after="140"/>
        <w:rPr>
          <w:lang w:val="es-ES"/>
        </w:rPr>
      </w:pPr>
      <w:r>
        <w:rPr>
          <w:lang w:val="es-ES"/>
        </w:rPr>
        <w:t>De acuerdo a lo expuesto en la sección 3.5.2 existen dos opciones principales: (i) alineación con normas internacionales ISO/IEC o (ii) alineación con los métodos de prueba incluidas las NOM-ENER para lámparas y en las normas mexicanas NMX y otras normas referenciadas.</w:t>
      </w:r>
      <w:r w:rsidR="00B53358">
        <w:rPr>
          <w:lang w:val="es-ES"/>
        </w:rPr>
        <w:t xml:space="preserve"> Cada opción tiene </w:t>
      </w:r>
      <w:r w:rsidR="00ED255A">
        <w:rPr>
          <w:lang w:val="es-ES"/>
        </w:rPr>
        <w:t xml:space="preserve">implicaciones </w:t>
      </w:r>
      <w:r w:rsidR="00B53358">
        <w:rPr>
          <w:lang w:val="es-ES"/>
        </w:rPr>
        <w:t>específicas.</w:t>
      </w:r>
      <w:r>
        <w:rPr>
          <w:lang w:val="es-ES"/>
        </w:rPr>
        <w:t xml:space="preserve"> </w:t>
      </w:r>
    </w:p>
    <w:p w14:paraId="2B0E9A91" w14:textId="7245C1EF" w:rsidR="00B53358" w:rsidRDefault="00B53358" w:rsidP="00DE431E">
      <w:pPr>
        <w:spacing w:before="0" w:after="140"/>
        <w:rPr>
          <w:lang w:val="es-ES"/>
        </w:rPr>
      </w:pPr>
      <w:r>
        <w:rPr>
          <w:lang w:val="es-ES"/>
        </w:rPr>
        <w:t>Opción A: Alineación con normas ISO/IEC</w:t>
      </w:r>
    </w:p>
    <w:p w14:paraId="792DD346" w14:textId="51F57F04" w:rsidR="00B53358" w:rsidRDefault="00B53358" w:rsidP="00DE431E">
      <w:pPr>
        <w:spacing w:before="0" w:after="140"/>
        <w:rPr>
          <w:lang w:val="es-ES"/>
        </w:rPr>
      </w:pPr>
      <w:r>
        <w:rPr>
          <w:lang w:val="es-ES"/>
        </w:rPr>
        <w:t>Las normas internacionales ISO/IEC son el referente principal a nivel mundial y, por lo tanto, de aplicación en muchos países del mundo, incluidos varios países de América Latina, en particular de Suramérica.</w:t>
      </w:r>
    </w:p>
    <w:p w14:paraId="04CDAC71" w14:textId="763CDD12" w:rsidR="00B53358" w:rsidRDefault="00B53358" w:rsidP="00DE431E">
      <w:pPr>
        <w:spacing w:before="0" w:after="140"/>
        <w:rPr>
          <w:lang w:val="es-ES"/>
        </w:rPr>
      </w:pPr>
      <w:r>
        <w:rPr>
          <w:lang w:val="es-ES"/>
        </w:rPr>
        <w:lastRenderedPageBreak/>
        <w:t xml:space="preserve">En el ámbito de las lámparas, existen normas de medición IEC para cada tipo de lámpara y para la medición de las distintas características de las lámparas, incluidas sus características </w:t>
      </w:r>
      <w:r w:rsidR="00022A5F">
        <w:rPr>
          <w:lang w:val="es-ES"/>
        </w:rPr>
        <w:t xml:space="preserve">eléctricas, </w:t>
      </w:r>
      <w:r>
        <w:rPr>
          <w:lang w:val="es-ES"/>
        </w:rPr>
        <w:t xml:space="preserve">fotométricas y de eficacia luminosa. </w:t>
      </w:r>
      <w:r w:rsidR="000459A5">
        <w:rPr>
          <w:lang w:val="es-ES"/>
        </w:rPr>
        <w:t xml:space="preserve">Estas </w:t>
      </w:r>
      <w:r>
        <w:rPr>
          <w:lang w:val="es-ES"/>
        </w:rPr>
        <w:t xml:space="preserve">normas </w:t>
      </w:r>
      <w:r w:rsidR="000459A5">
        <w:rPr>
          <w:lang w:val="es-ES"/>
        </w:rPr>
        <w:t xml:space="preserve">son equivalentes con las normas europeas EN correspondientes (véase </w:t>
      </w:r>
      <w:r>
        <w:rPr>
          <w:lang w:val="es-ES"/>
        </w:rPr>
        <w:t xml:space="preserve">la tabla 4 y el Anexo 9) </w:t>
      </w:r>
      <w:r w:rsidR="000459A5">
        <w:rPr>
          <w:lang w:val="es-ES"/>
        </w:rPr>
        <w:t xml:space="preserve">e </w:t>
      </w:r>
      <w:r>
        <w:rPr>
          <w:lang w:val="es-ES"/>
        </w:rPr>
        <w:t>incluyen referencias a otras normas específicas</w:t>
      </w:r>
      <w:r w:rsidRPr="002004B3">
        <w:rPr>
          <w:lang w:val="es-ES"/>
        </w:rPr>
        <w:t>, en particular otras normas IEC.</w:t>
      </w:r>
      <w:r w:rsidR="00D43201" w:rsidRPr="002004B3">
        <w:rPr>
          <w:lang w:val="es-ES"/>
        </w:rPr>
        <w:t xml:space="preserve"> Un resumen de las normas referenciadas se muestra en </w:t>
      </w:r>
      <w:r w:rsidR="00022A5F" w:rsidRPr="002004B3">
        <w:rPr>
          <w:lang w:val="es-ES"/>
        </w:rPr>
        <w:t xml:space="preserve">los </w:t>
      </w:r>
      <w:r w:rsidR="00D43201" w:rsidRPr="002004B3">
        <w:rPr>
          <w:lang w:val="es-ES"/>
        </w:rPr>
        <w:t>Anexo</w:t>
      </w:r>
      <w:r w:rsidR="00022A5F" w:rsidRPr="002004B3">
        <w:rPr>
          <w:lang w:val="es-ES"/>
        </w:rPr>
        <w:t>s</w:t>
      </w:r>
      <w:r w:rsidR="002004B3" w:rsidRPr="002004B3">
        <w:rPr>
          <w:lang w:val="es-ES"/>
        </w:rPr>
        <w:t xml:space="preserve"> 11 – 14, para lámparas incandescentes, LFC autobalastradas, lámparas fluorescentes de doble base, lámparas LED integradas y </w:t>
      </w:r>
      <w:r w:rsidR="005030E1" w:rsidRPr="005030E1">
        <w:rPr>
          <w:color w:val="FF0000"/>
          <w:lang w:val="es-ES"/>
        </w:rPr>
        <w:t>luminarias /</w:t>
      </w:r>
      <w:r w:rsidR="005030E1">
        <w:rPr>
          <w:lang w:val="es-ES"/>
        </w:rPr>
        <w:t xml:space="preserve"> </w:t>
      </w:r>
      <w:r w:rsidR="002004B3" w:rsidRPr="002004B3">
        <w:rPr>
          <w:lang w:val="es-ES"/>
        </w:rPr>
        <w:t>módulos LED</w:t>
      </w:r>
      <w:r w:rsidR="00D43201" w:rsidRPr="002004B3">
        <w:rPr>
          <w:lang w:val="es-ES"/>
        </w:rPr>
        <w:t>.</w:t>
      </w:r>
    </w:p>
    <w:p w14:paraId="733DF988" w14:textId="4871AEB1" w:rsidR="00B53358" w:rsidRDefault="00B53358" w:rsidP="00DE431E">
      <w:pPr>
        <w:spacing w:before="0" w:after="140"/>
        <w:rPr>
          <w:lang w:val="es-ES"/>
        </w:rPr>
      </w:pPr>
      <w:r>
        <w:rPr>
          <w:lang w:val="es-ES"/>
        </w:rPr>
        <w:t xml:space="preserve">De acuerdo a la información recibida en la reunión del 5 de marzo de 2018, todas normas de medición aplicadas en Panamá deben ser homologadas como normas técnicas DGNTI-COPANIT. Ello significa que tanto las normas principales como las referenciadas deben ser </w:t>
      </w:r>
      <w:r w:rsidR="000459A5">
        <w:rPr>
          <w:lang w:val="es-ES"/>
        </w:rPr>
        <w:t xml:space="preserve">homologadas y </w:t>
      </w:r>
      <w:r w:rsidR="00D43201">
        <w:rPr>
          <w:lang w:val="es-ES"/>
        </w:rPr>
        <w:t xml:space="preserve">publicadas </w:t>
      </w:r>
      <w:r w:rsidR="00270A19">
        <w:rPr>
          <w:lang w:val="es-ES"/>
        </w:rPr>
        <w:t>como</w:t>
      </w:r>
      <w:r>
        <w:rPr>
          <w:lang w:val="es-ES"/>
        </w:rPr>
        <w:t xml:space="preserve"> normas </w:t>
      </w:r>
      <w:r w:rsidR="00D43201">
        <w:rPr>
          <w:lang w:val="es-ES"/>
        </w:rPr>
        <w:t>DGNTI-COPANIT</w:t>
      </w:r>
      <w:r>
        <w:rPr>
          <w:lang w:val="es-ES"/>
        </w:rPr>
        <w:t>, en idioma español.</w:t>
      </w:r>
      <w:r>
        <w:rPr>
          <w:rStyle w:val="FootnoteReference"/>
        </w:rPr>
        <w:footnoteReference w:id="98"/>
      </w:r>
      <w:r>
        <w:rPr>
          <w:lang w:val="es-ES"/>
        </w:rPr>
        <w:t xml:space="preserve"> La elaboración de normas técnicas DGNTI-COPANIT equivalentes a las normas IEC correspondientes implica que las NT debe</w:t>
      </w:r>
      <w:r w:rsidR="00270A19">
        <w:rPr>
          <w:lang w:val="es-ES"/>
        </w:rPr>
        <w:t>n</w:t>
      </w:r>
      <w:r>
        <w:rPr>
          <w:lang w:val="es-ES"/>
        </w:rPr>
        <w:t xml:space="preserve"> ser separadas del reglamento técnico (o de los reglamentos técnicos) par</w:t>
      </w:r>
      <w:r w:rsidR="000459A5">
        <w:rPr>
          <w:lang w:val="es-ES"/>
        </w:rPr>
        <w:t>a lámparas, y publicadas como normas técnicas DGNTI-COPANIT.</w:t>
      </w:r>
    </w:p>
    <w:p w14:paraId="09046A90" w14:textId="6F638160" w:rsidR="00270A19" w:rsidRDefault="00270A19" w:rsidP="00DE431E">
      <w:pPr>
        <w:spacing w:before="0" w:after="140"/>
        <w:rPr>
          <w:lang w:val="es-ES"/>
        </w:rPr>
      </w:pPr>
      <w:r>
        <w:rPr>
          <w:lang w:val="es-ES"/>
        </w:rPr>
        <w:t>Opción B: Alineación con los métodos de prueba incluidas en las NOM-ENER y NMX</w:t>
      </w:r>
    </w:p>
    <w:p w14:paraId="57673463" w14:textId="73547DDB" w:rsidR="00270A19" w:rsidRDefault="00270A19" w:rsidP="00DE431E">
      <w:pPr>
        <w:spacing w:before="0" w:after="140"/>
        <w:rPr>
          <w:lang w:val="es-ES"/>
        </w:rPr>
      </w:pPr>
      <w:r>
        <w:rPr>
          <w:lang w:val="es-ES"/>
        </w:rPr>
        <w:t>Las NOM-ENER para</w:t>
      </w:r>
      <w:r w:rsidR="00FF31A5">
        <w:rPr>
          <w:lang w:val="es-ES"/>
        </w:rPr>
        <w:t xml:space="preserve"> lámparas y las normas NMX referenciadas se muestran en el Anexo 10. Similar a las normas IEC</w:t>
      </w:r>
      <w:r w:rsidR="00FF31A5" w:rsidRPr="00C61AC7">
        <w:rPr>
          <w:lang w:val="es-ES"/>
        </w:rPr>
        <w:t xml:space="preserve">, las normas NMX incluyen de su parte referencias a otras normas </w:t>
      </w:r>
      <w:r w:rsidR="00C61AC7" w:rsidRPr="00C61AC7">
        <w:rPr>
          <w:lang w:val="es-ES"/>
        </w:rPr>
        <w:t xml:space="preserve">de </w:t>
      </w:r>
      <w:r w:rsidR="00C61AC7" w:rsidRPr="00C974ED">
        <w:rPr>
          <w:lang w:val="es-ES"/>
        </w:rPr>
        <w:t xml:space="preserve">medición, en particular normas NMX y – </w:t>
      </w:r>
      <w:r w:rsidR="002004B3" w:rsidRPr="00C974ED">
        <w:rPr>
          <w:lang w:val="es-ES"/>
        </w:rPr>
        <w:t>para consulta</w:t>
      </w:r>
      <w:r w:rsidR="00C61AC7" w:rsidRPr="00C974ED">
        <w:rPr>
          <w:lang w:val="es-ES"/>
        </w:rPr>
        <w:t xml:space="preserve"> – normas IEC.</w:t>
      </w:r>
      <w:r w:rsidRPr="00C974ED">
        <w:rPr>
          <w:lang w:val="es-ES"/>
        </w:rPr>
        <w:t xml:space="preserve"> </w:t>
      </w:r>
      <w:r w:rsidR="000459A5" w:rsidRPr="00C974ED">
        <w:rPr>
          <w:lang w:val="es-ES"/>
        </w:rPr>
        <w:t>Un resumen de las normas referenciadas se muestra</w:t>
      </w:r>
      <w:r w:rsidR="002004B3" w:rsidRPr="00C974ED">
        <w:rPr>
          <w:lang w:val="es-ES"/>
        </w:rPr>
        <w:t>, en comparación con las normas EN/IEC correspondientes,</w:t>
      </w:r>
      <w:r w:rsidR="000459A5" w:rsidRPr="00C974ED">
        <w:rPr>
          <w:lang w:val="es-ES"/>
        </w:rPr>
        <w:t xml:space="preserve"> en </w:t>
      </w:r>
      <w:r w:rsidR="002004B3" w:rsidRPr="00C974ED">
        <w:rPr>
          <w:lang w:val="es-ES"/>
        </w:rPr>
        <w:t xml:space="preserve">los </w:t>
      </w:r>
      <w:r w:rsidR="000459A5" w:rsidRPr="00C974ED">
        <w:rPr>
          <w:lang w:val="es-ES"/>
        </w:rPr>
        <w:t>Anexo</w:t>
      </w:r>
      <w:r w:rsidR="002004B3" w:rsidRPr="00C974ED">
        <w:rPr>
          <w:lang w:val="es-ES"/>
        </w:rPr>
        <w:t>s 11 – 13, para lámparas incandescentes</w:t>
      </w:r>
      <w:r w:rsidR="002004B3" w:rsidRPr="002004B3">
        <w:rPr>
          <w:lang w:val="es-ES"/>
        </w:rPr>
        <w:t>, LFC autobalastradas</w:t>
      </w:r>
      <w:r w:rsidR="002004B3">
        <w:rPr>
          <w:lang w:val="es-ES"/>
        </w:rPr>
        <w:t xml:space="preserve"> y</w:t>
      </w:r>
      <w:r w:rsidR="002004B3" w:rsidRPr="002004B3">
        <w:rPr>
          <w:lang w:val="es-ES"/>
        </w:rPr>
        <w:t xml:space="preserve"> lámparas fluorescentes de doble base</w:t>
      </w:r>
      <w:r w:rsidR="002004B3">
        <w:rPr>
          <w:lang w:val="es-ES"/>
        </w:rPr>
        <w:t xml:space="preserve">. Cabe mencionar que las normas oficiales mexicanas para lámparas LED integradas </w:t>
      </w:r>
      <w:r w:rsidR="00A53BB9">
        <w:rPr>
          <w:lang w:val="es-ES"/>
        </w:rPr>
        <w:t xml:space="preserve">(NOM-030-ENER-2016) </w:t>
      </w:r>
      <w:r w:rsidR="002004B3">
        <w:rPr>
          <w:lang w:val="es-ES"/>
        </w:rPr>
        <w:t xml:space="preserve">y para </w:t>
      </w:r>
      <w:r w:rsidR="004129E8">
        <w:rPr>
          <w:lang w:val="es-ES"/>
        </w:rPr>
        <w:t xml:space="preserve">luminarias </w:t>
      </w:r>
      <w:r w:rsidR="00C974ED">
        <w:rPr>
          <w:lang w:val="es-ES"/>
        </w:rPr>
        <w:t xml:space="preserve">con LEDs destinados a vialidades y áreas exteriores </w:t>
      </w:r>
      <w:r w:rsidR="004129E8">
        <w:rPr>
          <w:lang w:val="es-ES"/>
        </w:rPr>
        <w:t xml:space="preserve">públicas </w:t>
      </w:r>
      <w:r w:rsidR="00A53BB9">
        <w:rPr>
          <w:lang w:val="es-ES"/>
        </w:rPr>
        <w:t xml:space="preserve">(NOM-031-ENER-2012) </w:t>
      </w:r>
      <w:r w:rsidR="00C974ED">
        <w:rPr>
          <w:lang w:val="es-ES"/>
        </w:rPr>
        <w:t>incluyen – de forma integral – los métodos de prueba en sus anexos, con pocas referencias a normas NMX (véase el Anexo 10).</w:t>
      </w:r>
    </w:p>
    <w:p w14:paraId="321148B4" w14:textId="784EBE57" w:rsidR="00DA416A" w:rsidRDefault="00DA416A" w:rsidP="00DE431E">
      <w:pPr>
        <w:spacing w:before="0" w:after="140"/>
        <w:rPr>
          <w:lang w:val="es-ES"/>
        </w:rPr>
      </w:pPr>
      <w:r>
        <w:rPr>
          <w:lang w:val="es-ES"/>
        </w:rPr>
        <w:t xml:space="preserve">En el caso de una alineación a las NOM-ENER para lámparas será necesario homologar tanto los métodos de prueba </w:t>
      </w:r>
      <w:r w:rsidR="004129E8">
        <w:rPr>
          <w:lang w:val="es-ES"/>
        </w:rPr>
        <w:t xml:space="preserve">incluidos </w:t>
      </w:r>
      <w:r>
        <w:rPr>
          <w:lang w:val="es-ES"/>
        </w:rPr>
        <w:t>en las NOM-ENER, como las normas referenciadas en la NOM-ENER como normas técnicas DGNTI-COPANIT.</w:t>
      </w:r>
      <w:r>
        <w:rPr>
          <w:rStyle w:val="FootnoteReference"/>
        </w:rPr>
        <w:footnoteReference w:id="99"/>
      </w:r>
    </w:p>
    <w:p w14:paraId="7385F1EF" w14:textId="779C1551" w:rsidR="00DE431E" w:rsidRPr="00DE431E" w:rsidRDefault="00DE431E" w:rsidP="00DE431E">
      <w:pPr>
        <w:pStyle w:val="Heading2"/>
        <w:rPr>
          <w:lang w:val="es-ES"/>
        </w:rPr>
      </w:pPr>
      <w:bookmarkStart w:id="62" w:name="_Toc516146031"/>
      <w:r>
        <w:rPr>
          <w:lang w:val="es-ES"/>
        </w:rPr>
        <w:t xml:space="preserve">Límites de desempeño energético </w:t>
      </w:r>
      <w:r w:rsidR="00B53358">
        <w:rPr>
          <w:lang w:val="es-ES"/>
        </w:rPr>
        <w:t>m</w:t>
      </w:r>
      <w:r>
        <w:rPr>
          <w:lang w:val="es-ES"/>
        </w:rPr>
        <w:t>ínimo</w:t>
      </w:r>
      <w:bookmarkEnd w:id="62"/>
    </w:p>
    <w:p w14:paraId="749F5DE0" w14:textId="7FE90623" w:rsidR="00DE431E" w:rsidRDefault="00A36747" w:rsidP="00DE431E">
      <w:pPr>
        <w:spacing w:before="0" w:after="140"/>
        <w:rPr>
          <w:lang w:val="es-ES"/>
        </w:rPr>
      </w:pPr>
      <w:r>
        <w:rPr>
          <w:lang w:val="es-ES"/>
        </w:rPr>
        <w:t xml:space="preserve">Como se mostró en las secciones anteriores, existe </w:t>
      </w:r>
      <w:r w:rsidRPr="00A36747">
        <w:rPr>
          <w:lang w:val="es-ES"/>
        </w:rPr>
        <w:t>–</w:t>
      </w:r>
      <w:r>
        <w:rPr>
          <w:lang w:val="es-ES"/>
        </w:rPr>
        <w:t xml:space="preserve"> en el ámbito internacional </w:t>
      </w:r>
      <w:r w:rsidRPr="00A36747">
        <w:rPr>
          <w:lang w:val="es-ES"/>
        </w:rPr>
        <w:t>–</w:t>
      </w:r>
      <w:r>
        <w:rPr>
          <w:lang w:val="es-ES"/>
        </w:rPr>
        <w:t xml:space="preserve"> una tendencia hacia </w:t>
      </w:r>
      <w:r w:rsidR="004129E8">
        <w:rPr>
          <w:lang w:val="es-ES"/>
        </w:rPr>
        <w:t>límites</w:t>
      </w:r>
      <w:r>
        <w:rPr>
          <w:lang w:val="es-ES"/>
        </w:rPr>
        <w:t xml:space="preserve"> de desempeño energético mínimos más exigentes. Sujeto del tipo de lámpara estos valores límites varían típicamente entre 60 lm/W y alrededor </w:t>
      </w:r>
      <w:r w:rsidR="004037DD">
        <w:rPr>
          <w:lang w:val="es-ES"/>
        </w:rPr>
        <w:t xml:space="preserve">de </w:t>
      </w:r>
      <w:r>
        <w:rPr>
          <w:lang w:val="es-ES"/>
        </w:rPr>
        <w:t>100 lm/W. Como se puede apreciar de las figuras</w:t>
      </w:r>
      <w:r w:rsidR="00F15D52">
        <w:rPr>
          <w:lang w:val="es-ES"/>
        </w:rPr>
        <w:t xml:space="preserve"> 3, 5, 7 y 8, algunos límites se definen en función del</w:t>
      </w:r>
      <w:r w:rsidR="00942E79">
        <w:rPr>
          <w:lang w:val="es-ES"/>
        </w:rPr>
        <w:t xml:space="preserve"> flujo </w:t>
      </w:r>
      <w:r w:rsidR="00F15D52">
        <w:rPr>
          <w:lang w:val="es-ES"/>
        </w:rPr>
        <w:t>luminos</w:t>
      </w:r>
      <w:r w:rsidR="00942E79">
        <w:rPr>
          <w:lang w:val="es-ES"/>
        </w:rPr>
        <w:t>o</w:t>
      </w:r>
      <w:r w:rsidR="00F15D52">
        <w:rPr>
          <w:lang w:val="es-ES"/>
        </w:rPr>
        <w:t xml:space="preserve"> (lm)</w:t>
      </w:r>
      <w:r w:rsidR="00F15D52">
        <w:rPr>
          <w:rStyle w:val="FootnoteReference"/>
        </w:rPr>
        <w:footnoteReference w:id="100"/>
      </w:r>
      <w:r w:rsidR="00F15D52">
        <w:rPr>
          <w:lang w:val="es-ES"/>
        </w:rPr>
        <w:t xml:space="preserve"> de la lámpara, como curvas continuas o escalonadas, mientras que en otros casos se aplican valores límites independientes del</w:t>
      </w:r>
      <w:r w:rsidR="00942E79">
        <w:rPr>
          <w:lang w:val="es-ES"/>
        </w:rPr>
        <w:t xml:space="preserve"> flujo </w:t>
      </w:r>
      <w:r w:rsidR="00F15D52">
        <w:rPr>
          <w:lang w:val="es-ES"/>
        </w:rPr>
        <w:t>luminos</w:t>
      </w:r>
      <w:r w:rsidR="00942E79">
        <w:rPr>
          <w:lang w:val="es-ES"/>
        </w:rPr>
        <w:t>o</w:t>
      </w:r>
      <w:r w:rsidR="00F15D52">
        <w:rPr>
          <w:lang w:val="es-ES"/>
        </w:rPr>
        <w:t xml:space="preserve">. Entre los </w:t>
      </w:r>
      <w:r w:rsidR="004037DD">
        <w:rPr>
          <w:lang w:val="es-ES"/>
        </w:rPr>
        <w:t xml:space="preserve">demás </w:t>
      </w:r>
      <w:r w:rsidR="00F15D52">
        <w:rPr>
          <w:lang w:val="es-ES"/>
        </w:rPr>
        <w:t>factores que se tomen en consideración para definir los índices límites se debe mencionar en particular el índice de rendimiento de color (CRI)</w:t>
      </w:r>
      <w:r w:rsidR="00F15D52">
        <w:rPr>
          <w:rStyle w:val="FootnoteReference"/>
        </w:rPr>
        <w:footnoteReference w:id="101"/>
      </w:r>
      <w:r w:rsidR="00F15D52">
        <w:rPr>
          <w:lang w:val="es-ES"/>
        </w:rPr>
        <w:t xml:space="preserve">. </w:t>
      </w:r>
    </w:p>
    <w:p w14:paraId="0F396C11" w14:textId="0E08607B" w:rsidR="00DE431E" w:rsidRDefault="00C946F4" w:rsidP="00E437B9">
      <w:pPr>
        <w:spacing w:before="0" w:after="140"/>
        <w:rPr>
          <w:lang w:val="es-ES"/>
        </w:rPr>
      </w:pPr>
      <w:r>
        <w:rPr>
          <w:lang w:val="es-ES"/>
        </w:rPr>
        <w:t>Tomando en consideración</w:t>
      </w:r>
      <w:r w:rsidR="00771373">
        <w:rPr>
          <w:lang w:val="es-ES"/>
        </w:rPr>
        <w:t xml:space="preserve"> las tendencias internacionales y el objetivo de eliminar tecnologías ineficientes del mercado, se recomienda establecer índices mínimos </w:t>
      </w:r>
      <w:r w:rsidR="00101B6F">
        <w:rPr>
          <w:lang w:val="es-ES"/>
        </w:rPr>
        <w:t xml:space="preserve">de por lo menos 60 lm/W </w:t>
      </w:r>
      <w:r w:rsidR="00101B6F">
        <w:rPr>
          <w:lang w:val="es-ES"/>
        </w:rPr>
        <w:lastRenderedPageBreak/>
        <w:t xml:space="preserve">para lámparas de uso general, eliminando de esta manera del mercado las lámparas incandescentes, incandescentes con halógenos </w:t>
      </w:r>
      <w:r w:rsidR="00101B6F" w:rsidRPr="008D6CA2">
        <w:rPr>
          <w:lang w:val="es-ES"/>
        </w:rPr>
        <w:t>y LFC</w:t>
      </w:r>
      <w:r w:rsidR="00101B6F">
        <w:rPr>
          <w:lang w:val="es-ES"/>
        </w:rPr>
        <w:t xml:space="preserve">. </w:t>
      </w:r>
      <w:r w:rsidR="00771373">
        <w:rPr>
          <w:lang w:val="es-ES"/>
        </w:rPr>
        <w:t xml:space="preserve"> </w:t>
      </w:r>
      <w:r>
        <w:rPr>
          <w:lang w:val="es-ES"/>
        </w:rPr>
        <w:t xml:space="preserve"> </w:t>
      </w:r>
    </w:p>
    <w:p w14:paraId="7269F857" w14:textId="25B54489" w:rsidR="00B814A3" w:rsidRDefault="00B814A3" w:rsidP="00E437B9">
      <w:pPr>
        <w:spacing w:before="0" w:after="140"/>
        <w:rPr>
          <w:lang w:val="es-ES"/>
        </w:rPr>
      </w:pPr>
      <w:r>
        <w:rPr>
          <w:lang w:val="es-ES"/>
        </w:rPr>
        <w:t>La figura 9 muestra opciones para límites de desempeño energético en Panamá, a la luz de las tendencias internacionales.</w:t>
      </w:r>
      <w:r>
        <w:rPr>
          <w:rStyle w:val="FootnoteReference"/>
        </w:rPr>
        <w:footnoteReference w:id="102"/>
      </w:r>
    </w:p>
    <w:p w14:paraId="700CFF89" w14:textId="77777777" w:rsidR="00B814A3" w:rsidRDefault="00B814A3" w:rsidP="00B814A3">
      <w:pPr>
        <w:suppressAutoHyphens w:val="0"/>
        <w:rPr>
          <w:rFonts w:asciiTheme="minorHAnsi" w:eastAsia="Calibri" w:hAnsiTheme="minorHAnsi" w:cstheme="minorHAnsi"/>
          <w:color w:val="auto"/>
          <w:lang w:val="es-ES"/>
        </w:rPr>
      </w:pPr>
    </w:p>
    <w:p w14:paraId="3DB41D09" w14:textId="4EF75C4F" w:rsidR="00B814A3" w:rsidRDefault="00B814A3" w:rsidP="00B814A3">
      <w:pPr>
        <w:pStyle w:val="Caption"/>
        <w:spacing w:after="0"/>
        <w:rPr>
          <w:lang w:val="es-ES"/>
        </w:rPr>
      </w:pPr>
      <w:r w:rsidRPr="00A96F74">
        <w:rPr>
          <w:lang w:val="es-ES"/>
        </w:rPr>
        <w:t xml:space="preserve">Figura </w:t>
      </w:r>
      <w:r w:rsidRPr="00A96F74">
        <w:rPr>
          <w:lang w:val="es-ES"/>
        </w:rPr>
        <w:fldChar w:fldCharType="begin"/>
      </w:r>
      <w:r w:rsidRPr="00A96F74">
        <w:rPr>
          <w:lang w:val="es-ES"/>
        </w:rPr>
        <w:instrText xml:space="preserve"> SEQ Figura \* ARABIC </w:instrText>
      </w:r>
      <w:r w:rsidRPr="00A96F74">
        <w:rPr>
          <w:lang w:val="es-ES"/>
        </w:rPr>
        <w:fldChar w:fldCharType="separate"/>
      </w:r>
      <w:r w:rsidR="005E6430">
        <w:rPr>
          <w:noProof/>
          <w:lang w:val="es-ES"/>
        </w:rPr>
        <w:t>9</w:t>
      </w:r>
      <w:r w:rsidRPr="00A96F74">
        <w:rPr>
          <w:noProof/>
          <w:lang w:val="es-ES"/>
        </w:rPr>
        <w:fldChar w:fldCharType="end"/>
      </w:r>
      <w:r w:rsidRPr="00A96F74">
        <w:rPr>
          <w:lang w:val="es-ES"/>
        </w:rPr>
        <w:t xml:space="preserve"> – </w:t>
      </w:r>
      <w:r w:rsidR="0050105D">
        <w:rPr>
          <w:lang w:val="es-ES"/>
        </w:rPr>
        <w:t>Rangos de l</w:t>
      </w:r>
      <w:r>
        <w:rPr>
          <w:lang w:val="es-ES"/>
        </w:rPr>
        <w:t>ímites de desempeño energético p</w:t>
      </w:r>
      <w:r w:rsidR="0050105D">
        <w:rPr>
          <w:lang w:val="es-ES"/>
        </w:rPr>
        <w:t>ropuestos</w:t>
      </w:r>
    </w:p>
    <w:p w14:paraId="41CABC42" w14:textId="58D13E12" w:rsidR="00B814A3" w:rsidRPr="00A96F74" w:rsidRDefault="00B814A3" w:rsidP="00B814A3">
      <w:pPr>
        <w:spacing w:before="0" w:after="140"/>
        <w:jc w:val="center"/>
        <w:rPr>
          <w:color w:val="002B7F"/>
          <w:lang w:val="es-ES"/>
        </w:rPr>
      </w:pPr>
      <w:r w:rsidRPr="00A96F74">
        <w:rPr>
          <w:i/>
          <w:color w:val="002B7F"/>
          <w:sz w:val="18"/>
          <w:lang w:val="es-ES"/>
        </w:rPr>
        <w:t>Fuente:</w:t>
      </w:r>
      <w:r w:rsidRPr="00E2630F">
        <w:rPr>
          <w:lang w:val="es-ES"/>
        </w:rPr>
        <w:t xml:space="preserve"> </w:t>
      </w:r>
      <w:r w:rsidRPr="00E2630F">
        <w:rPr>
          <w:rFonts w:cstheme="minorHAnsi"/>
          <w:color w:val="002B7F"/>
          <w:sz w:val="18"/>
          <w:lang w:val="es-PA"/>
        </w:rPr>
        <w:t>Elaboración propia</w:t>
      </w:r>
    </w:p>
    <w:p w14:paraId="0DEB8298" w14:textId="0F7E5725" w:rsidR="00B814A3" w:rsidRDefault="00B814A3" w:rsidP="00E437B9">
      <w:pPr>
        <w:spacing w:before="0" w:after="140"/>
        <w:rPr>
          <w:lang w:val="es-ES"/>
        </w:rPr>
      </w:pPr>
      <w:r>
        <w:rPr>
          <w:noProof/>
          <w:lang w:val="en-US"/>
        </w:rPr>
        <w:drawing>
          <wp:inline distT="0" distB="0" distL="0" distR="0" wp14:anchorId="7CE1DF29" wp14:editId="7E3FB6C4">
            <wp:extent cx="5400040" cy="309308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400040" cy="3093085"/>
                    </a:xfrm>
                    <a:prstGeom prst="rect">
                      <a:avLst/>
                    </a:prstGeom>
                  </pic:spPr>
                </pic:pic>
              </a:graphicData>
            </a:graphic>
          </wp:inline>
        </w:drawing>
      </w:r>
    </w:p>
    <w:p w14:paraId="57022ABA" w14:textId="77777777" w:rsidR="0050105D" w:rsidRPr="0050105D" w:rsidRDefault="0050105D" w:rsidP="0050105D">
      <w:pPr>
        <w:suppressAutoHyphens w:val="0"/>
        <w:autoSpaceDN/>
        <w:spacing w:before="0" w:after="0" w:line="216" w:lineRule="auto"/>
        <w:textAlignment w:val="auto"/>
        <w:rPr>
          <w:rFonts w:asciiTheme="minorHAnsi" w:eastAsia="Times New Roman" w:hAnsiTheme="minorHAnsi" w:cstheme="minorHAnsi"/>
          <w:color w:val="auto"/>
          <w:sz w:val="20"/>
          <w:szCs w:val="20"/>
          <w:lang w:val="es-ES" w:eastAsia="en-GB"/>
        </w:rPr>
      </w:pPr>
      <w:r w:rsidRPr="0050105D">
        <w:rPr>
          <w:rFonts w:asciiTheme="minorHAnsi" w:eastAsiaTheme="minorEastAsia" w:hAnsiTheme="minorHAnsi" w:cstheme="minorHAnsi"/>
          <w:color w:val="262626"/>
          <w:sz w:val="20"/>
          <w:szCs w:val="20"/>
          <w:lang w:val="es-ES" w:eastAsia="en-GB"/>
        </w:rPr>
        <w:t>Notas:</w:t>
      </w:r>
    </w:p>
    <w:p w14:paraId="092E145D" w14:textId="325DD7EF" w:rsidR="0050105D" w:rsidRPr="0050105D" w:rsidRDefault="0050105D" w:rsidP="0050105D">
      <w:pPr>
        <w:pStyle w:val="ListParagraph"/>
        <w:numPr>
          <w:ilvl w:val="0"/>
          <w:numId w:val="36"/>
        </w:numPr>
        <w:suppressAutoHyphens w:val="0"/>
        <w:autoSpaceDN/>
        <w:spacing w:before="0" w:after="0" w:line="216" w:lineRule="auto"/>
        <w:ind w:left="227" w:hanging="227"/>
        <w:textAlignment w:val="auto"/>
        <w:rPr>
          <w:rFonts w:asciiTheme="minorHAnsi" w:eastAsia="Times New Roman" w:hAnsiTheme="minorHAnsi" w:cstheme="minorHAnsi"/>
          <w:color w:val="auto"/>
          <w:sz w:val="20"/>
          <w:szCs w:val="20"/>
          <w:lang w:val="es-ES" w:eastAsia="en-GB"/>
        </w:rPr>
      </w:pPr>
      <w:r w:rsidRPr="0050105D">
        <w:rPr>
          <w:rFonts w:asciiTheme="minorHAnsi" w:eastAsiaTheme="minorEastAsia" w:hAnsiTheme="minorHAnsi" w:cstheme="minorHAnsi"/>
          <w:color w:val="262626"/>
          <w:sz w:val="20"/>
          <w:szCs w:val="20"/>
          <w:lang w:val="es-ES" w:eastAsia="en-GB"/>
        </w:rPr>
        <w:t>Opción 1 (45 lm/W): Elimina del mercado lámparas incandescentes e incandescentes con halógenos. Se puede aplicar para todas lámparas de uso general (incandescentes, incandescentes con h</w:t>
      </w:r>
      <w:r>
        <w:rPr>
          <w:rFonts w:asciiTheme="minorHAnsi" w:eastAsiaTheme="minorEastAsia" w:hAnsiTheme="minorHAnsi" w:cstheme="minorHAnsi"/>
          <w:color w:val="262626"/>
          <w:sz w:val="20"/>
          <w:szCs w:val="20"/>
          <w:lang w:val="es-ES" w:eastAsia="en-GB"/>
        </w:rPr>
        <w:t>a</w:t>
      </w:r>
      <w:r w:rsidRPr="0050105D">
        <w:rPr>
          <w:rFonts w:asciiTheme="minorHAnsi" w:eastAsiaTheme="minorEastAsia" w:hAnsiTheme="minorHAnsi" w:cstheme="minorHAnsi"/>
          <w:color w:val="262626"/>
          <w:sz w:val="20"/>
          <w:szCs w:val="20"/>
          <w:lang w:val="es-ES" w:eastAsia="en-GB"/>
        </w:rPr>
        <w:t>l</w:t>
      </w:r>
      <w:r>
        <w:rPr>
          <w:rFonts w:asciiTheme="minorHAnsi" w:eastAsiaTheme="minorEastAsia" w:hAnsiTheme="minorHAnsi" w:cstheme="minorHAnsi"/>
          <w:color w:val="262626"/>
          <w:sz w:val="20"/>
          <w:szCs w:val="20"/>
          <w:lang w:val="es-ES" w:eastAsia="en-GB"/>
        </w:rPr>
        <w:t>ó</w:t>
      </w:r>
      <w:r w:rsidRPr="0050105D">
        <w:rPr>
          <w:rFonts w:asciiTheme="minorHAnsi" w:eastAsiaTheme="minorEastAsia" w:hAnsiTheme="minorHAnsi" w:cstheme="minorHAnsi"/>
          <w:color w:val="262626"/>
          <w:sz w:val="20"/>
          <w:szCs w:val="20"/>
          <w:lang w:val="es-ES" w:eastAsia="en-GB"/>
        </w:rPr>
        <w:t>genos, LFC, LED; con excepción de LFL y lámparas para iluminación de exteriores)</w:t>
      </w:r>
    </w:p>
    <w:p w14:paraId="47CFF1C0" w14:textId="01D8BFE7" w:rsidR="0050105D" w:rsidRPr="0050105D" w:rsidRDefault="0050105D" w:rsidP="0050105D">
      <w:pPr>
        <w:pStyle w:val="ListParagraph"/>
        <w:numPr>
          <w:ilvl w:val="0"/>
          <w:numId w:val="36"/>
        </w:numPr>
        <w:suppressAutoHyphens w:val="0"/>
        <w:autoSpaceDN/>
        <w:spacing w:before="0" w:after="0" w:line="216" w:lineRule="auto"/>
        <w:ind w:left="227" w:hanging="227"/>
        <w:textAlignment w:val="auto"/>
        <w:rPr>
          <w:rFonts w:asciiTheme="minorHAnsi" w:eastAsia="Times New Roman" w:hAnsiTheme="minorHAnsi" w:cstheme="minorHAnsi"/>
          <w:color w:val="auto"/>
          <w:sz w:val="20"/>
          <w:szCs w:val="20"/>
          <w:lang w:val="es-ES" w:eastAsia="en-GB"/>
        </w:rPr>
      </w:pPr>
      <w:r w:rsidRPr="0050105D">
        <w:rPr>
          <w:rFonts w:asciiTheme="minorHAnsi" w:eastAsiaTheme="minorEastAsia" w:hAnsiTheme="minorHAnsi" w:cstheme="minorHAnsi"/>
          <w:color w:val="262626"/>
          <w:sz w:val="20"/>
          <w:szCs w:val="20"/>
          <w:lang w:val="es-ES" w:eastAsia="en-GB"/>
        </w:rPr>
        <w:t xml:space="preserve">Opción 2 (60 – 70 lm/W): Elimina del mercado también LFC y lámparas de vapor de mercurio </w:t>
      </w:r>
      <w:r w:rsidR="00B12B02">
        <w:rPr>
          <w:rFonts w:asciiTheme="minorHAnsi" w:eastAsiaTheme="minorEastAsia" w:hAnsiTheme="minorHAnsi" w:cstheme="minorHAnsi"/>
          <w:color w:val="262626"/>
          <w:sz w:val="20"/>
          <w:szCs w:val="20"/>
          <w:lang w:val="es-ES" w:eastAsia="en-GB"/>
        </w:rPr>
        <w:t>a</w:t>
      </w:r>
      <w:r w:rsidRPr="0050105D">
        <w:rPr>
          <w:rFonts w:asciiTheme="minorHAnsi" w:eastAsiaTheme="minorEastAsia" w:hAnsiTheme="minorHAnsi" w:cstheme="minorHAnsi"/>
          <w:color w:val="262626"/>
          <w:sz w:val="20"/>
          <w:szCs w:val="20"/>
          <w:lang w:val="es-ES" w:eastAsia="en-GB"/>
        </w:rPr>
        <w:t xml:space="preserve"> alta presión</w:t>
      </w:r>
    </w:p>
    <w:p w14:paraId="0F7A34E9" w14:textId="5EF9FFA5" w:rsidR="0050105D" w:rsidRPr="0050105D" w:rsidRDefault="0050105D" w:rsidP="0050105D">
      <w:pPr>
        <w:pStyle w:val="ListParagraph"/>
        <w:numPr>
          <w:ilvl w:val="0"/>
          <w:numId w:val="36"/>
        </w:numPr>
        <w:suppressAutoHyphens w:val="0"/>
        <w:autoSpaceDN/>
        <w:spacing w:before="0" w:after="0" w:line="216" w:lineRule="auto"/>
        <w:ind w:left="227" w:hanging="227"/>
        <w:textAlignment w:val="auto"/>
        <w:rPr>
          <w:rFonts w:asciiTheme="minorHAnsi" w:eastAsia="Times New Roman" w:hAnsiTheme="minorHAnsi" w:cstheme="minorHAnsi"/>
          <w:color w:val="auto"/>
          <w:sz w:val="20"/>
          <w:szCs w:val="20"/>
          <w:lang w:val="es-ES" w:eastAsia="en-GB"/>
        </w:rPr>
      </w:pPr>
      <w:r w:rsidRPr="0050105D">
        <w:rPr>
          <w:rFonts w:asciiTheme="minorHAnsi" w:eastAsiaTheme="minorEastAsia" w:hAnsiTheme="minorHAnsi" w:cstheme="minorHAnsi"/>
          <w:color w:val="262626"/>
          <w:sz w:val="20"/>
          <w:szCs w:val="20"/>
          <w:lang w:val="es-ES" w:eastAsia="en-GB"/>
        </w:rPr>
        <w:t>Opción 3 (80 – 90 lm/W): Se puede aplicar para todas lámparas de uso general y de iluminación de exteriores, o específicamente para LFL y lámparas de descarga en alta intensidad (eli</w:t>
      </w:r>
      <w:r>
        <w:rPr>
          <w:rFonts w:asciiTheme="minorHAnsi" w:eastAsiaTheme="minorEastAsia" w:hAnsiTheme="minorHAnsi" w:cstheme="minorHAnsi"/>
          <w:color w:val="262626"/>
          <w:sz w:val="20"/>
          <w:szCs w:val="20"/>
          <w:lang w:val="es-ES" w:eastAsia="en-GB"/>
        </w:rPr>
        <w:t>m</w:t>
      </w:r>
      <w:r w:rsidRPr="0050105D">
        <w:rPr>
          <w:rFonts w:asciiTheme="minorHAnsi" w:eastAsiaTheme="minorEastAsia" w:hAnsiTheme="minorHAnsi" w:cstheme="minorHAnsi"/>
          <w:color w:val="262626"/>
          <w:sz w:val="20"/>
          <w:szCs w:val="20"/>
          <w:lang w:val="es-ES" w:eastAsia="en-GB"/>
        </w:rPr>
        <w:t>i</w:t>
      </w:r>
      <w:r>
        <w:rPr>
          <w:rFonts w:asciiTheme="minorHAnsi" w:eastAsiaTheme="minorEastAsia" w:hAnsiTheme="minorHAnsi" w:cstheme="minorHAnsi"/>
          <w:color w:val="262626"/>
          <w:sz w:val="20"/>
          <w:szCs w:val="20"/>
          <w:lang w:val="es-ES" w:eastAsia="en-GB"/>
        </w:rPr>
        <w:t>n</w:t>
      </w:r>
      <w:r w:rsidRPr="0050105D">
        <w:rPr>
          <w:rFonts w:asciiTheme="minorHAnsi" w:eastAsiaTheme="minorEastAsia" w:hAnsiTheme="minorHAnsi" w:cstheme="minorHAnsi"/>
          <w:color w:val="262626"/>
          <w:sz w:val="20"/>
          <w:szCs w:val="20"/>
          <w:lang w:val="es-ES" w:eastAsia="en-GB"/>
        </w:rPr>
        <w:t xml:space="preserve">ará lámparas de vapor de mercurio </w:t>
      </w:r>
      <w:r w:rsidR="00B12B02">
        <w:rPr>
          <w:rFonts w:asciiTheme="minorHAnsi" w:eastAsiaTheme="minorEastAsia" w:hAnsiTheme="minorHAnsi" w:cstheme="minorHAnsi"/>
          <w:color w:val="262626"/>
          <w:sz w:val="20"/>
          <w:szCs w:val="20"/>
          <w:lang w:val="es-ES" w:eastAsia="en-GB"/>
        </w:rPr>
        <w:t>a</w:t>
      </w:r>
      <w:r w:rsidRPr="0050105D">
        <w:rPr>
          <w:rFonts w:asciiTheme="minorHAnsi" w:eastAsiaTheme="minorEastAsia" w:hAnsiTheme="minorHAnsi" w:cstheme="minorHAnsi"/>
          <w:color w:val="262626"/>
          <w:sz w:val="20"/>
          <w:szCs w:val="20"/>
          <w:lang w:val="es-ES" w:eastAsia="en-GB"/>
        </w:rPr>
        <w:t xml:space="preserve"> alta presión y parcialmente lámparas de halogenuros metálicos)   </w:t>
      </w:r>
    </w:p>
    <w:p w14:paraId="5E4C802C" w14:textId="01B751A5" w:rsidR="0050105D" w:rsidRPr="0050105D" w:rsidRDefault="0050105D" w:rsidP="0050105D">
      <w:pPr>
        <w:pStyle w:val="ListParagraph"/>
        <w:numPr>
          <w:ilvl w:val="0"/>
          <w:numId w:val="36"/>
        </w:numPr>
        <w:suppressAutoHyphens w:val="0"/>
        <w:autoSpaceDN/>
        <w:spacing w:before="0" w:after="0" w:line="216" w:lineRule="auto"/>
        <w:ind w:left="227" w:hanging="227"/>
        <w:textAlignment w:val="auto"/>
        <w:rPr>
          <w:rFonts w:asciiTheme="minorHAnsi" w:eastAsia="Times New Roman" w:hAnsiTheme="minorHAnsi" w:cstheme="minorHAnsi"/>
          <w:color w:val="auto"/>
          <w:sz w:val="20"/>
          <w:szCs w:val="20"/>
          <w:lang w:val="es-ES" w:eastAsia="en-GB"/>
        </w:rPr>
      </w:pPr>
      <w:r w:rsidRPr="0050105D">
        <w:rPr>
          <w:rFonts w:asciiTheme="minorHAnsi" w:eastAsiaTheme="minorEastAsia" w:hAnsiTheme="minorHAnsi" w:cstheme="minorHAnsi"/>
          <w:color w:val="262626"/>
          <w:sz w:val="20"/>
          <w:szCs w:val="20"/>
          <w:lang w:val="es-ES" w:eastAsia="en-GB"/>
        </w:rPr>
        <w:t>Los límites propuestos en la Unión Europea se han añadido como referencia y para demostrar la alternativa de curvas de desempeño mínimo en función del</w:t>
      </w:r>
      <w:r w:rsidR="00E62FF6">
        <w:rPr>
          <w:rFonts w:asciiTheme="minorHAnsi" w:eastAsiaTheme="minorEastAsia" w:hAnsiTheme="minorHAnsi" w:cstheme="minorHAnsi"/>
          <w:color w:val="262626"/>
          <w:sz w:val="20"/>
          <w:szCs w:val="20"/>
          <w:lang w:val="es-ES" w:eastAsia="en-GB"/>
        </w:rPr>
        <w:t xml:space="preserve"> flujo luminoso</w:t>
      </w:r>
      <w:r w:rsidRPr="0050105D">
        <w:rPr>
          <w:rFonts w:asciiTheme="minorHAnsi" w:eastAsiaTheme="minorEastAsia" w:hAnsiTheme="minorHAnsi" w:cstheme="minorHAnsi"/>
          <w:color w:val="262626"/>
          <w:sz w:val="20"/>
          <w:szCs w:val="20"/>
          <w:lang w:val="es-ES" w:eastAsia="en-GB"/>
        </w:rPr>
        <w:t xml:space="preserve"> de las lámparas. Como alternativa a curvas continuas se pueden aplicar curvas discontinuas por escalones</w:t>
      </w:r>
    </w:p>
    <w:p w14:paraId="37DDF44C" w14:textId="77777777" w:rsidR="0050105D" w:rsidRPr="0050105D" w:rsidRDefault="0050105D" w:rsidP="0050105D">
      <w:pPr>
        <w:pStyle w:val="ListParagraph"/>
        <w:numPr>
          <w:ilvl w:val="0"/>
          <w:numId w:val="36"/>
        </w:numPr>
        <w:suppressAutoHyphens w:val="0"/>
        <w:autoSpaceDN/>
        <w:spacing w:before="0" w:after="0" w:line="216" w:lineRule="auto"/>
        <w:ind w:left="227" w:hanging="227"/>
        <w:textAlignment w:val="auto"/>
        <w:rPr>
          <w:rFonts w:asciiTheme="minorHAnsi" w:eastAsia="Times New Roman" w:hAnsiTheme="minorHAnsi" w:cstheme="minorHAnsi"/>
          <w:color w:val="auto"/>
          <w:sz w:val="20"/>
          <w:szCs w:val="20"/>
          <w:lang w:val="es-ES" w:eastAsia="en-GB"/>
        </w:rPr>
      </w:pPr>
      <w:r w:rsidRPr="0050105D">
        <w:rPr>
          <w:rFonts w:asciiTheme="minorHAnsi" w:eastAsiaTheme="minorEastAsia" w:hAnsiTheme="minorHAnsi" w:cstheme="minorHAnsi"/>
          <w:color w:val="262626"/>
          <w:sz w:val="20"/>
          <w:szCs w:val="20"/>
          <w:lang w:val="es-ES" w:eastAsia="en-GB"/>
        </w:rPr>
        <w:t xml:space="preserve">Los valores de las opciones 1 – 3 son indicativos y no toman en consideración la posible segmentación de acuerdo de sub-categorías de lámparas del mismo tipo </w:t>
      </w:r>
    </w:p>
    <w:p w14:paraId="58F1D90E" w14:textId="77777777" w:rsidR="0050105D" w:rsidRPr="0050105D" w:rsidRDefault="0050105D" w:rsidP="0050105D">
      <w:pPr>
        <w:pStyle w:val="ListParagraph"/>
        <w:numPr>
          <w:ilvl w:val="0"/>
          <w:numId w:val="36"/>
        </w:numPr>
        <w:suppressAutoHyphens w:val="0"/>
        <w:autoSpaceDN/>
        <w:spacing w:before="0" w:after="0" w:line="216" w:lineRule="auto"/>
        <w:ind w:left="227" w:hanging="227"/>
        <w:textAlignment w:val="auto"/>
        <w:rPr>
          <w:rFonts w:asciiTheme="minorHAnsi" w:eastAsia="Times New Roman" w:hAnsiTheme="minorHAnsi" w:cstheme="minorHAnsi"/>
          <w:color w:val="auto"/>
          <w:sz w:val="20"/>
          <w:szCs w:val="20"/>
          <w:lang w:val="es-ES" w:eastAsia="en-GB"/>
        </w:rPr>
      </w:pPr>
      <w:r w:rsidRPr="0050105D">
        <w:rPr>
          <w:rFonts w:asciiTheme="minorHAnsi" w:eastAsiaTheme="minorEastAsia" w:hAnsiTheme="minorHAnsi" w:cstheme="minorHAnsi"/>
          <w:color w:val="262626"/>
          <w:sz w:val="20"/>
          <w:szCs w:val="20"/>
          <w:lang w:val="es-ES" w:eastAsia="en-GB"/>
        </w:rPr>
        <w:t>Se recomienda fijar los valores límites definitivos en base de análisis costo-beneficio</w:t>
      </w:r>
    </w:p>
    <w:p w14:paraId="7D1A224A" w14:textId="77777777" w:rsidR="00B814A3" w:rsidRDefault="00B814A3" w:rsidP="00E437B9">
      <w:pPr>
        <w:spacing w:before="0" w:after="140"/>
        <w:rPr>
          <w:lang w:val="es-ES"/>
        </w:rPr>
      </w:pPr>
    </w:p>
    <w:p w14:paraId="5202F3E2" w14:textId="32A66359" w:rsidR="00B814A3" w:rsidRDefault="0050105D" w:rsidP="00E437B9">
      <w:pPr>
        <w:spacing w:before="0" w:after="140"/>
        <w:rPr>
          <w:lang w:val="es-ES"/>
        </w:rPr>
      </w:pPr>
      <w:r>
        <w:rPr>
          <w:lang w:val="es-ES"/>
        </w:rPr>
        <w:t>Mientras que la opción 1 (45 lm/W), que es idéntica al "</w:t>
      </w:r>
      <w:r w:rsidRPr="0050105D">
        <w:rPr>
          <w:i/>
          <w:lang w:val="es-ES"/>
        </w:rPr>
        <w:t>backstop standard</w:t>
      </w:r>
      <w:r>
        <w:rPr>
          <w:lang w:val="es-ES"/>
        </w:rPr>
        <w:t>" propuesto en EE.UU.</w:t>
      </w:r>
      <w:r w:rsidR="00C871ED">
        <w:rPr>
          <w:lang w:val="es-ES"/>
        </w:rPr>
        <w:t>,</w:t>
      </w:r>
      <w:r>
        <w:rPr>
          <w:lang w:val="es-ES"/>
        </w:rPr>
        <w:t xml:space="preserve"> se debe considerar como el mínimo absoluto, se recomienda la aplicación de la opción 2 </w:t>
      </w:r>
      <w:r w:rsidR="00C871ED">
        <w:rPr>
          <w:lang w:val="es-ES"/>
        </w:rPr>
        <w:t xml:space="preserve">(un límite entre 60 y 70 lm/W) </w:t>
      </w:r>
      <w:r>
        <w:rPr>
          <w:lang w:val="es-ES"/>
        </w:rPr>
        <w:t xml:space="preserve">para todas lámparas de uso </w:t>
      </w:r>
      <w:r w:rsidR="00C871ED">
        <w:rPr>
          <w:lang w:val="es-ES"/>
        </w:rPr>
        <w:t>general, con la excepción de lámparas fluorescentes lineales y lámparas de descarga de alta intensidad para la iluminación de exteriores, p</w:t>
      </w:r>
      <w:r w:rsidR="00E62FF6">
        <w:rPr>
          <w:lang w:val="es-ES"/>
        </w:rPr>
        <w:t>ara</w:t>
      </w:r>
      <w:r w:rsidR="00C871ED">
        <w:rPr>
          <w:lang w:val="es-ES"/>
        </w:rPr>
        <w:t xml:space="preserve"> las cuales se recomienda un límite entre 80 y 90 lm/W (opción 3).</w:t>
      </w:r>
    </w:p>
    <w:p w14:paraId="5249E051" w14:textId="35D8CBCA" w:rsidR="00C871ED" w:rsidRDefault="00C871ED" w:rsidP="00E437B9">
      <w:pPr>
        <w:spacing w:before="0" w:after="140"/>
        <w:rPr>
          <w:lang w:val="es-ES"/>
        </w:rPr>
      </w:pPr>
      <w:r>
        <w:rPr>
          <w:lang w:val="es-ES"/>
        </w:rPr>
        <w:t>De esta manera s</w:t>
      </w:r>
      <w:r w:rsidR="00107E30">
        <w:rPr>
          <w:lang w:val="es-ES"/>
        </w:rPr>
        <w:t>e</w:t>
      </w:r>
      <w:r>
        <w:rPr>
          <w:lang w:val="es-ES"/>
        </w:rPr>
        <w:t xml:space="preserve"> eliminarán del mercado las lámparas incandescentes e incandescentes con halógenos, las LFC</w:t>
      </w:r>
      <w:r w:rsidR="0099760A">
        <w:rPr>
          <w:lang w:val="es-ES"/>
        </w:rPr>
        <w:t xml:space="preserve"> menos eficientes</w:t>
      </w:r>
      <w:r>
        <w:rPr>
          <w:lang w:val="es-ES"/>
        </w:rPr>
        <w:t>, las lámpara</w:t>
      </w:r>
      <w:r w:rsidR="00D8528F">
        <w:rPr>
          <w:lang w:val="es-ES"/>
        </w:rPr>
        <w:t>s</w:t>
      </w:r>
      <w:r>
        <w:rPr>
          <w:lang w:val="es-ES"/>
        </w:rPr>
        <w:t xml:space="preserve"> de vapor de mercurio </w:t>
      </w:r>
      <w:r w:rsidR="00B12B02">
        <w:rPr>
          <w:lang w:val="es-ES"/>
        </w:rPr>
        <w:t>a</w:t>
      </w:r>
      <w:r>
        <w:rPr>
          <w:lang w:val="es-ES"/>
        </w:rPr>
        <w:t xml:space="preserve"> alta presión y parcialmente las lámparas de halogenuros metálicos. Permanecerían en el mercado las lámparas fluorescentes lineales eficientes, las lámparas LED integradas, las lámparas de halogenuros </w:t>
      </w:r>
      <w:r>
        <w:rPr>
          <w:lang w:val="es-ES"/>
        </w:rPr>
        <w:lastRenderedPageBreak/>
        <w:t xml:space="preserve">metálicos eficientes, las lámparas de vapor de sodio y las lámparas con elementos LED </w:t>
      </w:r>
      <w:r w:rsidRPr="005030E1">
        <w:rPr>
          <w:strike/>
          <w:color w:val="FF0000"/>
          <w:lang w:val="es-ES"/>
        </w:rPr>
        <w:t>para el alumbrado de exteriores</w:t>
      </w:r>
      <w:r>
        <w:rPr>
          <w:lang w:val="es-ES"/>
        </w:rPr>
        <w:t>.</w:t>
      </w:r>
    </w:p>
    <w:p w14:paraId="4E518B90" w14:textId="77777777" w:rsidR="00107E30" w:rsidRDefault="00107E30" w:rsidP="00E437B9">
      <w:pPr>
        <w:spacing w:before="0" w:after="140"/>
        <w:rPr>
          <w:lang w:val="es-ES"/>
        </w:rPr>
      </w:pPr>
      <w:r>
        <w:rPr>
          <w:lang w:val="es-ES"/>
        </w:rPr>
        <w:t>Estos valores son similares a las propuestas en el borrador del Anteproyecto de Norma Técnica DGNTI-COPANIT de agosto de 2017, con las siguientes diferencias:</w:t>
      </w:r>
    </w:p>
    <w:p w14:paraId="168C9226" w14:textId="1B5B9EAE" w:rsidR="00452F16" w:rsidRDefault="00107E30" w:rsidP="00E437B9">
      <w:pPr>
        <w:spacing w:before="0" w:after="140"/>
        <w:rPr>
          <w:lang w:val="es-ES"/>
        </w:rPr>
      </w:pPr>
      <w:r>
        <w:rPr>
          <w:lang w:val="es-ES"/>
        </w:rPr>
        <w:t xml:space="preserve">Mientras que el borrador del anteproyecto prevé un índice mínimo de 60 lm/W para </w:t>
      </w:r>
      <w:r w:rsidR="00C55A4D">
        <w:rPr>
          <w:lang w:val="es-ES"/>
        </w:rPr>
        <w:t xml:space="preserve">lámparas </w:t>
      </w:r>
      <w:r w:rsidR="00452F16">
        <w:rPr>
          <w:lang w:val="es-ES"/>
        </w:rPr>
        <w:t xml:space="preserve">incandescentes e incandescentes con halógenos con una luminosidad &gt; 787 lm, prevé valores de eficacia luminosa de 17,44 lm/W para lámparas con flujo luminoso entre 562 y 787 lm y de 14 lm/W para lámparas con flujo luminoso </w:t>
      </w:r>
      <w:r w:rsidR="00452F16">
        <w:rPr>
          <w:rFonts w:cs="Calibri"/>
          <w:lang w:val="es-ES"/>
        </w:rPr>
        <w:t>≤</w:t>
      </w:r>
      <w:r w:rsidR="00452F16">
        <w:rPr>
          <w:lang w:val="es-ES"/>
        </w:rPr>
        <w:t>562 lm, lo que significa que lámparas incandescentes de hasta 60 W permanecerían en el mercado. Se recomiend</w:t>
      </w:r>
      <w:r w:rsidR="00F55676">
        <w:rPr>
          <w:lang w:val="es-ES"/>
        </w:rPr>
        <w:t xml:space="preserve">a, por consiguiente, </w:t>
      </w:r>
      <w:r w:rsidR="00452F16">
        <w:rPr>
          <w:lang w:val="es-ES"/>
        </w:rPr>
        <w:t xml:space="preserve"> establecer un límite único de 60 lm/W independiente de</w:t>
      </w:r>
      <w:r w:rsidR="00F55676">
        <w:rPr>
          <w:lang w:val="es-ES"/>
        </w:rPr>
        <w:t>l flujo</w:t>
      </w:r>
      <w:r w:rsidR="00452F16">
        <w:rPr>
          <w:lang w:val="es-ES"/>
        </w:rPr>
        <w:t xml:space="preserve"> luminos</w:t>
      </w:r>
      <w:r w:rsidR="00F55676">
        <w:rPr>
          <w:lang w:val="es-ES"/>
        </w:rPr>
        <w:t xml:space="preserve">o </w:t>
      </w:r>
      <w:r w:rsidR="00452F16">
        <w:rPr>
          <w:lang w:val="es-ES"/>
        </w:rPr>
        <w:t>de las lámparas</w:t>
      </w:r>
      <w:r w:rsidR="004037DD">
        <w:rPr>
          <w:lang w:val="es-ES"/>
        </w:rPr>
        <w:t xml:space="preserve">, respectivamente </w:t>
      </w:r>
      <w:r w:rsidR="004037DD" w:rsidRPr="004037DD">
        <w:rPr>
          <w:lang w:val="es-ES"/>
        </w:rPr>
        <w:t>–</w:t>
      </w:r>
      <w:r w:rsidR="004037DD">
        <w:rPr>
          <w:lang w:val="es-ES"/>
        </w:rPr>
        <w:t xml:space="preserve"> en el caso de límites escalonados </w:t>
      </w:r>
      <w:r w:rsidR="004037DD" w:rsidRPr="004037DD">
        <w:rPr>
          <w:lang w:val="es-ES"/>
        </w:rPr>
        <w:t>–</w:t>
      </w:r>
      <w:r w:rsidR="004037DD">
        <w:rPr>
          <w:lang w:val="es-ES"/>
        </w:rPr>
        <w:t xml:space="preserve"> aumentar los índices mínimos para lámparas de flujo luminoso bajo a niveles más exigentes (por lo menos 45 lm/W)</w:t>
      </w:r>
      <w:r w:rsidR="00452F16">
        <w:rPr>
          <w:lang w:val="es-ES"/>
        </w:rPr>
        <w:t>.</w:t>
      </w:r>
    </w:p>
    <w:p w14:paraId="1E670113" w14:textId="299D7AB5" w:rsidR="00EB4575" w:rsidRDefault="00452F16" w:rsidP="00E437B9">
      <w:pPr>
        <w:spacing w:before="0" w:after="140"/>
        <w:rPr>
          <w:lang w:val="es-ES"/>
        </w:rPr>
      </w:pPr>
      <w:r>
        <w:rPr>
          <w:lang w:val="es-ES"/>
        </w:rPr>
        <w:t>El borrador del anteproyecto prevé valores mínimos específicos para LFC autobalastradas escalonados en función del</w:t>
      </w:r>
      <w:r w:rsidR="00350B04">
        <w:rPr>
          <w:lang w:val="es-ES"/>
        </w:rPr>
        <w:t xml:space="preserve"> flujo luminoso</w:t>
      </w:r>
      <w:r>
        <w:rPr>
          <w:lang w:val="es-ES"/>
        </w:rPr>
        <w:t xml:space="preserve"> entre 45 y 60 lm/W (equivalente a los índices l</w:t>
      </w:r>
      <w:r w:rsidR="004129E8">
        <w:rPr>
          <w:lang w:val="es-ES"/>
        </w:rPr>
        <w:t>í</w:t>
      </w:r>
      <w:r>
        <w:rPr>
          <w:lang w:val="es-ES"/>
        </w:rPr>
        <w:t>mites de la NOM</w:t>
      </w:r>
      <w:r w:rsidR="00EB4575">
        <w:rPr>
          <w:lang w:val="es-ES"/>
        </w:rPr>
        <w:t>-017-ENER/SCFI-2012). Se recomienda de establecer para LFC el mismo valor mínimo único de 60 lm/W, que se aplica para lámparas incandescentes e incandescentes con halógenos (</w:t>
      </w:r>
      <w:r w:rsidR="004037DD">
        <w:rPr>
          <w:lang w:val="es-ES"/>
        </w:rPr>
        <w:t xml:space="preserve">preferiblemente </w:t>
      </w:r>
      <w:r w:rsidR="00EB4575">
        <w:rPr>
          <w:lang w:val="es-ES"/>
        </w:rPr>
        <w:t xml:space="preserve">independiente de su </w:t>
      </w:r>
      <w:r w:rsidR="00B43C75">
        <w:rPr>
          <w:lang w:val="es-ES"/>
        </w:rPr>
        <w:t xml:space="preserve">flujo </w:t>
      </w:r>
      <w:r w:rsidR="00EB4575">
        <w:rPr>
          <w:lang w:val="es-ES"/>
        </w:rPr>
        <w:t>luminos</w:t>
      </w:r>
      <w:r w:rsidR="00B43C75">
        <w:rPr>
          <w:lang w:val="es-ES"/>
        </w:rPr>
        <w:t>o</w:t>
      </w:r>
      <w:r w:rsidR="00EB4575">
        <w:rPr>
          <w:lang w:val="es-ES"/>
        </w:rPr>
        <w:t>) y de establecer el mismo índice mínimo también para lámparas LED integradas.</w:t>
      </w:r>
      <w:r w:rsidR="00D8528F">
        <w:rPr>
          <w:rStyle w:val="FootnoteReference"/>
        </w:rPr>
        <w:footnoteReference w:id="103"/>
      </w:r>
    </w:p>
    <w:p w14:paraId="3A057598" w14:textId="00282A37" w:rsidR="0069074A" w:rsidRDefault="00EB4575" w:rsidP="00E437B9">
      <w:pPr>
        <w:spacing w:before="0" w:after="140"/>
        <w:rPr>
          <w:lang w:val="es-ES"/>
        </w:rPr>
      </w:pPr>
      <w:r>
        <w:rPr>
          <w:lang w:val="es-ES"/>
        </w:rPr>
        <w:t>Para lámparas fluorescentes lineales se recomienda establecer valores de desempeño mínimo en el orden de 80 a 90 lm/W, preferible</w:t>
      </w:r>
      <w:r w:rsidR="004129E8">
        <w:rPr>
          <w:lang w:val="es-ES"/>
        </w:rPr>
        <w:t>mente de forma</w:t>
      </w:r>
      <w:r>
        <w:rPr>
          <w:lang w:val="es-ES"/>
        </w:rPr>
        <w:t xml:space="preserve"> independiente de las subcategorías de LFL.</w:t>
      </w:r>
    </w:p>
    <w:p w14:paraId="529801C0" w14:textId="479F0AB2" w:rsidR="0069074A" w:rsidRDefault="0069074A" w:rsidP="00E437B9">
      <w:pPr>
        <w:spacing w:before="0" w:after="140"/>
        <w:rPr>
          <w:lang w:val="es-ES"/>
        </w:rPr>
      </w:pPr>
      <w:r>
        <w:rPr>
          <w:lang w:val="es-ES"/>
        </w:rPr>
        <w:t>L</w:t>
      </w:r>
      <w:r w:rsidR="00B43C75">
        <w:rPr>
          <w:lang w:val="es-ES"/>
        </w:rPr>
        <w:t>o</w:t>
      </w:r>
      <w:r>
        <w:rPr>
          <w:lang w:val="es-ES"/>
        </w:rPr>
        <w:t xml:space="preserve">s índices de desempeño energético mínimo previstos en el borrador de anteproyecto para lámparas de descarga de alta intensidad (75 lm/W para lámparas con potencia </w:t>
      </w:r>
      <w:r>
        <w:rPr>
          <w:rFonts w:cs="Calibri"/>
          <w:lang w:val="es-ES"/>
        </w:rPr>
        <w:t>≤</w:t>
      </w:r>
      <w:r>
        <w:rPr>
          <w:lang w:val="es-ES"/>
        </w:rPr>
        <w:t xml:space="preserve"> 100 W y 90 lm/W para lámparas con potencia &gt; 100 W) parecen adecuados.</w:t>
      </w:r>
    </w:p>
    <w:p w14:paraId="0375D2EA" w14:textId="4331C7DC" w:rsidR="00C871ED" w:rsidRDefault="0069074A" w:rsidP="00E437B9">
      <w:pPr>
        <w:spacing w:before="0" w:after="140"/>
        <w:rPr>
          <w:lang w:val="es-ES"/>
        </w:rPr>
      </w:pPr>
      <w:r>
        <w:rPr>
          <w:lang w:val="es-ES"/>
        </w:rPr>
        <w:t>Los índices mínimos propuestos son indicativos y debe</w:t>
      </w:r>
      <w:r w:rsidR="00FA2BA5">
        <w:rPr>
          <w:lang w:val="es-ES"/>
        </w:rPr>
        <w:t>n</w:t>
      </w:r>
      <w:r>
        <w:rPr>
          <w:lang w:val="es-ES"/>
        </w:rPr>
        <w:t xml:space="preserve"> estar confirmados por análisis costo-beneficio. Además se debe realizar un análisis de las ventajas y desventajas de índices mínimos independientes del</w:t>
      </w:r>
      <w:r w:rsidR="00FA2BA5">
        <w:rPr>
          <w:lang w:val="es-ES"/>
        </w:rPr>
        <w:t xml:space="preserve"> flujo</w:t>
      </w:r>
      <w:r>
        <w:rPr>
          <w:lang w:val="es-ES"/>
        </w:rPr>
        <w:t xml:space="preserve"> luminos</w:t>
      </w:r>
      <w:r w:rsidR="00FA2BA5">
        <w:rPr>
          <w:lang w:val="es-ES"/>
        </w:rPr>
        <w:t>o</w:t>
      </w:r>
      <w:r>
        <w:rPr>
          <w:lang w:val="es-ES"/>
        </w:rPr>
        <w:t>, en comparaci</w:t>
      </w:r>
      <w:r w:rsidR="00C30314">
        <w:rPr>
          <w:lang w:val="es-ES"/>
        </w:rPr>
        <w:t xml:space="preserve">ón con límites </w:t>
      </w:r>
      <w:r w:rsidR="00FA2BA5">
        <w:rPr>
          <w:lang w:val="es-ES"/>
        </w:rPr>
        <w:t xml:space="preserve">que toman en consideración los efectos del </w:t>
      </w:r>
      <w:r w:rsidR="00C30314">
        <w:rPr>
          <w:lang w:val="es-ES"/>
        </w:rPr>
        <w:t>flujo luminoso</w:t>
      </w:r>
      <w:r w:rsidR="00FA2BA5">
        <w:rPr>
          <w:lang w:val="es-ES"/>
        </w:rPr>
        <w:t xml:space="preserve">, del índice de </w:t>
      </w:r>
      <w:r w:rsidR="00FA2BA5" w:rsidRPr="00FA2BA5">
        <w:rPr>
          <w:lang w:val="es-ES"/>
        </w:rPr>
        <w:t>rendimiento de color (CRI</w:t>
      </w:r>
      <w:r w:rsidR="00FA2BA5">
        <w:rPr>
          <w:lang w:val="es-ES"/>
        </w:rPr>
        <w:t>) y de otros factores a la eficacia luminosa</w:t>
      </w:r>
      <w:r w:rsidR="00C30314">
        <w:rPr>
          <w:lang w:val="es-ES"/>
        </w:rPr>
        <w:t>.</w:t>
      </w:r>
      <w:r>
        <w:rPr>
          <w:lang w:val="es-ES"/>
        </w:rPr>
        <w:t xml:space="preserve"> </w:t>
      </w:r>
      <w:r w:rsidR="00452F16">
        <w:rPr>
          <w:lang w:val="es-ES"/>
        </w:rPr>
        <w:t xml:space="preserve"> </w:t>
      </w:r>
      <w:r w:rsidR="00107E30">
        <w:rPr>
          <w:lang w:val="es-ES"/>
        </w:rPr>
        <w:t xml:space="preserve">   </w:t>
      </w:r>
    </w:p>
    <w:p w14:paraId="710413C0" w14:textId="3DB96103" w:rsidR="00DE431E" w:rsidRPr="00DE431E" w:rsidRDefault="00DE431E" w:rsidP="00DE431E">
      <w:pPr>
        <w:pStyle w:val="Heading2"/>
        <w:rPr>
          <w:lang w:val="es-ES"/>
        </w:rPr>
      </w:pPr>
      <w:bookmarkStart w:id="63" w:name="_Toc516146032"/>
      <w:r>
        <w:rPr>
          <w:lang w:val="es-ES"/>
        </w:rPr>
        <w:t>Procedimientos de evaluación de la conformidad</w:t>
      </w:r>
      <w:bookmarkEnd w:id="63"/>
    </w:p>
    <w:p w14:paraId="1D815A04" w14:textId="7E0EFDFE" w:rsidR="008D7167" w:rsidRDefault="007B6940" w:rsidP="00DE431E">
      <w:pPr>
        <w:spacing w:before="0" w:after="140"/>
        <w:rPr>
          <w:lang w:val="es-ES"/>
        </w:rPr>
      </w:pPr>
      <w:r w:rsidRPr="007B6940">
        <w:rPr>
          <w:lang w:val="es-ES"/>
        </w:rPr>
        <w:t>De acuerdo a lo expuesto en la sección 3.5.</w:t>
      </w:r>
      <w:r>
        <w:rPr>
          <w:lang w:val="es-ES"/>
        </w:rPr>
        <w:t>3</w:t>
      </w:r>
      <w:r w:rsidRPr="007B6940">
        <w:rPr>
          <w:lang w:val="es-ES"/>
        </w:rPr>
        <w:t xml:space="preserve"> existen dos opciones principales</w:t>
      </w:r>
      <w:r>
        <w:rPr>
          <w:lang w:val="es-ES"/>
        </w:rPr>
        <w:t xml:space="preserve"> para definir los procedimientos de evaluación de la conformidad: (i) de acuerdo a ISO/IEC 17067, en particular los esquemas 3 y 5 establecidos en esta norma internacional, o (ii) de acuerdo a los PEC co</w:t>
      </w:r>
      <w:r w:rsidR="008D7167">
        <w:rPr>
          <w:lang w:val="es-ES"/>
        </w:rPr>
        <w:t>n</w:t>
      </w:r>
      <w:r>
        <w:rPr>
          <w:lang w:val="es-ES"/>
        </w:rPr>
        <w:t>forme a los NOM-ENER para lámparas.</w:t>
      </w:r>
    </w:p>
    <w:p w14:paraId="44769653" w14:textId="39CFBB55" w:rsidR="00DE431E" w:rsidRDefault="008D7167" w:rsidP="00DE431E">
      <w:pPr>
        <w:spacing w:before="0" w:after="140"/>
        <w:rPr>
          <w:lang w:val="es-ES"/>
        </w:rPr>
      </w:pPr>
      <w:r>
        <w:rPr>
          <w:lang w:val="es-ES"/>
        </w:rPr>
        <w:t>Opción A: Procedimientos de evaluación de la conformidad de acuerdo a ISO/IEC 17067</w:t>
      </w:r>
      <w:r w:rsidR="007B6940">
        <w:rPr>
          <w:lang w:val="es-ES"/>
        </w:rPr>
        <w:t xml:space="preserve">  </w:t>
      </w:r>
    </w:p>
    <w:p w14:paraId="6D6D8F9C" w14:textId="2A225041" w:rsidR="00DE431E" w:rsidRDefault="008D7167" w:rsidP="00E437B9">
      <w:pPr>
        <w:spacing w:before="0" w:after="140"/>
        <w:rPr>
          <w:lang w:val="es-ES"/>
        </w:rPr>
      </w:pPr>
      <w:r>
        <w:rPr>
          <w:lang w:val="es-ES"/>
        </w:rPr>
        <w:t xml:space="preserve">De acuerdo a los propuesto en la sección 3.5.3, </w:t>
      </w:r>
      <w:r w:rsidR="00B96A3A">
        <w:rPr>
          <w:lang w:val="es-ES"/>
        </w:rPr>
        <w:t xml:space="preserve">un sistema de evaluación de conformidad basado en los esquemas 3 o 5 de ISO/IEC 17067 parece lo más adecuado para el caso de Panamá, </w:t>
      </w:r>
      <w:r w:rsidR="00B96A3A" w:rsidRPr="00B96A3A">
        <w:rPr>
          <w:lang w:val="es-ES"/>
        </w:rPr>
        <w:t>tomando en consideración que incluyen ensayos por lote, la opción de pruebas o inspecciones de muestras tomadas periódicamente de la fábrica (evitando la necesidad de tomar muestras del mercado) e incluyen auditorías periódicas del proceso de la producción; en el caso del esquema 5 opcionalmente auditorías del sistema de gestión de calidad.</w:t>
      </w:r>
      <w:r w:rsidR="00B96A3A">
        <w:rPr>
          <w:lang w:val="es-ES"/>
        </w:rPr>
        <w:t xml:space="preserve"> En ambos esquemas, la norma ISO/IEC 17067 requiere la certificación de los productos por tercera parte.</w:t>
      </w:r>
    </w:p>
    <w:p w14:paraId="016DA61C" w14:textId="45A9DCE2" w:rsidR="00251739" w:rsidRDefault="00251739" w:rsidP="00E437B9">
      <w:pPr>
        <w:spacing w:before="0" w:after="140"/>
        <w:rPr>
          <w:lang w:val="es-ES"/>
        </w:rPr>
      </w:pPr>
      <w:r>
        <w:rPr>
          <w:lang w:val="es-ES"/>
        </w:rPr>
        <w:lastRenderedPageBreak/>
        <w:t>En base de los esquemas de certificación elegidos, la autoridad debe desarrollar un sistema de certificación de la conformidad de los productos, basado en los lineamientos d</w:t>
      </w:r>
      <w:r w:rsidRPr="00251739">
        <w:rPr>
          <w:lang w:val="es-ES"/>
        </w:rPr>
        <w:t>efini</w:t>
      </w:r>
      <w:r>
        <w:rPr>
          <w:lang w:val="es-ES"/>
        </w:rPr>
        <w:t>dos en ISO/IEC 17067 que incluyen, por ejemplo,</w:t>
      </w:r>
      <w:r w:rsidRPr="00251739">
        <w:rPr>
          <w:lang w:val="es-ES"/>
        </w:rPr>
        <w:t xml:space="preserve"> funciones</w:t>
      </w:r>
      <w:r w:rsidR="006C40D8">
        <w:rPr>
          <w:lang w:val="es-ES"/>
        </w:rPr>
        <w:t xml:space="preserve">, procedimientos y </w:t>
      </w:r>
      <w:r w:rsidRPr="00251739">
        <w:rPr>
          <w:lang w:val="es-ES"/>
        </w:rPr>
        <w:t xml:space="preserve">actividades, </w:t>
      </w:r>
      <w:r w:rsidR="006C40D8">
        <w:rPr>
          <w:lang w:val="es-ES"/>
        </w:rPr>
        <w:t xml:space="preserve">con referencia a los </w:t>
      </w:r>
      <w:r w:rsidRPr="00251739">
        <w:rPr>
          <w:lang w:val="es-ES"/>
        </w:rPr>
        <w:t xml:space="preserve">elementos de cada esquema, </w:t>
      </w:r>
      <w:r w:rsidR="006C40D8">
        <w:rPr>
          <w:lang w:val="es-ES"/>
        </w:rPr>
        <w:t xml:space="preserve">incluidos </w:t>
      </w:r>
      <w:r w:rsidRPr="00251739">
        <w:rPr>
          <w:lang w:val="es-ES"/>
        </w:rPr>
        <w:t>muestreo</w:t>
      </w:r>
      <w:r w:rsidR="00D8528F">
        <w:rPr>
          <w:rStyle w:val="FootnoteReference"/>
        </w:rPr>
        <w:footnoteReference w:id="104"/>
      </w:r>
      <w:r w:rsidRPr="00251739">
        <w:rPr>
          <w:lang w:val="es-ES"/>
        </w:rPr>
        <w:t xml:space="preserve">, </w:t>
      </w:r>
      <w:r w:rsidR="006C40D8">
        <w:rPr>
          <w:lang w:val="es-ES"/>
        </w:rPr>
        <w:t xml:space="preserve">vigilancia y </w:t>
      </w:r>
      <w:r w:rsidRPr="00251739">
        <w:rPr>
          <w:lang w:val="es-ES"/>
        </w:rPr>
        <w:t>seguimiento</w:t>
      </w:r>
      <w:r w:rsidR="006C40D8">
        <w:rPr>
          <w:lang w:val="es-ES"/>
        </w:rPr>
        <w:t xml:space="preserve">. Estos elementos del sistema de certificación de la conformidad deben ser </w:t>
      </w:r>
      <w:r w:rsidRPr="00251739">
        <w:rPr>
          <w:lang w:val="es-ES"/>
        </w:rPr>
        <w:t>desarrolla</w:t>
      </w:r>
      <w:r w:rsidR="006C40D8">
        <w:rPr>
          <w:lang w:val="es-ES"/>
        </w:rPr>
        <w:t>dos</w:t>
      </w:r>
      <w:r w:rsidRPr="00251739">
        <w:rPr>
          <w:lang w:val="es-ES"/>
        </w:rPr>
        <w:t xml:space="preserve"> </w:t>
      </w:r>
      <w:r w:rsidR="006C40D8">
        <w:rPr>
          <w:lang w:val="es-ES"/>
        </w:rPr>
        <w:t>en concordancia con e</w:t>
      </w:r>
      <w:r w:rsidRPr="00251739">
        <w:rPr>
          <w:lang w:val="es-ES"/>
        </w:rPr>
        <w:t>l marco legal e institucional de Panamá</w:t>
      </w:r>
      <w:r w:rsidR="006C40D8">
        <w:rPr>
          <w:lang w:val="es-ES"/>
        </w:rPr>
        <w:t xml:space="preserve">. </w:t>
      </w:r>
    </w:p>
    <w:p w14:paraId="0FC4D04F" w14:textId="307DC198" w:rsidR="008D7167" w:rsidRDefault="008D7167" w:rsidP="00DE431E">
      <w:pPr>
        <w:spacing w:before="0" w:after="140"/>
        <w:rPr>
          <w:lang w:val="es-ES"/>
        </w:rPr>
      </w:pPr>
      <w:r>
        <w:rPr>
          <w:lang w:val="es-ES"/>
        </w:rPr>
        <w:t>Opción B: Procedimientos de evaluación de la conformidad conforme a los NOM-ENER para lámparas</w:t>
      </w:r>
    </w:p>
    <w:p w14:paraId="322A4CFD" w14:textId="3B76D9B2" w:rsidR="00DE431E" w:rsidRDefault="006C40D8" w:rsidP="00DE431E">
      <w:pPr>
        <w:spacing w:before="0" w:after="140"/>
        <w:rPr>
          <w:lang w:val="es-ES"/>
        </w:rPr>
      </w:pPr>
      <w:r>
        <w:rPr>
          <w:lang w:val="es-ES"/>
        </w:rPr>
        <w:t xml:space="preserve">Como se mencionó en la sección 3.5.2, los procedimientos de evaluación de la conformidad incluidas en las NOM-ENER para lámparas se </w:t>
      </w:r>
      <w:r w:rsidR="00414985">
        <w:rPr>
          <w:lang w:val="es-ES"/>
        </w:rPr>
        <w:t>refieren a la legislación de metrología y normalización mexicana (Ley Federal de Metrología y Normalización y su Reglamento). De acuerdo a lo expuesto en la sección 3.4.3, las NOM-ENER incluyen dos sistemas de certificación de la conformidad opcionales: la modalidad de certificación mediante pruebas periódicas al producto y la modalidad</w:t>
      </w:r>
      <w:r w:rsidR="001E1B70">
        <w:rPr>
          <w:lang w:val="es-ES"/>
        </w:rPr>
        <w:t xml:space="preserve"> de certificación mediante el sistema de aseguramiento de la calidad de la línea de producción (que</w:t>
      </w:r>
      <w:r w:rsidR="00414985">
        <w:rPr>
          <w:lang w:val="es-ES"/>
        </w:rPr>
        <w:t xml:space="preserve"> incluye </w:t>
      </w:r>
      <w:r w:rsidR="001E1B70">
        <w:rPr>
          <w:lang w:val="es-ES"/>
        </w:rPr>
        <w:t xml:space="preserve">pruebas periódicas). </w:t>
      </w:r>
      <w:r w:rsidR="00B94053">
        <w:rPr>
          <w:lang w:val="es-ES"/>
        </w:rPr>
        <w:t xml:space="preserve">Incluyen también los requisitos de muestreo, los requisitos de seguimiento, etc. </w:t>
      </w:r>
      <w:r w:rsidR="001E1B70">
        <w:rPr>
          <w:lang w:val="es-ES"/>
        </w:rPr>
        <w:t xml:space="preserve">En comparación con el Esquema 5 de la norma ISO/IEC 17067, los PEC de acuerdo a las NOM-ENER no incluyen la opción de auditorías del sistema de gestión de la calidad </w:t>
      </w:r>
      <w:r w:rsidR="00B94053">
        <w:rPr>
          <w:lang w:val="es-ES"/>
        </w:rPr>
        <w:t>de la empresa.</w:t>
      </w:r>
    </w:p>
    <w:p w14:paraId="18CC5F19" w14:textId="2075C32C" w:rsidR="00B94053" w:rsidRDefault="00B94053" w:rsidP="00DE431E">
      <w:pPr>
        <w:spacing w:before="0" w:after="140"/>
        <w:rPr>
          <w:lang w:val="es-ES"/>
        </w:rPr>
      </w:pPr>
      <w:r>
        <w:rPr>
          <w:lang w:val="es-ES"/>
        </w:rPr>
        <w:t>En el caso de aplicación a los procedimientos de evaluación de la conformidad de acuerdo a las NOM-ENER será necesario adaptar sus estipulaciones a los requisitos del marco legal e institucional de Panamá.</w:t>
      </w:r>
      <w:r w:rsidR="002A7584">
        <w:rPr>
          <w:lang w:val="es-ES"/>
        </w:rPr>
        <w:t xml:space="preserve"> En particular, será necesario adaptar al marco legal panameño la estipulación de los PEC mexicanos de realizar la evaluación de conformidad </w:t>
      </w:r>
      <w:r w:rsidR="00C80E8D">
        <w:rPr>
          <w:lang w:val="es-ES"/>
        </w:rPr>
        <w:t>"</w:t>
      </w:r>
      <w:r w:rsidR="002A7584">
        <w:rPr>
          <w:lang w:val="es-ES"/>
        </w:rPr>
        <w:t>por laboratorios de prueba y organismos de certificación de producto</w:t>
      </w:r>
      <w:r w:rsidR="00C80E8D">
        <w:rPr>
          <w:lang w:val="es-ES"/>
        </w:rPr>
        <w:t>,</w:t>
      </w:r>
      <w:r w:rsidR="002A7584">
        <w:rPr>
          <w:lang w:val="es-ES"/>
        </w:rPr>
        <w:t xml:space="preserve"> acreditados y aprobados </w:t>
      </w:r>
      <w:r w:rsidR="00C80E8D">
        <w:rPr>
          <w:lang w:val="es-ES"/>
        </w:rPr>
        <w:t>en la NOM</w:t>
      </w:r>
      <w:r w:rsidR="002A7584">
        <w:rPr>
          <w:lang w:val="es-ES"/>
        </w:rPr>
        <w:t>, conforme a lo dispuesto en la LFMN</w:t>
      </w:r>
      <w:r w:rsidR="00C80E8D">
        <w:rPr>
          <w:lang w:val="es-ES"/>
        </w:rPr>
        <w:t>"</w:t>
      </w:r>
      <w:r w:rsidR="00C80E8D">
        <w:rPr>
          <w:rStyle w:val="FootnoteReference"/>
        </w:rPr>
        <w:footnoteReference w:id="105"/>
      </w:r>
      <w:r w:rsidR="00E736EF">
        <w:rPr>
          <w:lang w:val="es-ES"/>
        </w:rPr>
        <w:t>.</w:t>
      </w:r>
    </w:p>
    <w:p w14:paraId="1BD845E7" w14:textId="04E8F20A" w:rsidR="00DE431E" w:rsidRPr="00DE431E" w:rsidRDefault="00DE431E" w:rsidP="00DE431E">
      <w:pPr>
        <w:pStyle w:val="Heading2"/>
        <w:rPr>
          <w:lang w:val="es-ES"/>
        </w:rPr>
      </w:pPr>
      <w:bookmarkStart w:id="64" w:name="_Toc516146033"/>
      <w:r>
        <w:rPr>
          <w:lang w:val="es-ES"/>
        </w:rPr>
        <w:t>Etiquetado energético e información al consumidor</w:t>
      </w:r>
      <w:bookmarkEnd w:id="64"/>
    </w:p>
    <w:p w14:paraId="22BA95A6" w14:textId="29151569" w:rsidR="00857AB1" w:rsidRDefault="00857AB1" w:rsidP="00E437B9">
      <w:pPr>
        <w:spacing w:before="0" w:after="140"/>
        <w:rPr>
          <w:lang w:val="es-ES"/>
        </w:rPr>
      </w:pPr>
      <w:r>
        <w:rPr>
          <w:lang w:val="es-ES"/>
        </w:rPr>
        <w:t>De acuerdo a lo expuesto en la sección 3.5.4, el</w:t>
      </w:r>
      <w:r w:rsidRPr="00857AB1">
        <w:rPr>
          <w:lang w:val="es-ES"/>
        </w:rPr>
        <w:t xml:space="preserve"> aspecto de la etiqueta "</w:t>
      </w:r>
      <w:r w:rsidRPr="00F16FBA">
        <w:rPr>
          <w:i/>
          <w:lang w:val="es-ES"/>
        </w:rPr>
        <w:t>Lighting facts</w:t>
      </w:r>
      <w:r w:rsidRPr="00857AB1">
        <w:rPr>
          <w:lang w:val="es-ES"/>
        </w:rPr>
        <w:t xml:space="preserve">" de EE.UU. es más coherente con el diseño de las etiquetas panameñas aplicadas hasta el momento que la etiqueta europea, que indica la clase de eficiencia energética representada por una escala de letras y flechas correspondientes. </w:t>
      </w:r>
      <w:r>
        <w:rPr>
          <w:lang w:val="es-ES"/>
        </w:rPr>
        <w:t>Corresponde también más al enfoque general de las NT y RT panameños que, conforme a los reglamentos de EE.UU. y las NOM-ENER, no incluyen clases de eficiencia energética, como es el caso en los reglamentos de etiquetado energético de la Unión Europea.</w:t>
      </w:r>
      <w:r w:rsidR="0065775E">
        <w:rPr>
          <w:lang w:val="es-ES"/>
        </w:rPr>
        <w:t xml:space="preserve"> De otra parte, cabe mencionar que l</w:t>
      </w:r>
      <w:r w:rsidR="0065775E" w:rsidRPr="0065775E">
        <w:rPr>
          <w:lang w:val="es-ES"/>
        </w:rPr>
        <w:t>a norma COPANT</w:t>
      </w:r>
      <w:r w:rsidR="00C0635F">
        <w:rPr>
          <w:rStyle w:val="FootnoteReference"/>
        </w:rPr>
        <w:footnoteReference w:id="106"/>
      </w:r>
      <w:r w:rsidR="0065775E" w:rsidRPr="0065775E">
        <w:rPr>
          <w:lang w:val="es-ES"/>
        </w:rPr>
        <w:t xml:space="preserve"> 1708:2006 – "Eficiencia energética. Lámparas incandescentes de uso doméstico y similares. Especificaciones y etiquetado" define una etiqueta energética similar a la etiqueta europea.</w:t>
      </w:r>
      <w:r w:rsidR="0065775E">
        <w:rPr>
          <w:lang w:val="es-ES"/>
        </w:rPr>
        <w:t xml:space="preserve"> </w:t>
      </w:r>
      <w:r w:rsidR="0065775E" w:rsidRPr="0065775E">
        <w:rPr>
          <w:lang w:val="es-ES"/>
        </w:rPr>
        <w:t>Se aplica p.ej. en Nicaragua (que sigue generalmente los modelos de etiquetado de México).</w:t>
      </w:r>
    </w:p>
    <w:p w14:paraId="58C800A1" w14:textId="388E63FA" w:rsidR="00861101" w:rsidRDefault="00BD6AC7" w:rsidP="00E437B9">
      <w:pPr>
        <w:spacing w:before="0" w:after="140"/>
        <w:rPr>
          <w:lang w:val="es-ES"/>
        </w:rPr>
      </w:pPr>
      <w:r>
        <w:rPr>
          <w:lang w:val="es-ES"/>
        </w:rPr>
        <w:t xml:space="preserve">No obstante la elección entre estas opciones, es necesario </w:t>
      </w:r>
      <w:r w:rsidR="00857AB1" w:rsidRPr="00857AB1">
        <w:rPr>
          <w:lang w:val="es-ES"/>
        </w:rPr>
        <w:t>revisar detalles con respecto a (i) la inclusión de información en la etiqueta y (ii) la opción de imprimir información adicional para el consumidor en el embalaje.</w:t>
      </w:r>
      <w:r w:rsidR="00861101">
        <w:rPr>
          <w:lang w:val="es-ES"/>
        </w:rPr>
        <w:t xml:space="preserve"> </w:t>
      </w:r>
    </w:p>
    <w:p w14:paraId="418D9347" w14:textId="3928803E" w:rsidR="00861101" w:rsidRDefault="00861101" w:rsidP="00E437B9">
      <w:pPr>
        <w:spacing w:before="0" w:after="140"/>
        <w:rPr>
          <w:lang w:val="es-ES"/>
        </w:rPr>
      </w:pPr>
      <w:r>
        <w:rPr>
          <w:lang w:val="es-ES"/>
        </w:rPr>
        <w:lastRenderedPageBreak/>
        <w:t xml:space="preserve">La tabla </w:t>
      </w:r>
      <w:r w:rsidR="00D03F39">
        <w:rPr>
          <w:lang w:val="es-ES"/>
        </w:rPr>
        <w:t>10</w:t>
      </w:r>
      <w:r>
        <w:rPr>
          <w:lang w:val="es-ES"/>
        </w:rPr>
        <w:t xml:space="preserve"> muestra las recomendaciones de inclusión de información en la etiqueta y en el embalaje de la lámpara, para ambas opciones. </w:t>
      </w:r>
    </w:p>
    <w:p w14:paraId="7D7F8A76" w14:textId="3F8EC0B2" w:rsidR="00861101" w:rsidRDefault="00861101" w:rsidP="00E437B9">
      <w:pPr>
        <w:spacing w:before="0" w:after="140"/>
        <w:rPr>
          <w:lang w:val="es-ES"/>
        </w:rPr>
      </w:pPr>
      <w:r>
        <w:rPr>
          <w:lang w:val="es-ES"/>
        </w:rPr>
        <w:t>Por su diseño, la etiqueta "</w:t>
      </w:r>
      <w:r w:rsidRPr="00F16FBA">
        <w:rPr>
          <w:i/>
          <w:lang w:val="es-ES"/>
        </w:rPr>
        <w:t>Lighting facts</w:t>
      </w:r>
      <w:r>
        <w:rPr>
          <w:lang w:val="es-ES"/>
        </w:rPr>
        <w:t>" de EE.UU. ofrece más espacio para incluir información para el consumidor. En el caso que Panamá adopte una etiqueta similar, se recomienda incluir como información adicional la eficacia lumino</w:t>
      </w:r>
      <w:r w:rsidR="00554849">
        <w:rPr>
          <w:lang w:val="es-ES"/>
        </w:rPr>
        <w:t xml:space="preserve">sa (expresada en lm/W) y el consumo anual de energía (expresado en kWh/año), en lugar de los costos de energía anuales (que dependen de las tarifas eléctricas). </w:t>
      </w:r>
      <w:r>
        <w:rPr>
          <w:lang w:val="es-ES"/>
        </w:rPr>
        <w:t xml:space="preserve"> </w:t>
      </w:r>
    </w:p>
    <w:p w14:paraId="4BCCFE7C" w14:textId="0AB35F84" w:rsidR="00554849" w:rsidRPr="00566934" w:rsidRDefault="00554849" w:rsidP="00554849">
      <w:pPr>
        <w:keepNext/>
        <w:keepLines/>
        <w:spacing w:before="0" w:after="0"/>
        <w:jc w:val="center"/>
        <w:rPr>
          <w:iCs/>
          <w:color w:val="002B7F"/>
          <w:szCs w:val="18"/>
          <w:lang w:val="es-ES"/>
        </w:rPr>
      </w:pPr>
      <w:r w:rsidRPr="00566934">
        <w:rPr>
          <w:iCs/>
          <w:color w:val="002B7F"/>
          <w:szCs w:val="18"/>
          <w:lang w:val="es-ES"/>
        </w:rPr>
        <w:t xml:space="preserve">Tabla </w:t>
      </w:r>
      <w:r w:rsidRPr="00566934">
        <w:rPr>
          <w:iCs/>
          <w:color w:val="002B7F"/>
          <w:szCs w:val="18"/>
          <w:lang w:val="es-ES"/>
        </w:rPr>
        <w:fldChar w:fldCharType="begin"/>
      </w:r>
      <w:r w:rsidRPr="00566934">
        <w:rPr>
          <w:iCs/>
          <w:color w:val="002B7F"/>
          <w:szCs w:val="18"/>
          <w:lang w:val="es-ES"/>
        </w:rPr>
        <w:instrText xml:space="preserve"> SEQ Tabla \* ARABIC </w:instrText>
      </w:r>
      <w:r w:rsidRPr="00566934">
        <w:rPr>
          <w:iCs/>
          <w:color w:val="002B7F"/>
          <w:szCs w:val="18"/>
          <w:lang w:val="es-ES"/>
        </w:rPr>
        <w:fldChar w:fldCharType="separate"/>
      </w:r>
      <w:r w:rsidR="005E6430">
        <w:rPr>
          <w:iCs/>
          <w:noProof/>
          <w:color w:val="002B7F"/>
          <w:szCs w:val="18"/>
          <w:lang w:val="es-ES"/>
        </w:rPr>
        <w:t>10</w:t>
      </w:r>
      <w:r w:rsidRPr="00566934">
        <w:rPr>
          <w:iCs/>
          <w:noProof/>
          <w:color w:val="002B7F"/>
          <w:szCs w:val="18"/>
          <w:lang w:val="es-ES"/>
        </w:rPr>
        <w:fldChar w:fldCharType="end"/>
      </w:r>
      <w:r w:rsidRPr="00566934">
        <w:rPr>
          <w:iCs/>
          <w:color w:val="002B7F"/>
          <w:szCs w:val="18"/>
          <w:lang w:val="es-ES"/>
        </w:rPr>
        <w:t xml:space="preserve"> – </w:t>
      </w:r>
      <w:r w:rsidR="009B2417">
        <w:rPr>
          <w:iCs/>
          <w:color w:val="002B7F"/>
          <w:szCs w:val="18"/>
          <w:lang w:val="es-ES"/>
        </w:rPr>
        <w:t>Propuesta de contenido de información para el consumidor en la etiqueta energética y en el embalaje de las lámparas</w:t>
      </w:r>
    </w:p>
    <w:p w14:paraId="124BBAE2" w14:textId="77777777" w:rsidR="00554849" w:rsidRPr="00AD6CDA" w:rsidRDefault="00554849" w:rsidP="00554849">
      <w:pPr>
        <w:suppressAutoHyphens w:val="0"/>
        <w:autoSpaceDN/>
        <w:spacing w:before="0" w:after="140"/>
        <w:jc w:val="center"/>
        <w:textAlignment w:val="auto"/>
        <w:rPr>
          <w:rFonts w:asciiTheme="minorHAnsi" w:eastAsia="Calibri" w:hAnsiTheme="minorHAnsi" w:cstheme="minorHAnsi"/>
          <w:color w:val="002B7F"/>
          <w:lang w:val="es-ES"/>
        </w:rPr>
      </w:pPr>
      <w:r w:rsidRPr="00AD6CDA">
        <w:rPr>
          <w:i/>
          <w:color w:val="002B7F"/>
          <w:sz w:val="18"/>
          <w:lang w:val="es-ES"/>
        </w:rPr>
        <w:t xml:space="preserve">Fuente: </w:t>
      </w:r>
      <w:r w:rsidRPr="00AD6CDA">
        <w:rPr>
          <w:rFonts w:cstheme="minorHAnsi"/>
          <w:color w:val="002B7F"/>
          <w:sz w:val="18"/>
          <w:lang w:val="es-PA"/>
        </w:rPr>
        <w:t>Elaboración propia</w:t>
      </w:r>
    </w:p>
    <w:tbl>
      <w:tblPr>
        <w:tblW w:w="5000" w:type="pct"/>
        <w:tblCellMar>
          <w:left w:w="10" w:type="dxa"/>
          <w:right w:w="10" w:type="dxa"/>
        </w:tblCellMar>
        <w:tblLook w:val="0000" w:firstRow="0" w:lastRow="0" w:firstColumn="0" w:lastColumn="0" w:noHBand="0" w:noVBand="0"/>
      </w:tblPr>
      <w:tblGrid>
        <w:gridCol w:w="4245"/>
        <w:gridCol w:w="4251"/>
      </w:tblGrid>
      <w:tr w:rsidR="00554849" w:rsidRPr="000D360C" w14:paraId="19EB2C55" w14:textId="77777777" w:rsidTr="00A45447">
        <w:trPr>
          <w:cantSplit/>
        </w:trPr>
        <w:tc>
          <w:tcPr>
            <w:tcW w:w="4245"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7E4D2FCA" w14:textId="77777777" w:rsidR="00554849" w:rsidRPr="00CC334B" w:rsidRDefault="00554849" w:rsidP="00C34D89">
            <w:pPr>
              <w:suppressAutoHyphens w:val="0"/>
              <w:spacing w:before="0" w:after="0"/>
              <w:jc w:val="center"/>
              <w:textAlignment w:val="auto"/>
              <w:rPr>
                <w:rFonts w:eastAsia="Times New Roman"/>
                <w:b/>
                <w:color w:val="FFFFFF" w:themeColor="background1"/>
                <w:lang w:val="es-ES"/>
              </w:rPr>
            </w:pPr>
            <w:r>
              <w:rPr>
                <w:rFonts w:eastAsia="Times New Roman"/>
                <w:b/>
                <w:color w:val="FFFFFF" w:themeColor="background1"/>
                <w:lang w:val="es-ES"/>
              </w:rPr>
              <w:t>Opción A</w:t>
            </w:r>
          </w:p>
        </w:tc>
        <w:tc>
          <w:tcPr>
            <w:tcW w:w="4251" w:type="dxa"/>
            <w:tcBorders>
              <w:top w:val="single" w:sz="6" w:space="0" w:color="5B9BD5"/>
              <w:bottom w:val="single" w:sz="6" w:space="0" w:color="5B9BD5"/>
            </w:tcBorders>
            <w:shd w:val="clear" w:color="auto" w:fill="5B9BD5"/>
            <w:tcMar>
              <w:top w:w="0" w:type="dxa"/>
              <w:left w:w="108" w:type="dxa"/>
              <w:bottom w:w="0" w:type="dxa"/>
              <w:right w:w="108" w:type="dxa"/>
            </w:tcMar>
          </w:tcPr>
          <w:p w14:paraId="722F415B" w14:textId="77777777" w:rsidR="00554849" w:rsidRPr="00B56A15" w:rsidRDefault="00554849" w:rsidP="00C34D89">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Opción B</w:t>
            </w:r>
          </w:p>
        </w:tc>
      </w:tr>
      <w:tr w:rsidR="00554849" w:rsidRPr="00914127" w14:paraId="2771E062" w14:textId="77777777" w:rsidTr="00A45447">
        <w:trPr>
          <w:cantSplit/>
        </w:trPr>
        <w:tc>
          <w:tcPr>
            <w:tcW w:w="4245" w:type="dxa"/>
            <w:tcBorders>
              <w:top w:val="single" w:sz="6" w:space="0" w:color="9CC2E5"/>
              <w:left w:val="single" w:sz="6" w:space="0" w:color="9CC2E5"/>
              <w:bottom w:val="single" w:sz="6" w:space="0" w:color="9CC2E5"/>
              <w:right w:val="single" w:sz="6" w:space="0" w:color="9CC2E5"/>
            </w:tcBorders>
            <w:shd w:val="clear" w:color="auto" w:fill="9CC2E5"/>
            <w:tcMar>
              <w:top w:w="0" w:type="dxa"/>
              <w:left w:w="108" w:type="dxa"/>
              <w:bottom w:w="0" w:type="dxa"/>
              <w:right w:w="108" w:type="dxa"/>
            </w:tcMar>
          </w:tcPr>
          <w:p w14:paraId="78B0E93C" w14:textId="3BE29DAA" w:rsidR="00554849" w:rsidRPr="002734F2" w:rsidRDefault="00554849" w:rsidP="00554849">
            <w:pPr>
              <w:pStyle w:val="ListParagraph"/>
              <w:suppressAutoHyphens w:val="0"/>
              <w:spacing w:before="0" w:after="0"/>
              <w:ind w:left="0"/>
              <w:jc w:val="left"/>
              <w:textAlignment w:val="auto"/>
              <w:rPr>
                <w:rFonts w:eastAsia="Times New Roman"/>
                <w:b/>
                <w:color w:val="FFFFFF" w:themeColor="background1"/>
                <w:lang w:val="es-ES"/>
              </w:rPr>
            </w:pPr>
            <w:r w:rsidRPr="002734F2">
              <w:rPr>
                <w:rFonts w:eastAsia="Times New Roman"/>
                <w:b/>
                <w:color w:val="FFFFFF" w:themeColor="background1"/>
                <w:lang w:val="es-ES"/>
              </w:rPr>
              <w:t>Diseño y contenidos similar a etiqueta "</w:t>
            </w:r>
            <w:r w:rsidRPr="00F16FBA">
              <w:rPr>
                <w:rFonts w:eastAsia="Times New Roman"/>
                <w:b/>
                <w:i/>
                <w:color w:val="FFFFFF" w:themeColor="background1"/>
                <w:lang w:val="es-ES"/>
              </w:rPr>
              <w:t>Lighting facts</w:t>
            </w:r>
            <w:r w:rsidRPr="002734F2">
              <w:rPr>
                <w:rFonts w:eastAsia="Times New Roman"/>
                <w:b/>
                <w:color w:val="FFFFFF" w:themeColor="background1"/>
                <w:lang w:val="es-ES"/>
              </w:rPr>
              <w:t>" de EE.UU.</w:t>
            </w:r>
          </w:p>
        </w:tc>
        <w:tc>
          <w:tcPr>
            <w:tcW w:w="4251" w:type="dxa"/>
            <w:tcBorders>
              <w:top w:val="single" w:sz="6" w:space="0" w:color="9CC2E5"/>
              <w:left w:val="single" w:sz="6" w:space="0" w:color="9CC2E5"/>
              <w:bottom w:val="single" w:sz="6" w:space="0" w:color="9CC2E5"/>
              <w:right w:val="single" w:sz="6" w:space="0" w:color="9CC2E5"/>
            </w:tcBorders>
            <w:shd w:val="clear" w:color="auto" w:fill="9CC2E5"/>
            <w:tcMar>
              <w:top w:w="0" w:type="dxa"/>
              <w:left w:w="108" w:type="dxa"/>
              <w:bottom w:w="0" w:type="dxa"/>
              <w:right w:w="108" w:type="dxa"/>
            </w:tcMar>
          </w:tcPr>
          <w:p w14:paraId="79ED80C4" w14:textId="28AE81AC" w:rsidR="00554849" w:rsidRPr="002734F2" w:rsidRDefault="00554849" w:rsidP="00554849">
            <w:pPr>
              <w:pStyle w:val="ListParagraph"/>
              <w:suppressAutoHyphens w:val="0"/>
              <w:spacing w:before="0" w:after="0"/>
              <w:ind w:left="0"/>
              <w:jc w:val="left"/>
              <w:textAlignment w:val="auto"/>
              <w:rPr>
                <w:rFonts w:eastAsia="Times New Roman"/>
                <w:b/>
                <w:color w:val="FFFFFF" w:themeColor="background1"/>
                <w:lang w:val="es-ES"/>
              </w:rPr>
            </w:pPr>
            <w:r w:rsidRPr="00554849">
              <w:rPr>
                <w:rFonts w:eastAsia="Times New Roman"/>
                <w:b/>
                <w:color w:val="FFFFFF" w:themeColor="background1"/>
                <w:lang w:val="es-ES"/>
              </w:rPr>
              <w:t>Diseño y contenidos similar a etiqueta europea para lámparas</w:t>
            </w:r>
            <w:r w:rsidR="00F70492">
              <w:rPr>
                <w:rFonts w:eastAsia="Times New Roman"/>
                <w:b/>
                <w:color w:val="FFFFFF" w:themeColor="background1"/>
                <w:lang w:val="es-ES"/>
              </w:rPr>
              <w:t xml:space="preserve"> *)</w:t>
            </w:r>
          </w:p>
        </w:tc>
      </w:tr>
      <w:tr w:rsidR="00554849" w:rsidRPr="00914127" w14:paraId="6FB98E11" w14:textId="77777777" w:rsidTr="00A45447">
        <w:trPr>
          <w:cantSplit/>
        </w:trPr>
        <w:tc>
          <w:tcPr>
            <w:tcW w:w="424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4C70B94" w14:textId="77777777" w:rsidR="002734F2" w:rsidRPr="002734F2" w:rsidRDefault="002734F2" w:rsidP="002734F2">
            <w:pPr>
              <w:suppressAutoHyphens w:val="0"/>
              <w:spacing w:before="0" w:after="0"/>
              <w:jc w:val="left"/>
              <w:textAlignment w:val="auto"/>
              <w:rPr>
                <w:rFonts w:eastAsia="Times New Roman"/>
                <w:lang w:val="es-ES"/>
              </w:rPr>
            </w:pPr>
            <w:r w:rsidRPr="002734F2">
              <w:rPr>
                <w:rFonts w:eastAsia="Times New Roman"/>
                <w:lang w:val="es-ES"/>
              </w:rPr>
              <w:t>Información incluida en la etiqueta:</w:t>
            </w:r>
          </w:p>
          <w:p w14:paraId="73141942" w14:textId="77777777" w:rsidR="002734F2" w:rsidRPr="002734F2" w:rsidRDefault="002734F2" w:rsidP="002734F2">
            <w:pPr>
              <w:pStyle w:val="ListParagraph"/>
              <w:numPr>
                <w:ilvl w:val="0"/>
                <w:numId w:val="37"/>
              </w:numPr>
              <w:suppressAutoHyphens w:val="0"/>
              <w:spacing w:before="0" w:after="0"/>
              <w:ind w:hanging="227"/>
              <w:jc w:val="left"/>
              <w:textAlignment w:val="auto"/>
              <w:rPr>
                <w:rFonts w:eastAsia="Times New Roman"/>
                <w:lang w:val="es-ES"/>
              </w:rPr>
            </w:pPr>
            <w:r w:rsidRPr="002734F2">
              <w:rPr>
                <w:rFonts w:eastAsia="Times New Roman"/>
                <w:lang w:val="es-ES"/>
              </w:rPr>
              <w:t>Eficacia luminosa (lm/W)</w:t>
            </w:r>
          </w:p>
          <w:p w14:paraId="6519F9C7" w14:textId="77777777" w:rsidR="002734F2" w:rsidRPr="002734F2" w:rsidRDefault="002734F2" w:rsidP="002734F2">
            <w:pPr>
              <w:pStyle w:val="ListParagraph"/>
              <w:numPr>
                <w:ilvl w:val="0"/>
                <w:numId w:val="37"/>
              </w:numPr>
              <w:suppressAutoHyphens w:val="0"/>
              <w:spacing w:before="0" w:after="0"/>
              <w:ind w:hanging="227"/>
              <w:jc w:val="left"/>
              <w:textAlignment w:val="auto"/>
              <w:rPr>
                <w:rFonts w:eastAsia="Times New Roman"/>
                <w:lang w:val="es-ES"/>
              </w:rPr>
            </w:pPr>
            <w:r w:rsidRPr="002734F2">
              <w:rPr>
                <w:rFonts w:eastAsia="Times New Roman"/>
                <w:lang w:val="es-ES"/>
              </w:rPr>
              <w:t>Flujo luminoso (lm), potencia (W)</w:t>
            </w:r>
          </w:p>
          <w:p w14:paraId="30902A6D" w14:textId="77777777" w:rsidR="002734F2" w:rsidRPr="002734F2" w:rsidRDefault="002734F2" w:rsidP="002734F2">
            <w:pPr>
              <w:pStyle w:val="ListParagraph"/>
              <w:numPr>
                <w:ilvl w:val="0"/>
                <w:numId w:val="37"/>
              </w:numPr>
              <w:suppressAutoHyphens w:val="0"/>
              <w:spacing w:before="0" w:after="0"/>
              <w:ind w:hanging="227"/>
              <w:jc w:val="left"/>
              <w:textAlignment w:val="auto"/>
              <w:rPr>
                <w:rFonts w:eastAsia="Times New Roman"/>
                <w:lang w:val="es-ES"/>
              </w:rPr>
            </w:pPr>
            <w:r w:rsidRPr="002734F2">
              <w:rPr>
                <w:rFonts w:eastAsia="Times New Roman"/>
                <w:lang w:val="es-ES"/>
              </w:rPr>
              <w:t xml:space="preserve">Consumo anual de energía </w:t>
            </w:r>
          </w:p>
          <w:p w14:paraId="25B856FD" w14:textId="77777777" w:rsidR="002734F2" w:rsidRPr="002734F2" w:rsidRDefault="002734F2" w:rsidP="002734F2">
            <w:pPr>
              <w:pStyle w:val="ListParagraph"/>
              <w:numPr>
                <w:ilvl w:val="0"/>
                <w:numId w:val="37"/>
              </w:numPr>
              <w:suppressAutoHyphens w:val="0"/>
              <w:spacing w:before="0" w:after="0"/>
              <w:ind w:hanging="227"/>
              <w:jc w:val="left"/>
              <w:textAlignment w:val="auto"/>
              <w:rPr>
                <w:rFonts w:eastAsia="Times New Roman"/>
                <w:lang w:val="es-ES"/>
              </w:rPr>
            </w:pPr>
            <w:r w:rsidRPr="002734F2">
              <w:rPr>
                <w:rFonts w:eastAsia="Times New Roman"/>
                <w:lang w:val="es-ES"/>
              </w:rPr>
              <w:t>Vida útil</w:t>
            </w:r>
          </w:p>
          <w:p w14:paraId="2BEDF503" w14:textId="77777777" w:rsidR="002734F2" w:rsidRPr="002734F2" w:rsidRDefault="002734F2" w:rsidP="002734F2">
            <w:pPr>
              <w:pStyle w:val="ListParagraph"/>
              <w:numPr>
                <w:ilvl w:val="0"/>
                <w:numId w:val="37"/>
              </w:numPr>
              <w:suppressAutoHyphens w:val="0"/>
              <w:spacing w:before="0" w:after="0"/>
              <w:ind w:hanging="227"/>
              <w:jc w:val="left"/>
              <w:textAlignment w:val="auto"/>
              <w:rPr>
                <w:rFonts w:eastAsia="Times New Roman"/>
                <w:lang w:val="es-ES"/>
              </w:rPr>
            </w:pPr>
            <w:r w:rsidRPr="002734F2">
              <w:rPr>
                <w:rFonts w:eastAsia="Times New Roman"/>
                <w:lang w:val="es-ES"/>
              </w:rPr>
              <w:t>Temperatura de color</w:t>
            </w:r>
          </w:p>
          <w:p w14:paraId="56B9C8C5" w14:textId="4F0616C0" w:rsidR="00554849" w:rsidRPr="002734F2" w:rsidRDefault="002734F2" w:rsidP="002734F2">
            <w:pPr>
              <w:pStyle w:val="ListParagraph"/>
              <w:numPr>
                <w:ilvl w:val="0"/>
                <w:numId w:val="37"/>
              </w:numPr>
              <w:suppressAutoHyphens w:val="0"/>
              <w:spacing w:before="0" w:after="0"/>
              <w:ind w:hanging="227"/>
              <w:jc w:val="left"/>
              <w:textAlignment w:val="auto"/>
              <w:rPr>
                <w:rFonts w:eastAsia="Times New Roman"/>
                <w:lang w:val="es-ES"/>
              </w:rPr>
            </w:pPr>
            <w:r w:rsidRPr="002734F2">
              <w:rPr>
                <w:rFonts w:eastAsia="Times New Roman"/>
                <w:lang w:val="es-ES"/>
              </w:rPr>
              <w:t xml:space="preserve">Aviso </w:t>
            </w:r>
            <w:r>
              <w:rPr>
                <w:rFonts w:eastAsia="Times New Roman"/>
                <w:lang w:val="es-ES"/>
              </w:rPr>
              <w:t xml:space="preserve">contenido de </w:t>
            </w:r>
            <w:r w:rsidRPr="002734F2">
              <w:rPr>
                <w:rFonts w:eastAsia="Times New Roman"/>
                <w:lang w:val="es-ES"/>
              </w:rPr>
              <w:t>mercurio</w:t>
            </w:r>
            <w:r>
              <w:rPr>
                <w:rFonts w:eastAsia="Times New Roman"/>
                <w:lang w:val="es-ES"/>
              </w:rPr>
              <w:t xml:space="preserve"> (en su caso</w:t>
            </w:r>
            <w:r w:rsidRPr="002734F2">
              <w:rPr>
                <w:rFonts w:eastAsia="Times New Roman"/>
                <w:lang w:val="es-ES"/>
              </w:rPr>
              <w:t>)</w:t>
            </w:r>
          </w:p>
        </w:tc>
        <w:tc>
          <w:tcPr>
            <w:tcW w:w="42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2E68282" w14:textId="77777777" w:rsidR="002734F2" w:rsidRPr="002734F2" w:rsidRDefault="002734F2" w:rsidP="002734F2">
            <w:pPr>
              <w:pStyle w:val="ListParagraph"/>
              <w:suppressAutoHyphens w:val="0"/>
              <w:spacing w:before="0" w:after="0"/>
              <w:ind w:left="0"/>
              <w:jc w:val="left"/>
              <w:textAlignment w:val="auto"/>
              <w:rPr>
                <w:rFonts w:eastAsia="Times New Roman"/>
                <w:lang w:val="es-ES"/>
              </w:rPr>
            </w:pPr>
            <w:r w:rsidRPr="002734F2">
              <w:rPr>
                <w:rFonts w:eastAsia="Times New Roman"/>
                <w:lang w:val="es-ES"/>
              </w:rPr>
              <w:t>Información incluida en la etiqueta:</w:t>
            </w:r>
          </w:p>
          <w:p w14:paraId="4029B13C" w14:textId="77777777" w:rsidR="002734F2" w:rsidRPr="002734F2" w:rsidRDefault="002734F2" w:rsidP="002734F2">
            <w:pPr>
              <w:pStyle w:val="ListParagraph"/>
              <w:numPr>
                <w:ilvl w:val="0"/>
                <w:numId w:val="38"/>
              </w:numPr>
              <w:suppressAutoHyphens w:val="0"/>
              <w:spacing w:before="0" w:after="0"/>
              <w:ind w:left="227" w:hanging="227"/>
              <w:jc w:val="left"/>
              <w:textAlignment w:val="auto"/>
              <w:rPr>
                <w:rFonts w:eastAsia="Times New Roman"/>
                <w:lang w:val="es-ES"/>
              </w:rPr>
            </w:pPr>
            <w:r w:rsidRPr="002734F2">
              <w:rPr>
                <w:rFonts w:eastAsia="Times New Roman"/>
                <w:lang w:val="es-ES"/>
              </w:rPr>
              <w:t>Eficacia luminosa (clase de eficacia)</w:t>
            </w:r>
          </w:p>
          <w:p w14:paraId="5C597A66" w14:textId="5C0C0F65" w:rsidR="00554849" w:rsidRPr="00520193" w:rsidRDefault="002734F2" w:rsidP="00AB4154">
            <w:pPr>
              <w:pStyle w:val="ListParagraph"/>
              <w:numPr>
                <w:ilvl w:val="0"/>
                <w:numId w:val="38"/>
              </w:numPr>
              <w:suppressAutoHyphens w:val="0"/>
              <w:spacing w:before="0" w:after="0"/>
              <w:ind w:left="227" w:hanging="227"/>
              <w:jc w:val="left"/>
              <w:textAlignment w:val="auto"/>
              <w:rPr>
                <w:rFonts w:eastAsia="Times New Roman"/>
                <w:lang w:val="es-ES"/>
              </w:rPr>
            </w:pPr>
            <w:r w:rsidRPr="002734F2">
              <w:rPr>
                <w:rFonts w:eastAsia="Times New Roman"/>
                <w:lang w:val="es-ES"/>
              </w:rPr>
              <w:t>Consumo anual de energía – kWh/1.000 horas</w:t>
            </w:r>
            <w:r w:rsidR="00AB4154">
              <w:rPr>
                <w:rFonts w:eastAsia="Times New Roman"/>
                <w:lang w:val="es-ES"/>
              </w:rPr>
              <w:t xml:space="preserve"> (alternativamente en el embalaje</w:t>
            </w:r>
            <w:r w:rsidRPr="002734F2">
              <w:rPr>
                <w:rFonts w:eastAsia="Times New Roman"/>
                <w:lang w:val="es-ES"/>
              </w:rPr>
              <w:t>)</w:t>
            </w:r>
          </w:p>
        </w:tc>
      </w:tr>
      <w:tr w:rsidR="00554849" w:rsidRPr="00914127" w14:paraId="01DE03FC" w14:textId="77777777" w:rsidTr="00A45447">
        <w:trPr>
          <w:cantSplit/>
        </w:trPr>
        <w:tc>
          <w:tcPr>
            <w:tcW w:w="424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5A7441D" w14:textId="0F052448" w:rsidR="002734F2" w:rsidRPr="002734F2" w:rsidRDefault="002734F2" w:rsidP="002734F2">
            <w:pPr>
              <w:suppressAutoHyphens w:val="0"/>
              <w:spacing w:before="0" w:after="0"/>
              <w:jc w:val="left"/>
              <w:textAlignment w:val="auto"/>
              <w:rPr>
                <w:rFonts w:eastAsia="Times New Roman"/>
                <w:lang w:val="es-ES"/>
              </w:rPr>
            </w:pPr>
            <w:r w:rsidRPr="002734F2">
              <w:rPr>
                <w:rFonts w:eastAsia="Times New Roman"/>
                <w:lang w:val="es-ES"/>
              </w:rPr>
              <w:t>Información incluida en el embalaje (</w:t>
            </w:r>
            <w:r w:rsidR="009B2417">
              <w:rPr>
                <w:rFonts w:eastAsia="Times New Roman"/>
                <w:lang w:val="es-ES"/>
              </w:rPr>
              <w:t xml:space="preserve">como </w:t>
            </w:r>
            <w:r w:rsidRPr="002734F2">
              <w:rPr>
                <w:rFonts w:eastAsia="Times New Roman"/>
                <w:lang w:val="es-ES"/>
              </w:rPr>
              <w:t>mínimo):</w:t>
            </w:r>
          </w:p>
          <w:p w14:paraId="1CECD811" w14:textId="77777777" w:rsidR="002734F2" w:rsidRPr="009B2417" w:rsidRDefault="002734F2" w:rsidP="009B2417">
            <w:pPr>
              <w:pStyle w:val="ListParagraph"/>
              <w:numPr>
                <w:ilvl w:val="0"/>
                <w:numId w:val="39"/>
              </w:numPr>
              <w:suppressAutoHyphens w:val="0"/>
              <w:spacing w:before="0" w:after="0"/>
              <w:ind w:left="227" w:hanging="227"/>
              <w:jc w:val="left"/>
              <w:textAlignment w:val="auto"/>
              <w:rPr>
                <w:rFonts w:eastAsia="Times New Roman"/>
                <w:lang w:val="es-ES"/>
              </w:rPr>
            </w:pPr>
            <w:r w:rsidRPr="009B2417">
              <w:rPr>
                <w:rFonts w:eastAsia="Times New Roman"/>
                <w:lang w:val="es-ES"/>
              </w:rPr>
              <w:t>Rendimiento de color</w:t>
            </w:r>
          </w:p>
          <w:p w14:paraId="4529BB40" w14:textId="77777777" w:rsidR="002734F2" w:rsidRPr="009B2417" w:rsidRDefault="002734F2" w:rsidP="009B2417">
            <w:pPr>
              <w:pStyle w:val="ListParagraph"/>
              <w:numPr>
                <w:ilvl w:val="0"/>
                <w:numId w:val="39"/>
              </w:numPr>
              <w:suppressAutoHyphens w:val="0"/>
              <w:spacing w:before="0" w:after="0"/>
              <w:ind w:left="227" w:hanging="227"/>
              <w:jc w:val="left"/>
              <w:textAlignment w:val="auto"/>
              <w:rPr>
                <w:rFonts w:eastAsia="Times New Roman"/>
                <w:lang w:val="es-ES"/>
              </w:rPr>
            </w:pPr>
            <w:r w:rsidRPr="009B2417">
              <w:rPr>
                <w:rFonts w:eastAsia="Times New Roman"/>
                <w:lang w:val="es-ES"/>
              </w:rPr>
              <w:t>Número de ciclos de conmutación</w:t>
            </w:r>
          </w:p>
          <w:p w14:paraId="6D014D21" w14:textId="77777777" w:rsidR="002734F2" w:rsidRPr="009B2417" w:rsidRDefault="002734F2" w:rsidP="009B2417">
            <w:pPr>
              <w:pStyle w:val="ListParagraph"/>
              <w:numPr>
                <w:ilvl w:val="0"/>
                <w:numId w:val="39"/>
              </w:numPr>
              <w:suppressAutoHyphens w:val="0"/>
              <w:spacing w:before="0" w:after="0"/>
              <w:ind w:left="227" w:hanging="227"/>
              <w:jc w:val="left"/>
              <w:textAlignment w:val="auto"/>
              <w:rPr>
                <w:rFonts w:eastAsia="Times New Roman"/>
                <w:lang w:val="es-ES"/>
              </w:rPr>
            </w:pPr>
            <w:r w:rsidRPr="009B2417">
              <w:rPr>
                <w:rFonts w:eastAsia="Times New Roman"/>
                <w:lang w:val="es-ES"/>
              </w:rPr>
              <w:t>Tiempo de incendido</w:t>
            </w:r>
          </w:p>
          <w:p w14:paraId="65F8E4BF" w14:textId="77777777" w:rsidR="002734F2" w:rsidRPr="009B2417" w:rsidRDefault="002734F2" w:rsidP="009B2417">
            <w:pPr>
              <w:pStyle w:val="ListParagraph"/>
              <w:numPr>
                <w:ilvl w:val="0"/>
                <w:numId w:val="39"/>
              </w:numPr>
              <w:suppressAutoHyphens w:val="0"/>
              <w:spacing w:before="0" w:after="0"/>
              <w:ind w:left="227" w:hanging="227"/>
              <w:jc w:val="left"/>
              <w:textAlignment w:val="auto"/>
              <w:rPr>
                <w:rFonts w:eastAsia="Times New Roman"/>
                <w:lang w:val="es-ES"/>
              </w:rPr>
            </w:pPr>
            <w:r w:rsidRPr="009B2417">
              <w:rPr>
                <w:rFonts w:eastAsia="Times New Roman"/>
                <w:lang w:val="es-ES"/>
              </w:rPr>
              <w:t>Ajustabilidad (iluminación regulable)</w:t>
            </w:r>
          </w:p>
          <w:p w14:paraId="186C53AC" w14:textId="77777777" w:rsidR="002734F2" w:rsidRPr="009B2417" w:rsidRDefault="002734F2" w:rsidP="009B2417">
            <w:pPr>
              <w:pStyle w:val="ListParagraph"/>
              <w:numPr>
                <w:ilvl w:val="0"/>
                <w:numId w:val="39"/>
              </w:numPr>
              <w:suppressAutoHyphens w:val="0"/>
              <w:spacing w:before="0" w:after="0"/>
              <w:ind w:left="227" w:hanging="227"/>
              <w:jc w:val="left"/>
              <w:textAlignment w:val="auto"/>
              <w:rPr>
                <w:rFonts w:eastAsia="Times New Roman"/>
                <w:lang w:val="es-ES"/>
              </w:rPr>
            </w:pPr>
            <w:r w:rsidRPr="009B2417">
              <w:rPr>
                <w:rFonts w:eastAsia="Times New Roman"/>
                <w:lang w:val="es-ES"/>
              </w:rPr>
              <w:t>Dimensiones, tipo de casquillo</w:t>
            </w:r>
          </w:p>
          <w:p w14:paraId="212E6AA8" w14:textId="3CFD2A6F" w:rsidR="00554849" w:rsidRPr="009B2417" w:rsidRDefault="002734F2" w:rsidP="009B2417">
            <w:pPr>
              <w:pStyle w:val="ListParagraph"/>
              <w:numPr>
                <w:ilvl w:val="0"/>
                <w:numId w:val="39"/>
              </w:numPr>
              <w:suppressAutoHyphens w:val="0"/>
              <w:spacing w:before="0" w:after="0"/>
              <w:ind w:left="227" w:hanging="227"/>
              <w:jc w:val="left"/>
              <w:textAlignment w:val="auto"/>
              <w:rPr>
                <w:rFonts w:eastAsia="Times New Roman"/>
                <w:lang w:val="es-ES"/>
              </w:rPr>
            </w:pPr>
            <w:r w:rsidRPr="009B2417">
              <w:rPr>
                <w:rFonts w:eastAsia="Times New Roman"/>
                <w:lang w:val="es-ES"/>
              </w:rPr>
              <w:t xml:space="preserve">Aviso </w:t>
            </w:r>
            <w:r w:rsidR="009B2417">
              <w:rPr>
                <w:rFonts w:eastAsia="Times New Roman"/>
                <w:lang w:val="es-ES"/>
              </w:rPr>
              <w:t xml:space="preserve">contenido de </w:t>
            </w:r>
            <w:r w:rsidRPr="009B2417">
              <w:rPr>
                <w:rFonts w:eastAsia="Times New Roman"/>
                <w:lang w:val="es-ES"/>
              </w:rPr>
              <w:t>mercurio</w:t>
            </w:r>
            <w:r w:rsidR="009B2417">
              <w:rPr>
                <w:rFonts w:eastAsia="Times New Roman"/>
                <w:lang w:val="es-ES"/>
              </w:rPr>
              <w:t xml:space="preserve"> (en su caso</w:t>
            </w:r>
            <w:r w:rsidRPr="009B2417">
              <w:rPr>
                <w:rFonts w:eastAsia="Times New Roman"/>
                <w:lang w:val="es-ES"/>
              </w:rPr>
              <w:t>)</w:t>
            </w:r>
          </w:p>
        </w:tc>
        <w:tc>
          <w:tcPr>
            <w:tcW w:w="42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9F4EF0F" w14:textId="052D92B6" w:rsidR="002734F2" w:rsidRPr="002734F2" w:rsidRDefault="002734F2" w:rsidP="002734F2">
            <w:pPr>
              <w:suppressAutoHyphens w:val="0"/>
              <w:spacing w:before="0" w:after="0"/>
              <w:jc w:val="left"/>
              <w:textAlignment w:val="auto"/>
              <w:rPr>
                <w:rFonts w:eastAsia="Times New Roman"/>
                <w:lang w:val="es-ES"/>
              </w:rPr>
            </w:pPr>
            <w:r w:rsidRPr="002734F2">
              <w:rPr>
                <w:rFonts w:eastAsia="Times New Roman"/>
                <w:lang w:val="es-ES"/>
              </w:rPr>
              <w:t>Información incluida en el embalaje (</w:t>
            </w:r>
            <w:r w:rsidR="009B2417">
              <w:rPr>
                <w:rFonts w:eastAsia="Times New Roman"/>
                <w:lang w:val="es-ES"/>
              </w:rPr>
              <w:t xml:space="preserve">como </w:t>
            </w:r>
            <w:r w:rsidRPr="002734F2">
              <w:rPr>
                <w:rFonts w:eastAsia="Times New Roman"/>
                <w:lang w:val="es-ES"/>
              </w:rPr>
              <w:t>mínimo):</w:t>
            </w:r>
          </w:p>
          <w:p w14:paraId="78D19EF7" w14:textId="082DFAB4" w:rsidR="00AB4154" w:rsidRDefault="00AB4154" w:rsidP="009B2417">
            <w:pPr>
              <w:pStyle w:val="ListParagraph"/>
              <w:numPr>
                <w:ilvl w:val="0"/>
                <w:numId w:val="40"/>
              </w:numPr>
              <w:suppressAutoHyphens w:val="0"/>
              <w:spacing w:before="0" w:after="0"/>
              <w:ind w:left="227" w:hanging="227"/>
              <w:jc w:val="left"/>
              <w:textAlignment w:val="auto"/>
              <w:rPr>
                <w:rFonts w:eastAsia="Times New Roman"/>
                <w:lang w:val="es-ES"/>
              </w:rPr>
            </w:pPr>
            <w:r>
              <w:rPr>
                <w:rFonts w:eastAsia="Times New Roman"/>
                <w:lang w:val="es-ES"/>
              </w:rPr>
              <w:t>Consumo anual de energía – kWh/1.000 horas (alternativamente en la etiqueta)</w:t>
            </w:r>
          </w:p>
          <w:p w14:paraId="6483E505" w14:textId="2C9C0752" w:rsidR="002734F2" w:rsidRPr="009B2417" w:rsidRDefault="002734F2" w:rsidP="009B2417">
            <w:pPr>
              <w:pStyle w:val="ListParagraph"/>
              <w:numPr>
                <w:ilvl w:val="0"/>
                <w:numId w:val="40"/>
              </w:numPr>
              <w:suppressAutoHyphens w:val="0"/>
              <w:spacing w:before="0" w:after="0"/>
              <w:ind w:left="227" w:hanging="227"/>
              <w:jc w:val="left"/>
              <w:textAlignment w:val="auto"/>
              <w:rPr>
                <w:rFonts w:eastAsia="Times New Roman"/>
                <w:lang w:val="es-ES"/>
              </w:rPr>
            </w:pPr>
            <w:r w:rsidRPr="009B2417">
              <w:rPr>
                <w:rFonts w:eastAsia="Times New Roman"/>
                <w:lang w:val="es-ES"/>
              </w:rPr>
              <w:t>Flujo luminoso (lm), potencia (W)</w:t>
            </w:r>
          </w:p>
          <w:p w14:paraId="32F5D11A" w14:textId="77777777" w:rsidR="002734F2" w:rsidRPr="009B2417" w:rsidRDefault="002734F2" w:rsidP="009B2417">
            <w:pPr>
              <w:pStyle w:val="ListParagraph"/>
              <w:numPr>
                <w:ilvl w:val="0"/>
                <w:numId w:val="40"/>
              </w:numPr>
              <w:suppressAutoHyphens w:val="0"/>
              <w:spacing w:before="0" w:after="0"/>
              <w:ind w:left="227" w:hanging="227"/>
              <w:jc w:val="left"/>
              <w:textAlignment w:val="auto"/>
              <w:rPr>
                <w:rFonts w:eastAsia="Times New Roman"/>
                <w:lang w:val="es-ES"/>
              </w:rPr>
            </w:pPr>
            <w:r w:rsidRPr="009B2417">
              <w:rPr>
                <w:rFonts w:eastAsia="Times New Roman"/>
                <w:lang w:val="es-ES"/>
              </w:rPr>
              <w:t>Temperatura de color</w:t>
            </w:r>
          </w:p>
          <w:p w14:paraId="1B639595" w14:textId="77777777" w:rsidR="002734F2" w:rsidRPr="009B2417" w:rsidRDefault="002734F2" w:rsidP="009B2417">
            <w:pPr>
              <w:pStyle w:val="ListParagraph"/>
              <w:numPr>
                <w:ilvl w:val="0"/>
                <w:numId w:val="40"/>
              </w:numPr>
              <w:suppressAutoHyphens w:val="0"/>
              <w:spacing w:before="0" w:after="0"/>
              <w:ind w:left="227" w:hanging="227"/>
              <w:jc w:val="left"/>
              <w:textAlignment w:val="auto"/>
              <w:rPr>
                <w:rFonts w:eastAsia="Times New Roman"/>
                <w:lang w:val="es-ES"/>
              </w:rPr>
            </w:pPr>
            <w:r w:rsidRPr="009B2417">
              <w:rPr>
                <w:rFonts w:eastAsia="Times New Roman"/>
                <w:lang w:val="es-ES"/>
              </w:rPr>
              <w:t>Rendimiento de color</w:t>
            </w:r>
          </w:p>
          <w:p w14:paraId="566E4560" w14:textId="77777777" w:rsidR="002734F2" w:rsidRPr="009B2417" w:rsidRDefault="002734F2" w:rsidP="009B2417">
            <w:pPr>
              <w:pStyle w:val="ListParagraph"/>
              <w:numPr>
                <w:ilvl w:val="0"/>
                <w:numId w:val="40"/>
              </w:numPr>
              <w:suppressAutoHyphens w:val="0"/>
              <w:spacing w:before="0" w:after="0"/>
              <w:ind w:left="227" w:hanging="227"/>
              <w:jc w:val="left"/>
              <w:textAlignment w:val="auto"/>
              <w:rPr>
                <w:rFonts w:eastAsia="Times New Roman"/>
                <w:lang w:val="es-ES"/>
              </w:rPr>
            </w:pPr>
            <w:r w:rsidRPr="009B2417">
              <w:rPr>
                <w:rFonts w:eastAsia="Times New Roman"/>
                <w:lang w:val="es-ES"/>
              </w:rPr>
              <w:t>Vida útil</w:t>
            </w:r>
          </w:p>
          <w:p w14:paraId="5F686251" w14:textId="77777777" w:rsidR="002734F2" w:rsidRPr="009B2417" w:rsidRDefault="002734F2" w:rsidP="009B2417">
            <w:pPr>
              <w:pStyle w:val="ListParagraph"/>
              <w:numPr>
                <w:ilvl w:val="0"/>
                <w:numId w:val="40"/>
              </w:numPr>
              <w:suppressAutoHyphens w:val="0"/>
              <w:spacing w:before="0" w:after="0"/>
              <w:ind w:left="227" w:hanging="227"/>
              <w:jc w:val="left"/>
              <w:textAlignment w:val="auto"/>
              <w:rPr>
                <w:rFonts w:eastAsia="Times New Roman"/>
                <w:lang w:val="es-ES"/>
              </w:rPr>
            </w:pPr>
            <w:r w:rsidRPr="009B2417">
              <w:rPr>
                <w:rFonts w:eastAsia="Times New Roman"/>
                <w:lang w:val="es-ES"/>
              </w:rPr>
              <w:t>Número de ciclos de conmutación</w:t>
            </w:r>
          </w:p>
          <w:p w14:paraId="4290B396" w14:textId="77777777" w:rsidR="002734F2" w:rsidRPr="009B2417" w:rsidRDefault="002734F2" w:rsidP="009B2417">
            <w:pPr>
              <w:pStyle w:val="ListParagraph"/>
              <w:numPr>
                <w:ilvl w:val="0"/>
                <w:numId w:val="40"/>
              </w:numPr>
              <w:suppressAutoHyphens w:val="0"/>
              <w:spacing w:before="0" w:after="0"/>
              <w:ind w:left="227" w:hanging="227"/>
              <w:jc w:val="left"/>
              <w:textAlignment w:val="auto"/>
              <w:rPr>
                <w:rFonts w:eastAsia="Times New Roman"/>
                <w:lang w:val="es-ES"/>
              </w:rPr>
            </w:pPr>
            <w:r w:rsidRPr="009B2417">
              <w:rPr>
                <w:rFonts w:eastAsia="Times New Roman"/>
                <w:lang w:val="es-ES"/>
              </w:rPr>
              <w:t>Tiempo de incendido</w:t>
            </w:r>
          </w:p>
          <w:p w14:paraId="44466C7D" w14:textId="77777777" w:rsidR="002734F2" w:rsidRPr="009B2417" w:rsidRDefault="002734F2" w:rsidP="009B2417">
            <w:pPr>
              <w:pStyle w:val="ListParagraph"/>
              <w:numPr>
                <w:ilvl w:val="0"/>
                <w:numId w:val="40"/>
              </w:numPr>
              <w:suppressAutoHyphens w:val="0"/>
              <w:spacing w:before="0" w:after="0"/>
              <w:ind w:left="227" w:hanging="227"/>
              <w:jc w:val="left"/>
              <w:textAlignment w:val="auto"/>
              <w:rPr>
                <w:rFonts w:eastAsia="Times New Roman"/>
                <w:lang w:val="es-ES"/>
              </w:rPr>
            </w:pPr>
            <w:r w:rsidRPr="009B2417">
              <w:rPr>
                <w:rFonts w:eastAsia="Times New Roman"/>
                <w:lang w:val="es-ES"/>
              </w:rPr>
              <w:t>Ajustabilidad (iluminación regulable)</w:t>
            </w:r>
          </w:p>
          <w:p w14:paraId="5CBCDFEF" w14:textId="77777777" w:rsidR="002734F2" w:rsidRPr="009B2417" w:rsidRDefault="002734F2" w:rsidP="009B2417">
            <w:pPr>
              <w:pStyle w:val="ListParagraph"/>
              <w:numPr>
                <w:ilvl w:val="0"/>
                <w:numId w:val="40"/>
              </w:numPr>
              <w:suppressAutoHyphens w:val="0"/>
              <w:spacing w:before="0" w:after="0"/>
              <w:ind w:left="227" w:hanging="227"/>
              <w:jc w:val="left"/>
              <w:textAlignment w:val="auto"/>
              <w:rPr>
                <w:rFonts w:eastAsia="Times New Roman"/>
                <w:lang w:val="es-ES"/>
              </w:rPr>
            </w:pPr>
            <w:r w:rsidRPr="009B2417">
              <w:rPr>
                <w:rFonts w:eastAsia="Times New Roman"/>
                <w:lang w:val="es-ES"/>
              </w:rPr>
              <w:t>Dimensiones, tipo de casquillo</w:t>
            </w:r>
          </w:p>
          <w:p w14:paraId="0CBE76BE" w14:textId="2ABD9267" w:rsidR="00554849" w:rsidRPr="009B2417" w:rsidRDefault="002734F2" w:rsidP="009B2417">
            <w:pPr>
              <w:pStyle w:val="ListParagraph"/>
              <w:numPr>
                <w:ilvl w:val="0"/>
                <w:numId w:val="40"/>
              </w:numPr>
              <w:suppressAutoHyphens w:val="0"/>
              <w:spacing w:before="0" w:after="0"/>
              <w:ind w:left="227" w:hanging="227"/>
              <w:jc w:val="left"/>
              <w:textAlignment w:val="auto"/>
              <w:rPr>
                <w:rFonts w:eastAsia="Times New Roman"/>
                <w:lang w:val="es-ES"/>
              </w:rPr>
            </w:pPr>
            <w:r w:rsidRPr="009B2417">
              <w:rPr>
                <w:rFonts w:eastAsia="Times New Roman"/>
                <w:lang w:val="es-ES"/>
              </w:rPr>
              <w:t xml:space="preserve">Aviso </w:t>
            </w:r>
            <w:r w:rsidR="009B2417">
              <w:rPr>
                <w:rFonts w:eastAsia="Times New Roman"/>
                <w:lang w:val="es-ES"/>
              </w:rPr>
              <w:t>contenido de mercurio (en su caso</w:t>
            </w:r>
            <w:r w:rsidRPr="009B2417">
              <w:rPr>
                <w:rFonts w:eastAsia="Times New Roman"/>
                <w:lang w:val="es-ES"/>
              </w:rPr>
              <w:t>)</w:t>
            </w:r>
          </w:p>
        </w:tc>
      </w:tr>
    </w:tbl>
    <w:p w14:paraId="3C8C1B69" w14:textId="5D1CF1CF" w:rsidR="00554849" w:rsidRDefault="009B2417" w:rsidP="008E6734">
      <w:pPr>
        <w:suppressAutoHyphens w:val="0"/>
        <w:spacing w:before="0" w:after="0"/>
        <w:rPr>
          <w:sz w:val="20"/>
          <w:szCs w:val="20"/>
          <w:lang w:val="es-ES"/>
        </w:rPr>
      </w:pPr>
      <w:r w:rsidRPr="009B2417">
        <w:rPr>
          <w:sz w:val="20"/>
          <w:szCs w:val="20"/>
          <w:lang w:val="es-ES"/>
        </w:rPr>
        <w:t>Nota: Además de información comercial, p.ej. nombre del fabricante, de la marca y del modelo</w:t>
      </w:r>
      <w:r>
        <w:rPr>
          <w:sz w:val="20"/>
          <w:szCs w:val="20"/>
          <w:lang w:val="es-ES"/>
        </w:rPr>
        <w:t>.</w:t>
      </w:r>
    </w:p>
    <w:p w14:paraId="6C870FAA" w14:textId="12B85423" w:rsidR="009B2417" w:rsidRPr="009B2417" w:rsidRDefault="009B2417" w:rsidP="008E6734">
      <w:pPr>
        <w:suppressAutoHyphens w:val="0"/>
        <w:spacing w:before="0" w:after="0"/>
        <w:rPr>
          <w:sz w:val="20"/>
          <w:szCs w:val="20"/>
          <w:lang w:val="es-ES"/>
        </w:rPr>
      </w:pPr>
      <w:r>
        <w:rPr>
          <w:sz w:val="20"/>
          <w:szCs w:val="20"/>
          <w:lang w:val="es-ES"/>
        </w:rPr>
        <w:t xml:space="preserve">*) En esta opción será </w:t>
      </w:r>
      <w:r w:rsidRPr="009B2417">
        <w:rPr>
          <w:sz w:val="20"/>
          <w:szCs w:val="20"/>
          <w:lang w:val="es-ES"/>
        </w:rPr>
        <w:t>necesario definir clases de eficiencia energética</w:t>
      </w:r>
      <w:r>
        <w:rPr>
          <w:sz w:val="20"/>
          <w:szCs w:val="20"/>
          <w:lang w:val="es-ES"/>
        </w:rPr>
        <w:t>.</w:t>
      </w:r>
    </w:p>
    <w:p w14:paraId="4146BE42" w14:textId="2FDCD174" w:rsidR="00DE431E" w:rsidRPr="00DE431E" w:rsidRDefault="00DE431E" w:rsidP="00DE431E">
      <w:pPr>
        <w:pStyle w:val="Heading2"/>
        <w:rPr>
          <w:lang w:val="es-ES"/>
        </w:rPr>
      </w:pPr>
      <w:bookmarkStart w:id="65" w:name="_Toc516146034"/>
      <w:r>
        <w:rPr>
          <w:lang w:val="es-ES"/>
        </w:rPr>
        <w:t xml:space="preserve">Alineación con Normas </w:t>
      </w:r>
      <w:r w:rsidR="00EB1882">
        <w:rPr>
          <w:lang w:val="es-ES"/>
        </w:rPr>
        <w:t>y reglamentos de referencia</w:t>
      </w:r>
      <w:bookmarkEnd w:id="65"/>
    </w:p>
    <w:p w14:paraId="648EC8E3" w14:textId="50F12CD1" w:rsidR="00C34D89" w:rsidRDefault="00A63DA8" w:rsidP="00DE431E">
      <w:pPr>
        <w:spacing w:before="0" w:after="140"/>
        <w:rPr>
          <w:lang w:val="es-ES"/>
        </w:rPr>
      </w:pPr>
      <w:r>
        <w:rPr>
          <w:lang w:val="es-ES"/>
        </w:rPr>
        <w:t xml:space="preserve">La figura </w:t>
      </w:r>
      <w:r w:rsidR="00C34D89">
        <w:rPr>
          <w:lang w:val="es-ES"/>
        </w:rPr>
        <w:t>10</w:t>
      </w:r>
      <w:r>
        <w:rPr>
          <w:lang w:val="es-ES"/>
        </w:rPr>
        <w:t xml:space="preserve"> muestra </w:t>
      </w:r>
      <w:r w:rsidR="00C34D89" w:rsidRPr="00C34D89">
        <w:rPr>
          <w:lang w:val="es-ES"/>
        </w:rPr>
        <w:t>–</w:t>
      </w:r>
      <w:r>
        <w:rPr>
          <w:lang w:val="es-ES"/>
        </w:rPr>
        <w:t xml:space="preserve"> de forma esquemática </w:t>
      </w:r>
      <w:r w:rsidR="00C34D89" w:rsidRPr="00C34D89">
        <w:rPr>
          <w:lang w:val="es-ES"/>
        </w:rPr>
        <w:t>–</w:t>
      </w:r>
      <w:r>
        <w:rPr>
          <w:lang w:val="es-ES"/>
        </w:rPr>
        <w:t xml:space="preserve"> las opciones de alineación de la NT/RT de eficiencia energética de lámparas panameña con normas y reglamentos de referencia. Se distingue entre los siguientes </w:t>
      </w:r>
      <w:r w:rsidR="00C34D89">
        <w:rPr>
          <w:lang w:val="es-ES"/>
        </w:rPr>
        <w:t>dimensiones</w:t>
      </w:r>
      <w:r>
        <w:rPr>
          <w:lang w:val="es-ES"/>
        </w:rPr>
        <w:t xml:space="preserve"> o ejes de alineación: (i) los límites de desempeño energético mínimo, (ii) las normas de medición (métodos de prueba), (iii) los procedimientos de evaluación de la conformidad, y (iv) el etiquetado energético.</w:t>
      </w:r>
    </w:p>
    <w:p w14:paraId="1F1B64BF" w14:textId="0EA406A1" w:rsidR="00A63DA8" w:rsidRDefault="00A63DA8" w:rsidP="00A63DA8">
      <w:pPr>
        <w:pStyle w:val="Caption"/>
        <w:spacing w:after="0"/>
        <w:rPr>
          <w:lang w:val="es-ES"/>
        </w:rPr>
      </w:pPr>
      <w:r w:rsidRPr="00A96F74">
        <w:rPr>
          <w:lang w:val="es-ES"/>
        </w:rPr>
        <w:t xml:space="preserve">Figura </w:t>
      </w:r>
      <w:r w:rsidRPr="00A96F74">
        <w:rPr>
          <w:lang w:val="es-ES"/>
        </w:rPr>
        <w:fldChar w:fldCharType="begin"/>
      </w:r>
      <w:r w:rsidRPr="00A96F74">
        <w:rPr>
          <w:lang w:val="es-ES"/>
        </w:rPr>
        <w:instrText xml:space="preserve"> SEQ Figura \* ARABIC </w:instrText>
      </w:r>
      <w:r w:rsidRPr="00A96F74">
        <w:rPr>
          <w:lang w:val="es-ES"/>
        </w:rPr>
        <w:fldChar w:fldCharType="separate"/>
      </w:r>
      <w:r w:rsidR="005E6430">
        <w:rPr>
          <w:noProof/>
          <w:lang w:val="es-ES"/>
        </w:rPr>
        <w:t>10</w:t>
      </w:r>
      <w:r w:rsidRPr="00A96F74">
        <w:rPr>
          <w:noProof/>
          <w:lang w:val="es-ES"/>
        </w:rPr>
        <w:fldChar w:fldCharType="end"/>
      </w:r>
      <w:r w:rsidRPr="00A96F74">
        <w:rPr>
          <w:lang w:val="es-ES"/>
        </w:rPr>
        <w:t xml:space="preserve"> – </w:t>
      </w:r>
      <w:r>
        <w:rPr>
          <w:lang w:val="es-ES"/>
        </w:rPr>
        <w:t>Alineación con normas y reglamentos de referencia</w:t>
      </w:r>
    </w:p>
    <w:p w14:paraId="78F4BB3D" w14:textId="77777777" w:rsidR="00A63DA8" w:rsidRPr="00A96F74" w:rsidRDefault="00A63DA8" w:rsidP="00A63DA8">
      <w:pPr>
        <w:spacing w:before="0" w:after="140"/>
        <w:jc w:val="center"/>
        <w:rPr>
          <w:color w:val="002B7F"/>
          <w:lang w:val="es-ES"/>
        </w:rPr>
      </w:pPr>
      <w:r w:rsidRPr="00A96F74">
        <w:rPr>
          <w:i/>
          <w:color w:val="002B7F"/>
          <w:sz w:val="18"/>
          <w:lang w:val="es-ES"/>
        </w:rPr>
        <w:t>Fuente:</w:t>
      </w:r>
      <w:r w:rsidRPr="00E2630F">
        <w:rPr>
          <w:lang w:val="es-ES"/>
        </w:rPr>
        <w:t xml:space="preserve"> </w:t>
      </w:r>
      <w:r w:rsidRPr="00E2630F">
        <w:rPr>
          <w:rFonts w:cstheme="minorHAnsi"/>
          <w:color w:val="002B7F"/>
          <w:sz w:val="18"/>
          <w:lang w:val="es-PA"/>
        </w:rPr>
        <w:t>Elaboración propia</w:t>
      </w:r>
    </w:p>
    <w:p w14:paraId="5858EF1B" w14:textId="758AF1ED" w:rsidR="00726FB5" w:rsidRDefault="00A63DA8" w:rsidP="00DE431E">
      <w:pPr>
        <w:spacing w:before="0" w:after="140"/>
        <w:rPr>
          <w:lang w:val="es-ES"/>
        </w:rPr>
      </w:pPr>
      <w:r w:rsidRPr="00A63DA8">
        <w:rPr>
          <w:noProof/>
          <w:lang w:val="en-US"/>
        </w:rPr>
        <w:lastRenderedPageBreak/>
        <w:drawing>
          <wp:inline distT="0" distB="0" distL="0" distR="0" wp14:anchorId="6F5F235F" wp14:editId="02C8E6CF">
            <wp:extent cx="5534025" cy="32074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1132" cy="3211595"/>
                    </a:xfrm>
                    <a:prstGeom prst="rect">
                      <a:avLst/>
                    </a:prstGeom>
                    <a:noFill/>
                    <a:ln>
                      <a:noFill/>
                    </a:ln>
                  </pic:spPr>
                </pic:pic>
              </a:graphicData>
            </a:graphic>
          </wp:inline>
        </w:drawing>
      </w:r>
    </w:p>
    <w:p w14:paraId="2FC29833" w14:textId="3752672B" w:rsidR="00726FB5" w:rsidRDefault="00726FB5" w:rsidP="00DE431E">
      <w:pPr>
        <w:spacing w:before="0" w:after="140"/>
        <w:rPr>
          <w:lang w:val="es-ES"/>
        </w:rPr>
      </w:pPr>
    </w:p>
    <w:p w14:paraId="6F4CA9DF" w14:textId="69A6676B" w:rsidR="00C34D89" w:rsidRDefault="00C34D89" w:rsidP="00DE431E">
      <w:pPr>
        <w:spacing w:before="0" w:after="140"/>
        <w:rPr>
          <w:lang w:val="es-ES"/>
        </w:rPr>
      </w:pPr>
      <w:r>
        <w:rPr>
          <w:lang w:val="es-ES"/>
        </w:rPr>
        <w:t>Límites de desempeño energético mínimo:</w:t>
      </w:r>
    </w:p>
    <w:p w14:paraId="2FDA62C4" w14:textId="7E2E99B3" w:rsidR="00C34D89" w:rsidRDefault="00C34D89" w:rsidP="00DE431E">
      <w:pPr>
        <w:spacing w:before="0" w:after="140"/>
        <w:rPr>
          <w:lang w:val="es-ES"/>
        </w:rPr>
      </w:pPr>
      <w:r>
        <w:rPr>
          <w:lang w:val="es-ES"/>
        </w:rPr>
        <w:t xml:space="preserve">De acuerdo a lo expuesto anteriormente, las recomendaciones principales en este ámbito son: (i) establecer límites de desempeño energético mínimo suficientemente exigentes para lograr una transformación del mercado de las lámparas en Panamá, e (ii) insertarse </w:t>
      </w:r>
      <w:r w:rsidRPr="00C34D89">
        <w:rPr>
          <w:lang w:val="es-ES"/>
        </w:rPr>
        <w:t>–</w:t>
      </w:r>
      <w:r>
        <w:rPr>
          <w:lang w:val="es-ES"/>
        </w:rPr>
        <w:t xml:space="preserve"> por lo menos en cierta medida </w:t>
      </w:r>
      <w:r w:rsidRPr="00C34D89">
        <w:rPr>
          <w:lang w:val="es-ES"/>
        </w:rPr>
        <w:t>–</w:t>
      </w:r>
      <w:r>
        <w:rPr>
          <w:lang w:val="es-ES"/>
        </w:rPr>
        <w:t xml:space="preserve"> a las tendencias internacionales de límites de desempeño energético</w:t>
      </w:r>
      <w:r w:rsidR="001231B4">
        <w:rPr>
          <w:lang w:val="es-ES"/>
        </w:rPr>
        <w:t xml:space="preserve"> </w:t>
      </w:r>
      <w:r w:rsidR="001231B4" w:rsidRPr="001231B4">
        <w:rPr>
          <w:lang w:val="es-ES"/>
        </w:rPr>
        <w:t>“tecnológicamente neutral</w:t>
      </w:r>
      <w:r w:rsidR="001231B4">
        <w:rPr>
          <w:lang w:val="es-ES"/>
        </w:rPr>
        <w:t>es</w:t>
      </w:r>
      <w:r w:rsidR="001231B4" w:rsidRPr="001231B4">
        <w:rPr>
          <w:lang w:val="es-ES"/>
        </w:rPr>
        <w:t>”</w:t>
      </w:r>
      <w:r w:rsidR="001231B4">
        <w:rPr>
          <w:lang w:val="es-ES"/>
        </w:rPr>
        <w:t>. Estos dos objetivos se pueden lograr por una orientación de los índices mínimos en la NT/RT panameña a los límites correspondientes de las tres economía</w:t>
      </w:r>
      <w:r w:rsidR="00485ABE">
        <w:rPr>
          <w:lang w:val="es-ES"/>
        </w:rPr>
        <w:t>s</w:t>
      </w:r>
      <w:r w:rsidR="001231B4">
        <w:rPr>
          <w:lang w:val="es-ES"/>
        </w:rPr>
        <w:t xml:space="preserve"> analizados en este estudio: EE.UU., la Unión Europea y México, sin la necesidad de copiar exactamente estas referencias.</w:t>
      </w:r>
      <w:r>
        <w:rPr>
          <w:lang w:val="es-ES"/>
        </w:rPr>
        <w:t xml:space="preserve"> </w:t>
      </w:r>
      <w:r w:rsidR="009E297F">
        <w:rPr>
          <w:lang w:val="es-ES"/>
        </w:rPr>
        <w:t>Los límites indicativos recomendados en la sección 5.3 corresponden a estos objetivos.</w:t>
      </w:r>
    </w:p>
    <w:p w14:paraId="4EB38804" w14:textId="0638EFBB" w:rsidR="00726FB5" w:rsidRDefault="009E297F" w:rsidP="00DE431E">
      <w:pPr>
        <w:spacing w:before="0" w:after="140"/>
        <w:rPr>
          <w:lang w:val="es-ES"/>
        </w:rPr>
      </w:pPr>
      <w:r>
        <w:rPr>
          <w:lang w:val="es-ES"/>
        </w:rPr>
        <w:t>Normas de medición (métodos de prueba):</w:t>
      </w:r>
    </w:p>
    <w:p w14:paraId="51517ACD" w14:textId="19792D53" w:rsidR="009E297F" w:rsidRDefault="009E297F" w:rsidP="00DE431E">
      <w:pPr>
        <w:spacing w:before="0" w:after="140"/>
        <w:rPr>
          <w:lang w:val="es-ES"/>
        </w:rPr>
      </w:pPr>
      <w:r>
        <w:rPr>
          <w:lang w:val="es-ES"/>
        </w:rPr>
        <w:t xml:space="preserve">Existen dos opciones de alineación de normas de medición (métodos de prueba): (i) homologar las normas ISO/IEC o (ii) homologar las normas mexicanas (métodos de prueba </w:t>
      </w:r>
      <w:r w:rsidR="00485ABE">
        <w:rPr>
          <w:lang w:val="es-ES"/>
        </w:rPr>
        <w:t xml:space="preserve">incluidos </w:t>
      </w:r>
      <w:r>
        <w:rPr>
          <w:lang w:val="es-ES"/>
        </w:rPr>
        <w:t>en las NOM-ENER y normas NMX referenciadas</w:t>
      </w:r>
      <w:r w:rsidR="007B2B93">
        <w:rPr>
          <w:lang w:val="es-ES"/>
        </w:rPr>
        <w:t>)</w:t>
      </w:r>
      <w:r>
        <w:rPr>
          <w:lang w:val="es-ES"/>
        </w:rPr>
        <w:t>. Por la naturaleza del producto, se trata en ambos casos</w:t>
      </w:r>
      <w:r w:rsidR="0061697D">
        <w:rPr>
          <w:lang w:val="es-ES"/>
        </w:rPr>
        <w:t xml:space="preserve"> de una serie de normas de medición, </w:t>
      </w:r>
      <w:r w:rsidR="0061697D" w:rsidRPr="0061697D">
        <w:rPr>
          <w:lang w:val="es-ES"/>
        </w:rPr>
        <w:t>para cada tipo de lámpara y para la medición de las distintas características de las lámparas</w:t>
      </w:r>
      <w:r w:rsidR="0061697D">
        <w:rPr>
          <w:lang w:val="es-ES"/>
        </w:rPr>
        <w:t xml:space="preserve"> (</w:t>
      </w:r>
      <w:r w:rsidR="0061697D" w:rsidRPr="0061697D">
        <w:rPr>
          <w:lang w:val="es-ES"/>
        </w:rPr>
        <w:t>fotométricas, eléctricas</w:t>
      </w:r>
      <w:r w:rsidR="0061697D">
        <w:rPr>
          <w:lang w:val="es-ES"/>
        </w:rPr>
        <w:t xml:space="preserve">, </w:t>
      </w:r>
      <w:r w:rsidR="0061697D" w:rsidRPr="00C974ED">
        <w:rPr>
          <w:lang w:val="es-ES"/>
        </w:rPr>
        <w:t>etc.) – véase los Anexos</w:t>
      </w:r>
      <w:r w:rsidR="00C974ED" w:rsidRPr="00C974ED">
        <w:rPr>
          <w:lang w:val="es-ES"/>
        </w:rPr>
        <w:t xml:space="preserve"> 11 – 14</w:t>
      </w:r>
      <w:r w:rsidR="0061697D" w:rsidRPr="00C974ED">
        <w:rPr>
          <w:lang w:val="es-ES"/>
        </w:rPr>
        <w:t>.</w:t>
      </w:r>
      <w:r w:rsidR="00426A73">
        <w:rPr>
          <w:lang w:val="es-ES"/>
        </w:rPr>
        <w:t xml:space="preserve"> </w:t>
      </w:r>
    </w:p>
    <w:p w14:paraId="7F24C1E2" w14:textId="46E70F6F" w:rsidR="00726FB5" w:rsidRDefault="0061697D" w:rsidP="00DE431E">
      <w:pPr>
        <w:spacing w:before="0" w:after="140"/>
        <w:rPr>
          <w:lang w:val="es-ES"/>
        </w:rPr>
      </w:pPr>
      <w:r>
        <w:rPr>
          <w:lang w:val="es-ES"/>
        </w:rPr>
        <w:t xml:space="preserve">Tomando en consideración que </w:t>
      </w:r>
      <w:r w:rsidR="00E65B02">
        <w:rPr>
          <w:lang w:val="es-ES"/>
        </w:rPr>
        <w:t xml:space="preserve">varias normas de medición mexicanas son (parcialmente) equivalentes a las normas IEC </w:t>
      </w:r>
      <w:r w:rsidR="00E65B02" w:rsidRPr="00B32426">
        <w:rPr>
          <w:lang w:val="es-ES"/>
        </w:rPr>
        <w:t>correspondientes, y que la carga d</w:t>
      </w:r>
      <w:r w:rsidRPr="00B32426">
        <w:rPr>
          <w:lang w:val="es-ES"/>
        </w:rPr>
        <w:t xml:space="preserve">e </w:t>
      </w:r>
      <w:r w:rsidR="00426A73" w:rsidRPr="00B32426">
        <w:rPr>
          <w:lang w:val="es-ES"/>
        </w:rPr>
        <w:t xml:space="preserve">trabajo </w:t>
      </w:r>
      <w:r w:rsidR="00E65B02" w:rsidRPr="00B32426">
        <w:rPr>
          <w:lang w:val="es-ES"/>
        </w:rPr>
        <w:t>para la</w:t>
      </w:r>
      <w:r w:rsidR="00426A73" w:rsidRPr="00B32426">
        <w:rPr>
          <w:lang w:val="es-ES"/>
        </w:rPr>
        <w:t xml:space="preserve"> homologación de las normas de medición internacionales o mexicanos parece comparable</w:t>
      </w:r>
      <w:r w:rsidR="00E65B02" w:rsidRPr="00B32426">
        <w:rPr>
          <w:lang w:val="es-ES"/>
        </w:rPr>
        <w:t>,</w:t>
      </w:r>
      <w:r w:rsidR="00C974ED" w:rsidRPr="00B32426">
        <w:rPr>
          <w:lang w:val="es-ES"/>
        </w:rPr>
        <w:t xml:space="preserve"> por</w:t>
      </w:r>
      <w:r w:rsidR="00C974ED">
        <w:rPr>
          <w:lang w:val="es-ES"/>
        </w:rPr>
        <w:t xml:space="preserve"> los menos en los casos de las lámparas incandescentes, LFC autobalastradas y lámparas fluorescentes,</w:t>
      </w:r>
      <w:r w:rsidR="00E65B02">
        <w:rPr>
          <w:lang w:val="es-ES"/>
        </w:rPr>
        <w:t xml:space="preserve"> se debe considerar una homologación de las normas ISO/IEC como normas DGNTI-COPANIT.</w:t>
      </w:r>
      <w:r w:rsidR="00C974ED">
        <w:rPr>
          <w:rStyle w:val="FootnoteReference"/>
        </w:rPr>
        <w:footnoteReference w:id="107"/>
      </w:r>
      <w:r w:rsidR="00E65B02">
        <w:rPr>
          <w:lang w:val="es-ES"/>
        </w:rPr>
        <w:t xml:space="preserve"> Un inconveniente puede resultar del hecho que no todas </w:t>
      </w:r>
      <w:r w:rsidR="003A17FF">
        <w:rPr>
          <w:lang w:val="es-ES"/>
        </w:rPr>
        <w:t xml:space="preserve">las </w:t>
      </w:r>
      <w:r w:rsidR="00E65B02">
        <w:rPr>
          <w:lang w:val="es-ES"/>
        </w:rPr>
        <w:t xml:space="preserve">normas EN (equivalentes a ISO/IEC) </w:t>
      </w:r>
      <w:r w:rsidR="003A17FF">
        <w:rPr>
          <w:lang w:val="es-ES"/>
        </w:rPr>
        <w:lastRenderedPageBreak/>
        <w:t xml:space="preserve">están </w:t>
      </w:r>
      <w:r w:rsidR="00E65B02">
        <w:rPr>
          <w:lang w:val="es-ES"/>
        </w:rPr>
        <w:t>disponibles en español.</w:t>
      </w:r>
      <w:r w:rsidR="00E65B02">
        <w:rPr>
          <w:rStyle w:val="FootnoteReference"/>
        </w:rPr>
        <w:footnoteReference w:id="108"/>
      </w:r>
      <w:r w:rsidR="00E65B02">
        <w:rPr>
          <w:lang w:val="es-ES"/>
        </w:rPr>
        <w:t xml:space="preserve"> </w:t>
      </w:r>
      <w:r w:rsidR="003A5AED">
        <w:rPr>
          <w:lang w:val="es-ES"/>
        </w:rPr>
        <w:t xml:space="preserve">Un </w:t>
      </w:r>
      <w:r w:rsidR="00E65B02">
        <w:rPr>
          <w:lang w:val="es-ES"/>
        </w:rPr>
        <w:t>punto</w:t>
      </w:r>
      <w:r w:rsidR="003A5AED">
        <w:rPr>
          <w:lang w:val="es-ES"/>
        </w:rPr>
        <w:t xml:space="preserve"> adicional en favor </w:t>
      </w:r>
      <w:r w:rsidR="00E65B02">
        <w:rPr>
          <w:lang w:val="es-ES"/>
        </w:rPr>
        <w:t xml:space="preserve">de </w:t>
      </w:r>
      <w:r w:rsidR="003A5AED">
        <w:rPr>
          <w:lang w:val="es-ES"/>
        </w:rPr>
        <w:t xml:space="preserve">la homologación de las normas ISO/IEC es la disponibilidad </w:t>
      </w:r>
      <w:r w:rsidR="003A5AED" w:rsidRPr="003A5AED">
        <w:rPr>
          <w:lang w:val="es-ES"/>
        </w:rPr>
        <w:t>–</w:t>
      </w:r>
      <w:r w:rsidR="003A5AED">
        <w:rPr>
          <w:lang w:val="es-ES"/>
        </w:rPr>
        <w:t xml:space="preserve"> en el ámbito internacional </w:t>
      </w:r>
      <w:r w:rsidR="003A5AED" w:rsidRPr="003A5AED">
        <w:rPr>
          <w:lang w:val="es-ES"/>
        </w:rPr>
        <w:t>–</w:t>
      </w:r>
      <w:r w:rsidR="003A5AED">
        <w:rPr>
          <w:lang w:val="es-ES"/>
        </w:rPr>
        <w:t xml:space="preserve"> de laboratorios de prueba y organismos de certificación </w:t>
      </w:r>
      <w:r w:rsidR="0068457E">
        <w:rPr>
          <w:lang w:val="es-ES"/>
        </w:rPr>
        <w:t>,  acreditados para realizar pruebas de conformidad con las normas internacionales ISO/IEC relevantes</w:t>
      </w:r>
      <w:r w:rsidR="003A5AED">
        <w:rPr>
          <w:lang w:val="es-ES"/>
        </w:rPr>
        <w:t>, lo que resulta</w:t>
      </w:r>
      <w:r w:rsidR="00091BC1" w:rsidRPr="00BC092A">
        <w:rPr>
          <w:lang w:val="es-ES"/>
        </w:rPr>
        <w:t>rá</w:t>
      </w:r>
      <w:r w:rsidR="003A5AED">
        <w:rPr>
          <w:lang w:val="es-ES"/>
        </w:rPr>
        <w:t xml:space="preserve"> también en una </w:t>
      </w:r>
      <w:r w:rsidR="00AA5FF5">
        <w:rPr>
          <w:lang w:val="es-ES"/>
        </w:rPr>
        <w:t>amplia oferta de estos servicios</w:t>
      </w:r>
      <w:r w:rsidR="0068457E">
        <w:rPr>
          <w:lang w:val="es-ES"/>
        </w:rPr>
        <w:t>.</w:t>
      </w:r>
      <w:r w:rsidR="006D72F5" w:rsidRPr="007B2B93">
        <w:rPr>
          <w:lang w:val="es-ES"/>
        </w:rPr>
        <w:t xml:space="preserve"> </w:t>
      </w:r>
    </w:p>
    <w:p w14:paraId="4FA9A77D" w14:textId="3B02C8B5" w:rsidR="007B2B93" w:rsidRDefault="007B2B93" w:rsidP="00EB1882">
      <w:pPr>
        <w:spacing w:before="0" w:after="140"/>
        <w:rPr>
          <w:lang w:val="es-ES"/>
        </w:rPr>
      </w:pPr>
      <w:r>
        <w:rPr>
          <w:lang w:val="es-ES"/>
        </w:rPr>
        <w:t>Procedimientos de evaluación de la conformidad:</w:t>
      </w:r>
    </w:p>
    <w:p w14:paraId="33DF145B" w14:textId="2947E6EC" w:rsidR="007B2B93" w:rsidRPr="00A63A72" w:rsidRDefault="007B2B93" w:rsidP="00A63A72">
      <w:pPr>
        <w:spacing w:before="0" w:after="140"/>
        <w:rPr>
          <w:lang w:val="es-ES"/>
        </w:rPr>
      </w:pPr>
      <w:r>
        <w:rPr>
          <w:lang w:val="es-ES"/>
        </w:rPr>
        <w:t>Entre las dos opciones de alineación de los procedimientos de evaluación de la conformidad,</w:t>
      </w:r>
      <w:r w:rsidR="00587915">
        <w:rPr>
          <w:lang w:val="es-ES"/>
        </w:rPr>
        <w:t xml:space="preserve"> se recomienda desarrollar un sistema de evaluación de la conformidad basado en los esquemas 3 y/o 5 de la norma ISO/IEC 17067.</w:t>
      </w:r>
      <w:r>
        <w:rPr>
          <w:lang w:val="es-ES"/>
        </w:rPr>
        <w:t xml:space="preserve"> </w:t>
      </w:r>
      <w:r w:rsidR="00587915">
        <w:rPr>
          <w:lang w:val="es-ES"/>
        </w:rPr>
        <w:t xml:space="preserve">Un tal sistema tiene la ventaja de la opción de realizar pruebas o inspecciones de muestras tomadas periódicamente de la fábrica (en lugar del mercado) y </w:t>
      </w:r>
      <w:r w:rsidR="00587915" w:rsidRPr="00587915">
        <w:rPr>
          <w:lang w:val="es-ES"/>
        </w:rPr>
        <w:t>–</w:t>
      </w:r>
      <w:r w:rsidR="00587915">
        <w:rPr>
          <w:lang w:val="es-ES"/>
        </w:rPr>
        <w:t xml:space="preserve"> en el caso del esquema 5 </w:t>
      </w:r>
      <w:r w:rsidR="00587915" w:rsidRPr="00587915">
        <w:rPr>
          <w:lang w:val="es-ES"/>
        </w:rPr>
        <w:t>–</w:t>
      </w:r>
      <w:r w:rsidR="00587915">
        <w:rPr>
          <w:lang w:val="es-ES"/>
        </w:rPr>
        <w:t xml:space="preserve"> las opciones alternativas de </w:t>
      </w:r>
      <w:r w:rsidR="003A17FF">
        <w:rPr>
          <w:lang w:val="es-ES"/>
        </w:rPr>
        <w:t>auditorías</w:t>
      </w:r>
      <w:r w:rsidR="00587915">
        <w:rPr>
          <w:lang w:val="es-ES"/>
        </w:rPr>
        <w:t xml:space="preserve"> periódicas del proceso de producción o del sistema de gestión de calidad de la empresa. El sistema debe </w:t>
      </w:r>
      <w:r w:rsidR="00A63A72" w:rsidRPr="00A63A72">
        <w:rPr>
          <w:lang w:val="es-ES"/>
        </w:rPr>
        <w:t>ser desarrollado en concordancia con el marco legal e institucional de Panamá</w:t>
      </w:r>
      <w:r w:rsidR="00BF18B4">
        <w:rPr>
          <w:lang w:val="es-ES"/>
        </w:rPr>
        <w:t xml:space="preserve">. En el caso que se tome la decisión de alineación con los procedimientos de evaluación de conformidad de acuerdo a las NOM-ENER, había que sustituir las referencias a </w:t>
      </w:r>
      <w:r w:rsidR="00A63A72">
        <w:rPr>
          <w:lang w:val="es-ES"/>
        </w:rPr>
        <w:t>la legislación mexicana</w:t>
      </w:r>
      <w:r w:rsidR="00A63A72" w:rsidRPr="00A63A72">
        <w:rPr>
          <w:lang w:val="es-ES"/>
        </w:rPr>
        <w:t>.</w:t>
      </w:r>
    </w:p>
    <w:p w14:paraId="597430CF" w14:textId="4FDA4642" w:rsidR="007B2B93" w:rsidRDefault="007B2B93" w:rsidP="00EB1882">
      <w:pPr>
        <w:spacing w:before="0" w:after="140"/>
        <w:rPr>
          <w:lang w:val="es-ES"/>
        </w:rPr>
      </w:pPr>
      <w:r>
        <w:rPr>
          <w:lang w:val="es-ES"/>
        </w:rPr>
        <w:t>Etiquetado energético:</w:t>
      </w:r>
    </w:p>
    <w:p w14:paraId="649A6420" w14:textId="24096526" w:rsidR="003A4399" w:rsidRPr="003A4399" w:rsidRDefault="00E43140" w:rsidP="003A4399">
      <w:pPr>
        <w:spacing w:before="0" w:after="140"/>
        <w:rPr>
          <w:lang w:val="es-ES"/>
        </w:rPr>
      </w:pPr>
      <w:r>
        <w:rPr>
          <w:lang w:val="es-ES"/>
        </w:rPr>
        <w:t>La</w:t>
      </w:r>
      <w:r w:rsidR="003A4399">
        <w:rPr>
          <w:lang w:val="es-ES"/>
        </w:rPr>
        <w:t>s</w:t>
      </w:r>
      <w:r>
        <w:rPr>
          <w:lang w:val="es-ES"/>
        </w:rPr>
        <w:t xml:space="preserve"> etiquetas de eficiencia energética vigentes en Panam</w:t>
      </w:r>
      <w:r w:rsidR="003A4399">
        <w:rPr>
          <w:lang w:val="es-ES"/>
        </w:rPr>
        <w:t xml:space="preserve">á (para acondicionadores de aire y refrigeradores y congeladores domésticos) siguen el modelo mexicano y </w:t>
      </w:r>
      <w:r w:rsidR="003A4399" w:rsidRPr="003A4399">
        <w:rPr>
          <w:lang w:val="es-ES"/>
        </w:rPr>
        <w:t>–</w:t>
      </w:r>
      <w:r w:rsidR="003A4399">
        <w:rPr>
          <w:lang w:val="es-ES"/>
        </w:rPr>
        <w:t xml:space="preserve"> de forma indirecta </w:t>
      </w:r>
      <w:r w:rsidR="003A4399" w:rsidRPr="003A4399">
        <w:rPr>
          <w:lang w:val="es-ES"/>
        </w:rPr>
        <w:t>–</w:t>
      </w:r>
      <w:r w:rsidR="003A4399">
        <w:rPr>
          <w:lang w:val="es-ES"/>
        </w:rPr>
        <w:t xml:space="preserve"> los principios de las etiquetas de EE.UU. (diseño, escala continua de eficiencia energética). Estas etiquetas difieren fundamentalmente de las etiquetas europeas, que muestran clases de eficiencia energética. Por razones de consistencia del diseño de las etiquetas panameñas se recomienda seguir el modelo de la etiqueta "</w:t>
      </w:r>
      <w:r w:rsidR="003A4399" w:rsidRPr="00F16FBA">
        <w:rPr>
          <w:i/>
          <w:lang w:val="es-ES"/>
        </w:rPr>
        <w:t>Lighting facts</w:t>
      </w:r>
      <w:r w:rsidR="003A4399">
        <w:rPr>
          <w:lang w:val="es-ES"/>
        </w:rPr>
        <w:t xml:space="preserve">" de EE.UU. Sin embargo, se recomienda también revisar y completar los requisitos de inclusión </w:t>
      </w:r>
      <w:r w:rsidR="003A4399" w:rsidRPr="003A4399">
        <w:rPr>
          <w:lang w:val="es-ES"/>
        </w:rPr>
        <w:t xml:space="preserve">de información </w:t>
      </w:r>
      <w:r w:rsidR="003A4399">
        <w:rPr>
          <w:lang w:val="es-ES"/>
        </w:rPr>
        <w:t xml:space="preserve">para el consumidor </w:t>
      </w:r>
      <w:r w:rsidR="003A4399" w:rsidRPr="003A4399">
        <w:rPr>
          <w:lang w:val="es-ES"/>
        </w:rPr>
        <w:t>en la etiqueta y en el embalaje de la lámpara</w:t>
      </w:r>
      <w:r w:rsidR="003A4399">
        <w:rPr>
          <w:lang w:val="es-ES"/>
        </w:rPr>
        <w:t>.</w:t>
      </w:r>
    </w:p>
    <w:p w14:paraId="04A30E82" w14:textId="68543FF5" w:rsidR="00EB1882" w:rsidRPr="00EB1882" w:rsidRDefault="00EB1882" w:rsidP="00EB1882">
      <w:pPr>
        <w:pStyle w:val="Heading2"/>
        <w:rPr>
          <w:lang w:val="es-ES"/>
        </w:rPr>
      </w:pPr>
      <w:bookmarkStart w:id="66" w:name="_Toc516146035"/>
      <w:r>
        <w:rPr>
          <w:lang w:val="es-ES"/>
        </w:rPr>
        <w:t>Redacción de la NT/RT</w:t>
      </w:r>
      <w:bookmarkEnd w:id="66"/>
    </w:p>
    <w:p w14:paraId="7E70461F" w14:textId="53FA48E4" w:rsidR="00EB1882" w:rsidRDefault="00F7261B" w:rsidP="00EB1882">
      <w:pPr>
        <w:spacing w:before="0" w:after="140"/>
        <w:rPr>
          <w:lang w:val="es-ES"/>
        </w:rPr>
      </w:pPr>
      <w:r>
        <w:rPr>
          <w:lang w:val="es-ES"/>
        </w:rPr>
        <w:t>De acuerdo a lo argumentado en este estudio, es recomendable elaborar documentos separados de reglamento</w:t>
      </w:r>
      <w:r w:rsidR="000A4521">
        <w:rPr>
          <w:lang w:val="es-ES"/>
        </w:rPr>
        <w:t>(</w:t>
      </w:r>
      <w:r>
        <w:rPr>
          <w:lang w:val="es-ES"/>
        </w:rPr>
        <w:t>s</w:t>
      </w:r>
      <w:r w:rsidR="000A4521">
        <w:rPr>
          <w:lang w:val="es-ES"/>
        </w:rPr>
        <w:t>)</w:t>
      </w:r>
      <w:r>
        <w:rPr>
          <w:lang w:val="es-ES"/>
        </w:rPr>
        <w:t xml:space="preserve"> técnico</w:t>
      </w:r>
      <w:r w:rsidR="000A4521">
        <w:rPr>
          <w:lang w:val="es-ES"/>
        </w:rPr>
        <w:t>(</w:t>
      </w:r>
      <w:r>
        <w:rPr>
          <w:lang w:val="es-ES"/>
        </w:rPr>
        <w:t>s</w:t>
      </w:r>
      <w:r w:rsidR="000A4521">
        <w:rPr>
          <w:lang w:val="es-ES"/>
        </w:rPr>
        <w:t>)</w:t>
      </w:r>
      <w:r>
        <w:rPr>
          <w:lang w:val="es-ES"/>
        </w:rPr>
        <w:t xml:space="preserve"> y de normas técnicas.</w:t>
      </w:r>
    </w:p>
    <w:p w14:paraId="373629B1" w14:textId="4672BE28" w:rsidR="00D52AF9" w:rsidRDefault="00F7261B" w:rsidP="00EB1882">
      <w:pPr>
        <w:spacing w:before="0" w:after="140"/>
        <w:rPr>
          <w:lang w:val="es-ES"/>
        </w:rPr>
      </w:pPr>
      <w:r>
        <w:rPr>
          <w:lang w:val="es-ES"/>
        </w:rPr>
        <w:t xml:space="preserve">Como sugerido en la sección 5.1, el reglamento técnico </w:t>
      </w:r>
      <w:r w:rsidR="00050B28">
        <w:rPr>
          <w:lang w:val="es-ES"/>
        </w:rPr>
        <w:t xml:space="preserve">debe incluir </w:t>
      </w:r>
      <w:r w:rsidR="003A17FF">
        <w:rPr>
          <w:lang w:val="es-ES"/>
        </w:rPr>
        <w:t xml:space="preserve">varios </w:t>
      </w:r>
      <w:r w:rsidR="00050B28">
        <w:rPr>
          <w:lang w:val="es-ES"/>
        </w:rPr>
        <w:t>tipos de lámparas</w:t>
      </w:r>
      <w:r w:rsidR="006D3D91">
        <w:rPr>
          <w:lang w:val="es-ES"/>
        </w:rPr>
        <w:t>, mientras que los métodos de prueba deben incluirse en normas técnicas específicas para cada tecnología</w:t>
      </w:r>
      <w:r w:rsidR="00D52AF9">
        <w:rPr>
          <w:lang w:val="es-ES"/>
        </w:rPr>
        <w:t xml:space="preserve"> (véase el esquema incluido en l</w:t>
      </w:r>
      <w:r w:rsidR="006D3D91">
        <w:rPr>
          <w:lang w:val="es-ES"/>
        </w:rPr>
        <w:t>a figura 11</w:t>
      </w:r>
      <w:r w:rsidR="00D52AF9">
        <w:rPr>
          <w:lang w:val="es-ES"/>
        </w:rPr>
        <w:t>).</w:t>
      </w:r>
    </w:p>
    <w:p w14:paraId="5C19FF95" w14:textId="59C3E113" w:rsidR="008743D4" w:rsidRDefault="008743D4" w:rsidP="008743D4">
      <w:pPr>
        <w:pStyle w:val="Caption"/>
        <w:spacing w:after="0"/>
        <w:rPr>
          <w:lang w:val="es-ES"/>
        </w:rPr>
      </w:pPr>
      <w:r w:rsidRPr="00A96F74">
        <w:rPr>
          <w:lang w:val="es-ES"/>
        </w:rPr>
        <w:t xml:space="preserve">Figura </w:t>
      </w:r>
      <w:r w:rsidRPr="00A96F74">
        <w:rPr>
          <w:lang w:val="es-ES"/>
        </w:rPr>
        <w:fldChar w:fldCharType="begin"/>
      </w:r>
      <w:r w:rsidRPr="00A96F74">
        <w:rPr>
          <w:lang w:val="es-ES"/>
        </w:rPr>
        <w:instrText xml:space="preserve"> SEQ Figura \* ARABIC </w:instrText>
      </w:r>
      <w:r w:rsidRPr="00A96F74">
        <w:rPr>
          <w:lang w:val="es-ES"/>
        </w:rPr>
        <w:fldChar w:fldCharType="separate"/>
      </w:r>
      <w:r w:rsidR="005E6430">
        <w:rPr>
          <w:noProof/>
          <w:lang w:val="es-ES"/>
        </w:rPr>
        <w:t>11</w:t>
      </w:r>
      <w:r w:rsidRPr="00A96F74">
        <w:rPr>
          <w:noProof/>
          <w:lang w:val="es-ES"/>
        </w:rPr>
        <w:fldChar w:fldCharType="end"/>
      </w:r>
      <w:r w:rsidRPr="00A96F74">
        <w:rPr>
          <w:lang w:val="es-ES"/>
        </w:rPr>
        <w:t xml:space="preserve"> – </w:t>
      </w:r>
      <w:r>
        <w:rPr>
          <w:lang w:val="es-ES"/>
        </w:rPr>
        <w:t xml:space="preserve">Reglamento Técnico y Normas Técnicas de eficiencia energética y de requisitos de funcionamiento de lámparas </w:t>
      </w:r>
      <w:r w:rsidRPr="008743D4">
        <w:rPr>
          <w:lang w:val="es-ES"/>
        </w:rPr>
        <w:t>–</w:t>
      </w:r>
      <w:r>
        <w:rPr>
          <w:lang w:val="es-ES"/>
        </w:rPr>
        <w:t xml:space="preserve"> Representación esquemática</w:t>
      </w:r>
    </w:p>
    <w:p w14:paraId="6C6ED696" w14:textId="77777777" w:rsidR="008743D4" w:rsidRPr="00A96F74" w:rsidRDefault="008743D4" w:rsidP="008743D4">
      <w:pPr>
        <w:spacing w:before="0" w:after="140"/>
        <w:jc w:val="center"/>
        <w:rPr>
          <w:color w:val="002B7F"/>
          <w:lang w:val="es-ES"/>
        </w:rPr>
      </w:pPr>
      <w:r w:rsidRPr="00A96F74">
        <w:rPr>
          <w:i/>
          <w:color w:val="002B7F"/>
          <w:sz w:val="18"/>
          <w:lang w:val="es-ES"/>
        </w:rPr>
        <w:t>Fuente:</w:t>
      </w:r>
      <w:r w:rsidRPr="00E2630F">
        <w:rPr>
          <w:lang w:val="es-ES"/>
        </w:rPr>
        <w:t xml:space="preserve"> </w:t>
      </w:r>
      <w:r w:rsidRPr="00E2630F">
        <w:rPr>
          <w:rFonts w:cstheme="minorHAnsi"/>
          <w:color w:val="002B7F"/>
          <w:sz w:val="18"/>
          <w:lang w:val="es-PA"/>
        </w:rPr>
        <w:t>Elaboración propia</w:t>
      </w:r>
    </w:p>
    <w:p w14:paraId="0F89C064" w14:textId="0FE6857D" w:rsidR="00D52AF9" w:rsidRDefault="00EA3F2F" w:rsidP="00EA3F2F">
      <w:pPr>
        <w:spacing w:before="0" w:after="140"/>
        <w:jc w:val="center"/>
        <w:rPr>
          <w:lang w:val="es-ES"/>
        </w:rPr>
      </w:pPr>
      <w:r>
        <w:rPr>
          <w:noProof/>
          <w:lang w:val="en-US"/>
        </w:rPr>
        <w:lastRenderedPageBreak/>
        <w:drawing>
          <wp:inline distT="0" distB="0" distL="0" distR="0" wp14:anchorId="4928803F" wp14:editId="4A3D7380">
            <wp:extent cx="5400040" cy="3789045"/>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3789045"/>
                    </a:xfrm>
                    <a:prstGeom prst="rect">
                      <a:avLst/>
                    </a:prstGeom>
                  </pic:spPr>
                </pic:pic>
              </a:graphicData>
            </a:graphic>
          </wp:inline>
        </w:drawing>
      </w:r>
    </w:p>
    <w:p w14:paraId="6D5A2B13" w14:textId="577C578E" w:rsidR="00AD6BA1" w:rsidRDefault="00AD6BA1" w:rsidP="00EB1882">
      <w:pPr>
        <w:spacing w:before="0" w:after="140"/>
        <w:rPr>
          <w:lang w:val="es-ES"/>
        </w:rPr>
      </w:pPr>
    </w:p>
    <w:p w14:paraId="10C5E08B" w14:textId="77777777" w:rsidR="00AD6BA1" w:rsidRDefault="00AD6BA1" w:rsidP="00EB1882">
      <w:pPr>
        <w:spacing w:before="0" w:after="140"/>
        <w:rPr>
          <w:lang w:val="es-ES"/>
        </w:rPr>
      </w:pPr>
    </w:p>
    <w:p w14:paraId="3B41F6B2" w14:textId="379B34E5" w:rsidR="00D52AF9" w:rsidRDefault="00D52AF9" w:rsidP="00EB1882">
      <w:pPr>
        <w:spacing w:before="0" w:after="140"/>
        <w:rPr>
          <w:lang w:val="es-ES"/>
        </w:rPr>
      </w:pPr>
      <w:r>
        <w:rPr>
          <w:lang w:val="es-ES"/>
        </w:rPr>
        <w:t>La tabla 11 muestra la estructura principal del RT y de las NTs, de acuerdo a las opciones discutidas en la sección 5.2. El RT debe incluir los límites de desempeño energético mínimo y las estipulaciones de etiquet</w:t>
      </w:r>
      <w:r w:rsidR="0096366F">
        <w:rPr>
          <w:lang w:val="es-ES"/>
        </w:rPr>
        <w:t>ad</w:t>
      </w:r>
      <w:r>
        <w:rPr>
          <w:lang w:val="es-ES"/>
        </w:rPr>
        <w:t>o y de la evaluación de la conformidad, mientras que los NTs deben incluir los métodos de prueba para cada tipo de lámpara.</w:t>
      </w:r>
      <w:r w:rsidR="00F3508C">
        <w:rPr>
          <w:lang w:val="es-ES"/>
        </w:rPr>
        <w:t xml:space="preserve"> La NTs incluirán los métodos de prueba para todos parámetros de funciona</w:t>
      </w:r>
      <w:r w:rsidR="00AB4154">
        <w:rPr>
          <w:lang w:val="es-ES"/>
        </w:rPr>
        <w:t>lidad</w:t>
      </w:r>
      <w:r w:rsidR="00F3508C">
        <w:rPr>
          <w:lang w:val="es-ES"/>
        </w:rPr>
        <w:t xml:space="preserve"> de las lámparas (parámetros eléctricos, fotométricos, de vida útil, etc.). </w:t>
      </w:r>
    </w:p>
    <w:p w14:paraId="69BFE26F" w14:textId="6C6CDF36" w:rsidR="00B92ED0" w:rsidRPr="00566934" w:rsidRDefault="00B92ED0" w:rsidP="00B92ED0">
      <w:pPr>
        <w:keepNext/>
        <w:keepLines/>
        <w:spacing w:before="0" w:after="0"/>
        <w:jc w:val="center"/>
        <w:rPr>
          <w:iCs/>
          <w:color w:val="002B7F"/>
          <w:szCs w:val="18"/>
          <w:lang w:val="es-ES"/>
        </w:rPr>
      </w:pPr>
      <w:r w:rsidRPr="00566934">
        <w:rPr>
          <w:iCs/>
          <w:color w:val="002B7F"/>
          <w:szCs w:val="18"/>
          <w:lang w:val="es-ES"/>
        </w:rPr>
        <w:t xml:space="preserve">Tabla </w:t>
      </w:r>
      <w:r w:rsidRPr="00566934">
        <w:rPr>
          <w:iCs/>
          <w:color w:val="002B7F"/>
          <w:szCs w:val="18"/>
          <w:lang w:val="es-ES"/>
        </w:rPr>
        <w:fldChar w:fldCharType="begin"/>
      </w:r>
      <w:r w:rsidRPr="00566934">
        <w:rPr>
          <w:iCs/>
          <w:color w:val="002B7F"/>
          <w:szCs w:val="18"/>
          <w:lang w:val="es-ES"/>
        </w:rPr>
        <w:instrText xml:space="preserve"> SEQ Tabla \* ARABIC </w:instrText>
      </w:r>
      <w:r w:rsidRPr="00566934">
        <w:rPr>
          <w:iCs/>
          <w:color w:val="002B7F"/>
          <w:szCs w:val="18"/>
          <w:lang w:val="es-ES"/>
        </w:rPr>
        <w:fldChar w:fldCharType="separate"/>
      </w:r>
      <w:r w:rsidR="005E6430">
        <w:rPr>
          <w:iCs/>
          <w:noProof/>
          <w:color w:val="002B7F"/>
          <w:szCs w:val="18"/>
          <w:lang w:val="es-ES"/>
        </w:rPr>
        <w:t>11</w:t>
      </w:r>
      <w:r w:rsidRPr="00566934">
        <w:rPr>
          <w:iCs/>
          <w:noProof/>
          <w:color w:val="002B7F"/>
          <w:szCs w:val="18"/>
          <w:lang w:val="es-ES"/>
        </w:rPr>
        <w:fldChar w:fldCharType="end"/>
      </w:r>
      <w:r w:rsidRPr="00566934">
        <w:rPr>
          <w:iCs/>
          <w:color w:val="002B7F"/>
          <w:szCs w:val="18"/>
          <w:lang w:val="es-ES"/>
        </w:rPr>
        <w:t xml:space="preserve"> – </w:t>
      </w:r>
      <w:r>
        <w:rPr>
          <w:iCs/>
          <w:color w:val="002B7F"/>
          <w:szCs w:val="18"/>
          <w:lang w:val="es-ES"/>
        </w:rPr>
        <w:t>Estructura y contenido de Reglamento(s) Técnico(s) y Normas Técnicas DGNTI-COPANIT de Eficiencia Energética para Lámparas</w:t>
      </w:r>
    </w:p>
    <w:p w14:paraId="015EAF32" w14:textId="77777777" w:rsidR="00B92ED0" w:rsidRPr="00AD6CDA" w:rsidRDefault="00B92ED0" w:rsidP="00B92ED0">
      <w:pPr>
        <w:suppressAutoHyphens w:val="0"/>
        <w:autoSpaceDN/>
        <w:spacing w:before="0" w:after="140"/>
        <w:jc w:val="center"/>
        <w:textAlignment w:val="auto"/>
        <w:rPr>
          <w:rFonts w:asciiTheme="minorHAnsi" w:eastAsia="Calibri" w:hAnsiTheme="minorHAnsi" w:cstheme="minorHAnsi"/>
          <w:color w:val="002B7F"/>
          <w:lang w:val="es-ES"/>
        </w:rPr>
      </w:pPr>
      <w:r w:rsidRPr="00AD6CDA">
        <w:rPr>
          <w:i/>
          <w:color w:val="002B7F"/>
          <w:sz w:val="18"/>
          <w:lang w:val="es-ES"/>
        </w:rPr>
        <w:t xml:space="preserve">Fuente: </w:t>
      </w:r>
      <w:r w:rsidRPr="00AD6CDA">
        <w:rPr>
          <w:rFonts w:cstheme="minorHAnsi"/>
          <w:color w:val="002B7F"/>
          <w:sz w:val="18"/>
          <w:lang w:val="es-PA"/>
        </w:rPr>
        <w:t>Elaboración propia</w:t>
      </w:r>
    </w:p>
    <w:tbl>
      <w:tblPr>
        <w:tblW w:w="5000" w:type="pct"/>
        <w:tblCellMar>
          <w:left w:w="10" w:type="dxa"/>
          <w:right w:w="10" w:type="dxa"/>
        </w:tblCellMar>
        <w:tblLook w:val="0000" w:firstRow="0" w:lastRow="0" w:firstColumn="0" w:lastColumn="0" w:noHBand="0" w:noVBand="0"/>
      </w:tblPr>
      <w:tblGrid>
        <w:gridCol w:w="4245"/>
        <w:gridCol w:w="4251"/>
      </w:tblGrid>
      <w:tr w:rsidR="00B92ED0" w:rsidRPr="000D360C" w14:paraId="4C85A9A5" w14:textId="77777777" w:rsidTr="00EF208A">
        <w:trPr>
          <w:cantSplit/>
        </w:trPr>
        <w:tc>
          <w:tcPr>
            <w:tcW w:w="4245"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2873AFBD" w14:textId="77777777" w:rsidR="00B92ED0" w:rsidRPr="00CC334B" w:rsidRDefault="00B92ED0" w:rsidP="00EF208A">
            <w:pPr>
              <w:suppressAutoHyphens w:val="0"/>
              <w:spacing w:before="0" w:after="0"/>
              <w:jc w:val="center"/>
              <w:textAlignment w:val="auto"/>
              <w:rPr>
                <w:rFonts w:eastAsia="Times New Roman"/>
                <w:b/>
                <w:color w:val="FFFFFF" w:themeColor="background1"/>
                <w:lang w:val="es-ES"/>
              </w:rPr>
            </w:pPr>
            <w:r>
              <w:rPr>
                <w:rFonts w:eastAsia="Times New Roman"/>
                <w:b/>
                <w:color w:val="FFFFFF" w:themeColor="background1"/>
                <w:lang w:val="es-ES"/>
              </w:rPr>
              <w:t>Opción A</w:t>
            </w:r>
          </w:p>
        </w:tc>
        <w:tc>
          <w:tcPr>
            <w:tcW w:w="4251" w:type="dxa"/>
            <w:tcBorders>
              <w:top w:val="single" w:sz="6" w:space="0" w:color="5B9BD5"/>
              <w:bottom w:val="single" w:sz="6" w:space="0" w:color="5B9BD5"/>
            </w:tcBorders>
            <w:shd w:val="clear" w:color="auto" w:fill="5B9BD5"/>
            <w:tcMar>
              <w:top w:w="0" w:type="dxa"/>
              <w:left w:w="108" w:type="dxa"/>
              <w:bottom w:w="0" w:type="dxa"/>
              <w:right w:w="108" w:type="dxa"/>
            </w:tcMar>
          </w:tcPr>
          <w:p w14:paraId="79299D54" w14:textId="77777777" w:rsidR="00B92ED0" w:rsidRPr="00B56A15" w:rsidRDefault="00B92ED0" w:rsidP="00EF208A">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Opción B</w:t>
            </w:r>
          </w:p>
        </w:tc>
      </w:tr>
      <w:tr w:rsidR="00B92ED0" w:rsidRPr="00914127" w14:paraId="2A5BD202" w14:textId="77777777" w:rsidTr="00EF208A">
        <w:trPr>
          <w:cantSplit/>
        </w:trPr>
        <w:tc>
          <w:tcPr>
            <w:tcW w:w="4245" w:type="dxa"/>
            <w:tcBorders>
              <w:top w:val="single" w:sz="6" w:space="0" w:color="9CC2E5"/>
              <w:left w:val="single" w:sz="6" w:space="0" w:color="9CC2E5"/>
              <w:bottom w:val="single" w:sz="6" w:space="0" w:color="9CC2E5"/>
              <w:right w:val="single" w:sz="6" w:space="0" w:color="9CC2E5"/>
            </w:tcBorders>
            <w:shd w:val="clear" w:color="auto" w:fill="9CC2E5"/>
            <w:tcMar>
              <w:top w:w="0" w:type="dxa"/>
              <w:left w:w="108" w:type="dxa"/>
              <w:bottom w:w="0" w:type="dxa"/>
              <w:right w:w="108" w:type="dxa"/>
            </w:tcMar>
          </w:tcPr>
          <w:p w14:paraId="3ECA066B" w14:textId="65A842CF" w:rsidR="00B92ED0" w:rsidRPr="002734F2" w:rsidRDefault="00B92ED0" w:rsidP="00B92ED0">
            <w:pPr>
              <w:pStyle w:val="ListParagraph"/>
              <w:suppressAutoHyphens w:val="0"/>
              <w:spacing w:before="0" w:after="0"/>
              <w:ind w:left="0"/>
              <w:jc w:val="left"/>
              <w:textAlignment w:val="auto"/>
              <w:rPr>
                <w:rFonts w:eastAsia="Times New Roman"/>
                <w:b/>
                <w:color w:val="FFFFFF" w:themeColor="background1"/>
                <w:lang w:val="es-ES"/>
              </w:rPr>
            </w:pPr>
            <w:r w:rsidRPr="00B92ED0">
              <w:rPr>
                <w:rFonts w:eastAsia="Times New Roman"/>
                <w:b/>
                <w:color w:val="FFFFFF" w:themeColor="background1"/>
                <w:lang w:val="es-ES"/>
              </w:rPr>
              <w:t>Reglamento(s) Técnico(s) DGNTI-COPANIT</w:t>
            </w:r>
          </w:p>
        </w:tc>
        <w:tc>
          <w:tcPr>
            <w:tcW w:w="4251" w:type="dxa"/>
            <w:tcBorders>
              <w:top w:val="single" w:sz="6" w:space="0" w:color="9CC2E5"/>
              <w:left w:val="single" w:sz="6" w:space="0" w:color="9CC2E5"/>
              <w:bottom w:val="single" w:sz="6" w:space="0" w:color="9CC2E5"/>
              <w:right w:val="single" w:sz="6" w:space="0" w:color="9CC2E5"/>
            </w:tcBorders>
            <w:shd w:val="clear" w:color="auto" w:fill="9CC2E5"/>
            <w:tcMar>
              <w:top w:w="0" w:type="dxa"/>
              <w:left w:w="108" w:type="dxa"/>
              <w:bottom w:w="0" w:type="dxa"/>
              <w:right w:w="108" w:type="dxa"/>
            </w:tcMar>
          </w:tcPr>
          <w:p w14:paraId="67650ACA" w14:textId="078AF774" w:rsidR="00B92ED0" w:rsidRPr="002734F2" w:rsidRDefault="00B92ED0" w:rsidP="00B92ED0">
            <w:pPr>
              <w:pStyle w:val="ListParagraph"/>
              <w:suppressAutoHyphens w:val="0"/>
              <w:spacing w:before="0" w:after="0"/>
              <w:ind w:left="0"/>
              <w:jc w:val="left"/>
              <w:textAlignment w:val="auto"/>
              <w:rPr>
                <w:rFonts w:eastAsia="Times New Roman"/>
                <w:b/>
                <w:color w:val="FFFFFF" w:themeColor="background1"/>
                <w:lang w:val="es-ES"/>
              </w:rPr>
            </w:pPr>
            <w:r w:rsidRPr="00B92ED0">
              <w:rPr>
                <w:rFonts w:eastAsia="Times New Roman"/>
                <w:b/>
                <w:color w:val="FFFFFF" w:themeColor="background1"/>
                <w:lang w:val="es-ES"/>
              </w:rPr>
              <w:t>Reglamento(s) Técnico(s) DGNTI-COPANIT</w:t>
            </w:r>
          </w:p>
        </w:tc>
      </w:tr>
      <w:tr w:rsidR="00B92ED0" w:rsidRPr="00B92ED0" w14:paraId="038292A9" w14:textId="77777777" w:rsidTr="00EF208A">
        <w:trPr>
          <w:cantSplit/>
        </w:trPr>
        <w:tc>
          <w:tcPr>
            <w:tcW w:w="424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AFCEF17" w14:textId="77777777" w:rsidR="00B92ED0" w:rsidRPr="00B92ED0" w:rsidRDefault="00B92ED0" w:rsidP="00B92ED0">
            <w:pPr>
              <w:pStyle w:val="ListParagraph"/>
              <w:numPr>
                <w:ilvl w:val="0"/>
                <w:numId w:val="41"/>
              </w:numPr>
              <w:suppressAutoHyphens w:val="0"/>
              <w:spacing w:before="0" w:after="0"/>
              <w:jc w:val="left"/>
              <w:textAlignment w:val="auto"/>
              <w:rPr>
                <w:rFonts w:eastAsia="Times New Roman"/>
                <w:lang w:val="es-ES"/>
              </w:rPr>
            </w:pPr>
            <w:r w:rsidRPr="00B92ED0">
              <w:rPr>
                <w:rFonts w:eastAsia="Times New Roman"/>
                <w:lang w:val="es-ES"/>
              </w:rPr>
              <w:t>Objeto</w:t>
            </w:r>
          </w:p>
          <w:p w14:paraId="546D3CF1" w14:textId="77777777" w:rsidR="00B92ED0" w:rsidRPr="00B92ED0" w:rsidRDefault="00B92ED0" w:rsidP="00B92ED0">
            <w:pPr>
              <w:pStyle w:val="ListParagraph"/>
              <w:numPr>
                <w:ilvl w:val="0"/>
                <w:numId w:val="41"/>
              </w:numPr>
              <w:suppressAutoHyphens w:val="0"/>
              <w:spacing w:before="0" w:after="0"/>
              <w:jc w:val="left"/>
              <w:textAlignment w:val="auto"/>
              <w:rPr>
                <w:rFonts w:eastAsia="Times New Roman"/>
                <w:lang w:val="es-ES"/>
              </w:rPr>
            </w:pPr>
            <w:r w:rsidRPr="00B92ED0">
              <w:rPr>
                <w:rFonts w:eastAsia="Times New Roman"/>
                <w:lang w:val="es-ES"/>
              </w:rPr>
              <w:t>Alcance (productos incluidos)</w:t>
            </w:r>
          </w:p>
          <w:p w14:paraId="7DC7CB07" w14:textId="77777777" w:rsidR="00B92ED0" w:rsidRPr="00B92ED0" w:rsidRDefault="00B92ED0" w:rsidP="00B92ED0">
            <w:pPr>
              <w:pStyle w:val="ListParagraph"/>
              <w:numPr>
                <w:ilvl w:val="0"/>
                <w:numId w:val="41"/>
              </w:numPr>
              <w:suppressAutoHyphens w:val="0"/>
              <w:spacing w:before="0" w:after="0"/>
              <w:jc w:val="left"/>
              <w:textAlignment w:val="auto"/>
              <w:rPr>
                <w:rFonts w:eastAsia="Times New Roman"/>
                <w:lang w:val="es-ES"/>
              </w:rPr>
            </w:pPr>
            <w:r w:rsidRPr="00B92ED0">
              <w:rPr>
                <w:rFonts w:eastAsia="Times New Roman"/>
                <w:lang w:val="es-ES"/>
              </w:rPr>
              <w:t>Referencias</w:t>
            </w:r>
          </w:p>
          <w:p w14:paraId="74C4D7CE" w14:textId="77777777" w:rsidR="00B92ED0" w:rsidRPr="00B92ED0" w:rsidRDefault="00B92ED0" w:rsidP="00B92ED0">
            <w:pPr>
              <w:pStyle w:val="ListParagraph"/>
              <w:numPr>
                <w:ilvl w:val="0"/>
                <w:numId w:val="41"/>
              </w:numPr>
              <w:suppressAutoHyphens w:val="0"/>
              <w:spacing w:before="0" w:after="0"/>
              <w:jc w:val="left"/>
              <w:textAlignment w:val="auto"/>
              <w:rPr>
                <w:rFonts w:eastAsia="Times New Roman"/>
                <w:lang w:val="es-ES"/>
              </w:rPr>
            </w:pPr>
            <w:r w:rsidRPr="00B92ED0">
              <w:rPr>
                <w:rFonts w:eastAsia="Times New Roman"/>
                <w:lang w:val="es-ES"/>
              </w:rPr>
              <w:t>Definiciones</w:t>
            </w:r>
          </w:p>
          <w:p w14:paraId="3E97FB3D" w14:textId="606F3C2B" w:rsidR="00B92ED0" w:rsidRPr="00B92ED0" w:rsidRDefault="00B92ED0" w:rsidP="00B92ED0">
            <w:pPr>
              <w:pStyle w:val="ListParagraph"/>
              <w:numPr>
                <w:ilvl w:val="0"/>
                <w:numId w:val="41"/>
              </w:numPr>
              <w:suppressAutoHyphens w:val="0"/>
              <w:spacing w:before="0" w:after="0"/>
              <w:jc w:val="left"/>
              <w:textAlignment w:val="auto"/>
              <w:rPr>
                <w:rFonts w:eastAsia="Times New Roman"/>
                <w:lang w:val="es-ES"/>
              </w:rPr>
            </w:pPr>
            <w:r w:rsidRPr="00B92ED0">
              <w:rPr>
                <w:rFonts w:eastAsia="Times New Roman"/>
                <w:lang w:val="es-ES"/>
              </w:rPr>
              <w:t>Especificaciones (límites de desempeño energético) – límite único o por tipo de lámpara</w:t>
            </w:r>
          </w:p>
          <w:p w14:paraId="678E214F" w14:textId="5FD85C79" w:rsidR="00B92ED0" w:rsidRPr="00B92ED0" w:rsidRDefault="00B92ED0" w:rsidP="00B92ED0">
            <w:pPr>
              <w:pStyle w:val="ListParagraph"/>
              <w:numPr>
                <w:ilvl w:val="0"/>
                <w:numId w:val="41"/>
              </w:numPr>
              <w:suppressAutoHyphens w:val="0"/>
              <w:spacing w:before="0" w:after="0"/>
              <w:jc w:val="left"/>
              <w:textAlignment w:val="auto"/>
              <w:rPr>
                <w:rFonts w:eastAsia="Times New Roman"/>
                <w:lang w:val="es-ES"/>
              </w:rPr>
            </w:pPr>
            <w:r w:rsidRPr="00B92ED0">
              <w:rPr>
                <w:rFonts w:eastAsia="Times New Roman"/>
                <w:lang w:val="es-ES"/>
              </w:rPr>
              <w:t>Métodos de prueba (referencia a normas de medición internacionales</w:t>
            </w:r>
            <w:r w:rsidR="00952BED">
              <w:rPr>
                <w:rFonts w:eastAsia="Times New Roman"/>
                <w:lang w:val="es-ES"/>
              </w:rPr>
              <w:t xml:space="preserve"> homologadas como normas DGNTI-COPANIT</w:t>
            </w:r>
            <w:r w:rsidRPr="00B92ED0">
              <w:rPr>
                <w:rFonts w:eastAsia="Times New Roman"/>
                <w:lang w:val="es-ES"/>
              </w:rPr>
              <w:t>)</w:t>
            </w:r>
          </w:p>
          <w:p w14:paraId="52A0BED9" w14:textId="77777777" w:rsidR="00B92ED0" w:rsidRPr="00B92ED0" w:rsidRDefault="00B92ED0" w:rsidP="00B92ED0">
            <w:pPr>
              <w:pStyle w:val="ListParagraph"/>
              <w:numPr>
                <w:ilvl w:val="0"/>
                <w:numId w:val="41"/>
              </w:numPr>
              <w:suppressAutoHyphens w:val="0"/>
              <w:spacing w:before="0" w:after="0"/>
              <w:jc w:val="left"/>
              <w:textAlignment w:val="auto"/>
              <w:rPr>
                <w:rFonts w:eastAsia="Times New Roman"/>
                <w:lang w:val="es-ES"/>
              </w:rPr>
            </w:pPr>
            <w:r w:rsidRPr="00B92ED0">
              <w:rPr>
                <w:rFonts w:eastAsia="Times New Roman"/>
                <w:lang w:val="es-ES"/>
              </w:rPr>
              <w:t>Etiquetado e información al consumidor</w:t>
            </w:r>
          </w:p>
          <w:p w14:paraId="039B3CF9" w14:textId="77777777" w:rsidR="00B92ED0" w:rsidRPr="00B92ED0" w:rsidRDefault="00B92ED0" w:rsidP="00B92ED0">
            <w:pPr>
              <w:pStyle w:val="ListParagraph"/>
              <w:numPr>
                <w:ilvl w:val="0"/>
                <w:numId w:val="41"/>
              </w:numPr>
              <w:suppressAutoHyphens w:val="0"/>
              <w:spacing w:before="0" w:after="0"/>
              <w:jc w:val="left"/>
              <w:textAlignment w:val="auto"/>
              <w:rPr>
                <w:rFonts w:eastAsia="Times New Roman"/>
                <w:lang w:val="es-ES"/>
              </w:rPr>
            </w:pPr>
            <w:r w:rsidRPr="00B92ED0">
              <w:rPr>
                <w:rFonts w:eastAsia="Times New Roman"/>
                <w:lang w:val="es-ES"/>
              </w:rPr>
              <w:t>Evaluación de la conformidad</w:t>
            </w:r>
          </w:p>
          <w:p w14:paraId="757ECE22" w14:textId="77777777" w:rsidR="00B92ED0" w:rsidRPr="00B92ED0" w:rsidRDefault="00B92ED0" w:rsidP="00B92ED0">
            <w:pPr>
              <w:pStyle w:val="ListParagraph"/>
              <w:numPr>
                <w:ilvl w:val="0"/>
                <w:numId w:val="41"/>
              </w:numPr>
              <w:suppressAutoHyphens w:val="0"/>
              <w:spacing w:before="0" w:after="0"/>
              <w:jc w:val="left"/>
              <w:textAlignment w:val="auto"/>
              <w:rPr>
                <w:rFonts w:eastAsia="Times New Roman"/>
                <w:lang w:val="es-ES"/>
              </w:rPr>
            </w:pPr>
            <w:r w:rsidRPr="00B92ED0">
              <w:rPr>
                <w:rFonts w:eastAsia="Times New Roman"/>
                <w:lang w:val="es-ES"/>
              </w:rPr>
              <w:t>Vigilancia</w:t>
            </w:r>
          </w:p>
          <w:p w14:paraId="0F4EECDC" w14:textId="1CB6D89A" w:rsidR="00B92ED0" w:rsidRPr="002734F2" w:rsidRDefault="00B92ED0" w:rsidP="00B92ED0">
            <w:pPr>
              <w:pStyle w:val="ListParagraph"/>
              <w:numPr>
                <w:ilvl w:val="0"/>
                <w:numId w:val="41"/>
              </w:numPr>
              <w:suppressAutoHyphens w:val="0"/>
              <w:spacing w:before="0" w:after="0"/>
              <w:jc w:val="left"/>
              <w:textAlignment w:val="auto"/>
              <w:rPr>
                <w:rFonts w:eastAsia="Times New Roman"/>
                <w:lang w:val="es-ES"/>
              </w:rPr>
            </w:pPr>
            <w:r w:rsidRPr="00B92ED0">
              <w:rPr>
                <w:rFonts w:eastAsia="Times New Roman"/>
                <w:lang w:val="es-ES"/>
              </w:rPr>
              <w:t>Sanciones</w:t>
            </w:r>
          </w:p>
        </w:tc>
        <w:tc>
          <w:tcPr>
            <w:tcW w:w="42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887E8C1" w14:textId="77777777" w:rsidR="00B92ED0" w:rsidRPr="00B92ED0" w:rsidRDefault="00B92ED0" w:rsidP="00B92ED0">
            <w:pPr>
              <w:pStyle w:val="ListParagraph"/>
              <w:numPr>
                <w:ilvl w:val="0"/>
                <w:numId w:val="42"/>
              </w:numPr>
              <w:suppressAutoHyphens w:val="0"/>
              <w:spacing w:before="0" w:after="0"/>
              <w:jc w:val="left"/>
              <w:textAlignment w:val="auto"/>
              <w:rPr>
                <w:rFonts w:eastAsia="Times New Roman"/>
                <w:lang w:val="es-ES"/>
              </w:rPr>
            </w:pPr>
            <w:r w:rsidRPr="00B92ED0">
              <w:rPr>
                <w:rFonts w:eastAsia="Times New Roman"/>
                <w:lang w:val="es-ES"/>
              </w:rPr>
              <w:t>Objeto</w:t>
            </w:r>
          </w:p>
          <w:p w14:paraId="10F934EB" w14:textId="77777777" w:rsidR="00B92ED0" w:rsidRPr="00B92ED0" w:rsidRDefault="00B92ED0" w:rsidP="00B92ED0">
            <w:pPr>
              <w:pStyle w:val="ListParagraph"/>
              <w:numPr>
                <w:ilvl w:val="0"/>
                <w:numId w:val="42"/>
              </w:numPr>
              <w:suppressAutoHyphens w:val="0"/>
              <w:spacing w:before="0" w:after="0"/>
              <w:jc w:val="left"/>
              <w:textAlignment w:val="auto"/>
              <w:rPr>
                <w:rFonts w:eastAsia="Times New Roman"/>
                <w:lang w:val="es-ES"/>
              </w:rPr>
            </w:pPr>
            <w:r w:rsidRPr="00B92ED0">
              <w:rPr>
                <w:rFonts w:eastAsia="Times New Roman"/>
                <w:lang w:val="es-ES"/>
              </w:rPr>
              <w:t>Alcance (productos incluidos)</w:t>
            </w:r>
          </w:p>
          <w:p w14:paraId="436FD823" w14:textId="77777777" w:rsidR="00B92ED0" w:rsidRPr="00B92ED0" w:rsidRDefault="00B92ED0" w:rsidP="00B92ED0">
            <w:pPr>
              <w:pStyle w:val="ListParagraph"/>
              <w:numPr>
                <w:ilvl w:val="0"/>
                <w:numId w:val="42"/>
              </w:numPr>
              <w:suppressAutoHyphens w:val="0"/>
              <w:spacing w:before="0" w:after="0"/>
              <w:jc w:val="left"/>
              <w:textAlignment w:val="auto"/>
              <w:rPr>
                <w:rFonts w:eastAsia="Times New Roman"/>
                <w:lang w:val="es-ES"/>
              </w:rPr>
            </w:pPr>
            <w:r w:rsidRPr="00B92ED0">
              <w:rPr>
                <w:rFonts w:eastAsia="Times New Roman"/>
                <w:lang w:val="es-ES"/>
              </w:rPr>
              <w:t xml:space="preserve">Referencias </w:t>
            </w:r>
          </w:p>
          <w:p w14:paraId="34C39C78" w14:textId="77777777" w:rsidR="00B92ED0" w:rsidRPr="00B92ED0" w:rsidRDefault="00B92ED0" w:rsidP="00B92ED0">
            <w:pPr>
              <w:pStyle w:val="ListParagraph"/>
              <w:numPr>
                <w:ilvl w:val="0"/>
                <w:numId w:val="42"/>
              </w:numPr>
              <w:suppressAutoHyphens w:val="0"/>
              <w:spacing w:before="0" w:after="0"/>
              <w:jc w:val="left"/>
              <w:textAlignment w:val="auto"/>
              <w:rPr>
                <w:rFonts w:eastAsia="Times New Roman"/>
                <w:lang w:val="es-ES"/>
              </w:rPr>
            </w:pPr>
            <w:r w:rsidRPr="00B92ED0">
              <w:rPr>
                <w:rFonts w:eastAsia="Times New Roman"/>
                <w:lang w:val="es-ES"/>
              </w:rPr>
              <w:t>Definiciones</w:t>
            </w:r>
          </w:p>
          <w:p w14:paraId="4F5674B2" w14:textId="79A52119" w:rsidR="00B92ED0" w:rsidRDefault="00B92ED0" w:rsidP="00B92ED0">
            <w:pPr>
              <w:pStyle w:val="ListParagraph"/>
              <w:numPr>
                <w:ilvl w:val="0"/>
                <w:numId w:val="42"/>
              </w:numPr>
              <w:suppressAutoHyphens w:val="0"/>
              <w:spacing w:before="0" w:after="0"/>
              <w:jc w:val="left"/>
              <w:textAlignment w:val="auto"/>
              <w:rPr>
                <w:rFonts w:eastAsia="Times New Roman"/>
                <w:lang w:val="es-ES"/>
              </w:rPr>
            </w:pPr>
            <w:r w:rsidRPr="00B92ED0">
              <w:rPr>
                <w:rFonts w:eastAsia="Times New Roman"/>
                <w:lang w:val="es-ES"/>
              </w:rPr>
              <w:t>Especificaciones (límites de desempeño energético) – límite único o por tipo de lámpara</w:t>
            </w:r>
          </w:p>
          <w:p w14:paraId="4EF3BF95" w14:textId="5F1F310B" w:rsidR="00952BED" w:rsidRPr="00B92ED0" w:rsidRDefault="00952BED" w:rsidP="00B92ED0">
            <w:pPr>
              <w:pStyle w:val="ListParagraph"/>
              <w:numPr>
                <w:ilvl w:val="0"/>
                <w:numId w:val="42"/>
              </w:numPr>
              <w:suppressAutoHyphens w:val="0"/>
              <w:spacing w:before="0" w:after="0"/>
              <w:jc w:val="left"/>
              <w:textAlignment w:val="auto"/>
              <w:rPr>
                <w:rFonts w:eastAsia="Times New Roman"/>
                <w:lang w:val="es-ES"/>
              </w:rPr>
            </w:pPr>
            <w:r>
              <w:rPr>
                <w:rFonts w:eastAsia="Times New Roman"/>
                <w:lang w:val="es-ES"/>
              </w:rPr>
              <w:t>Métodos de prueba (referencia a normas de medición NOM-ENER y NMX homologadas como normas DGNTI-COPANIT)</w:t>
            </w:r>
          </w:p>
          <w:p w14:paraId="42C7A6FB" w14:textId="77777777" w:rsidR="00B92ED0" w:rsidRPr="00B92ED0" w:rsidRDefault="00B92ED0" w:rsidP="00B92ED0">
            <w:pPr>
              <w:pStyle w:val="ListParagraph"/>
              <w:numPr>
                <w:ilvl w:val="0"/>
                <w:numId w:val="42"/>
              </w:numPr>
              <w:suppressAutoHyphens w:val="0"/>
              <w:spacing w:before="0" w:after="0"/>
              <w:jc w:val="left"/>
              <w:textAlignment w:val="auto"/>
              <w:rPr>
                <w:rFonts w:eastAsia="Times New Roman"/>
                <w:lang w:val="es-ES"/>
              </w:rPr>
            </w:pPr>
            <w:r w:rsidRPr="00B92ED0">
              <w:rPr>
                <w:rFonts w:eastAsia="Times New Roman"/>
                <w:lang w:val="es-ES"/>
              </w:rPr>
              <w:t>Etiquetado e información al consumidor</w:t>
            </w:r>
          </w:p>
          <w:p w14:paraId="29CC384D" w14:textId="77777777" w:rsidR="00B92ED0" w:rsidRPr="00B92ED0" w:rsidRDefault="00B92ED0" w:rsidP="00B92ED0">
            <w:pPr>
              <w:pStyle w:val="ListParagraph"/>
              <w:numPr>
                <w:ilvl w:val="0"/>
                <w:numId w:val="42"/>
              </w:numPr>
              <w:suppressAutoHyphens w:val="0"/>
              <w:spacing w:before="0" w:after="0"/>
              <w:jc w:val="left"/>
              <w:textAlignment w:val="auto"/>
              <w:rPr>
                <w:rFonts w:eastAsia="Times New Roman"/>
                <w:lang w:val="es-ES"/>
              </w:rPr>
            </w:pPr>
            <w:r w:rsidRPr="00B92ED0">
              <w:rPr>
                <w:rFonts w:eastAsia="Times New Roman"/>
                <w:lang w:val="es-ES"/>
              </w:rPr>
              <w:t>Evaluación de conformidad</w:t>
            </w:r>
          </w:p>
          <w:p w14:paraId="1A989E98" w14:textId="77777777" w:rsidR="00B92ED0" w:rsidRPr="00B92ED0" w:rsidRDefault="00B92ED0" w:rsidP="00B92ED0">
            <w:pPr>
              <w:pStyle w:val="ListParagraph"/>
              <w:numPr>
                <w:ilvl w:val="0"/>
                <w:numId w:val="42"/>
              </w:numPr>
              <w:suppressAutoHyphens w:val="0"/>
              <w:spacing w:before="0" w:after="0"/>
              <w:jc w:val="left"/>
              <w:textAlignment w:val="auto"/>
              <w:rPr>
                <w:rFonts w:eastAsia="Times New Roman"/>
                <w:lang w:val="es-ES"/>
              </w:rPr>
            </w:pPr>
            <w:r w:rsidRPr="00B92ED0">
              <w:rPr>
                <w:rFonts w:eastAsia="Times New Roman"/>
                <w:lang w:val="es-ES"/>
              </w:rPr>
              <w:t>Vigilancia</w:t>
            </w:r>
          </w:p>
          <w:p w14:paraId="1A748798" w14:textId="6C08ED0E" w:rsidR="00B92ED0" w:rsidRPr="00520193" w:rsidRDefault="00B92ED0" w:rsidP="00B92ED0">
            <w:pPr>
              <w:pStyle w:val="ListParagraph"/>
              <w:numPr>
                <w:ilvl w:val="0"/>
                <w:numId w:val="42"/>
              </w:numPr>
              <w:suppressAutoHyphens w:val="0"/>
              <w:spacing w:before="0" w:after="0"/>
              <w:jc w:val="left"/>
              <w:textAlignment w:val="auto"/>
              <w:rPr>
                <w:rFonts w:eastAsia="Times New Roman"/>
                <w:lang w:val="es-ES"/>
              </w:rPr>
            </w:pPr>
            <w:r w:rsidRPr="00B92ED0">
              <w:rPr>
                <w:rFonts w:eastAsia="Times New Roman"/>
                <w:lang w:val="es-ES"/>
              </w:rPr>
              <w:t>Sanciones</w:t>
            </w:r>
          </w:p>
        </w:tc>
      </w:tr>
      <w:tr w:rsidR="00B92ED0" w:rsidRPr="00B92ED0" w14:paraId="1DF9DE8A" w14:textId="77777777" w:rsidTr="00B92ED0">
        <w:trPr>
          <w:cantSplit/>
        </w:trPr>
        <w:tc>
          <w:tcPr>
            <w:tcW w:w="4245" w:type="dxa"/>
            <w:tcBorders>
              <w:top w:val="single" w:sz="6" w:space="0" w:color="9CC2E5"/>
              <w:left w:val="single" w:sz="6" w:space="0" w:color="9CC2E5"/>
              <w:bottom w:val="single" w:sz="6" w:space="0" w:color="9CC2E5"/>
              <w:right w:val="single" w:sz="6" w:space="0" w:color="9CC2E5"/>
            </w:tcBorders>
            <w:shd w:val="clear" w:color="auto" w:fill="9CC2E5"/>
            <w:tcMar>
              <w:top w:w="0" w:type="dxa"/>
              <w:left w:w="108" w:type="dxa"/>
              <w:bottom w:w="0" w:type="dxa"/>
              <w:right w:w="108" w:type="dxa"/>
            </w:tcMar>
          </w:tcPr>
          <w:p w14:paraId="7F7EEEDA" w14:textId="7BBD7C09" w:rsidR="00B92ED0" w:rsidRPr="009B2417" w:rsidRDefault="00B92ED0" w:rsidP="00B92ED0">
            <w:pPr>
              <w:pStyle w:val="ListParagraph"/>
              <w:suppressAutoHyphens w:val="0"/>
              <w:spacing w:before="0" w:after="0"/>
              <w:ind w:left="0"/>
              <w:jc w:val="left"/>
              <w:textAlignment w:val="auto"/>
              <w:rPr>
                <w:rFonts w:eastAsia="Times New Roman"/>
                <w:lang w:val="es-ES"/>
              </w:rPr>
            </w:pPr>
            <w:r w:rsidRPr="00B92ED0">
              <w:rPr>
                <w:rFonts w:eastAsia="Times New Roman"/>
                <w:lang w:val="es-ES"/>
              </w:rPr>
              <w:lastRenderedPageBreak/>
              <w:t>Normas Técnicas DGNTI-COPANIT:</w:t>
            </w:r>
          </w:p>
        </w:tc>
        <w:tc>
          <w:tcPr>
            <w:tcW w:w="4251" w:type="dxa"/>
            <w:tcBorders>
              <w:top w:val="single" w:sz="6" w:space="0" w:color="9CC2E5"/>
              <w:left w:val="single" w:sz="6" w:space="0" w:color="9CC2E5"/>
              <w:bottom w:val="single" w:sz="6" w:space="0" w:color="9CC2E5"/>
              <w:right w:val="single" w:sz="6" w:space="0" w:color="9CC2E5"/>
            </w:tcBorders>
            <w:shd w:val="clear" w:color="auto" w:fill="9CC2E5"/>
            <w:tcMar>
              <w:top w:w="0" w:type="dxa"/>
              <w:left w:w="108" w:type="dxa"/>
              <w:bottom w:w="0" w:type="dxa"/>
              <w:right w:w="108" w:type="dxa"/>
            </w:tcMar>
          </w:tcPr>
          <w:p w14:paraId="2DCC9EEE" w14:textId="6A5EC2A6" w:rsidR="00B92ED0" w:rsidRPr="009B2417" w:rsidRDefault="00B92ED0" w:rsidP="00B92ED0">
            <w:pPr>
              <w:pStyle w:val="ListParagraph"/>
              <w:suppressAutoHyphens w:val="0"/>
              <w:spacing w:before="0" w:after="0"/>
              <w:ind w:left="0"/>
              <w:jc w:val="left"/>
              <w:textAlignment w:val="auto"/>
              <w:rPr>
                <w:rFonts w:eastAsia="Times New Roman"/>
                <w:lang w:val="es-ES"/>
              </w:rPr>
            </w:pPr>
            <w:r w:rsidRPr="00B92ED0">
              <w:rPr>
                <w:rFonts w:eastAsia="Times New Roman"/>
                <w:lang w:val="es-ES"/>
              </w:rPr>
              <w:t>Normas Técnicas DGNTI-COPANIT:</w:t>
            </w:r>
          </w:p>
        </w:tc>
      </w:tr>
      <w:tr w:rsidR="00B92ED0" w:rsidRPr="00914127" w14:paraId="78FDA071" w14:textId="77777777" w:rsidTr="00B92ED0">
        <w:trPr>
          <w:cantSplit/>
        </w:trPr>
        <w:tc>
          <w:tcPr>
            <w:tcW w:w="424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7B9E28D" w14:textId="4021A0A2" w:rsidR="00B92ED0" w:rsidRPr="002734F2" w:rsidRDefault="00B92ED0" w:rsidP="00EF208A">
            <w:pPr>
              <w:suppressAutoHyphens w:val="0"/>
              <w:spacing w:before="0" w:after="0"/>
              <w:jc w:val="left"/>
              <w:textAlignment w:val="auto"/>
              <w:rPr>
                <w:rFonts w:eastAsia="Times New Roman"/>
                <w:lang w:val="es-ES"/>
              </w:rPr>
            </w:pPr>
            <w:r w:rsidRPr="00B92ED0">
              <w:rPr>
                <w:rFonts w:eastAsia="Times New Roman"/>
                <w:lang w:val="es-ES"/>
              </w:rPr>
              <w:t>Normas IEC homologadas</w:t>
            </w:r>
          </w:p>
        </w:tc>
        <w:tc>
          <w:tcPr>
            <w:tcW w:w="42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E46E08C" w14:textId="77777777" w:rsidR="00B92ED0" w:rsidRPr="00B92ED0" w:rsidRDefault="00B92ED0" w:rsidP="00B92ED0">
            <w:pPr>
              <w:suppressAutoHyphens w:val="0"/>
              <w:spacing w:before="0" w:after="0"/>
              <w:jc w:val="left"/>
              <w:textAlignment w:val="auto"/>
              <w:rPr>
                <w:rFonts w:eastAsia="Times New Roman"/>
                <w:lang w:val="es-ES"/>
              </w:rPr>
            </w:pPr>
            <w:r w:rsidRPr="00B92ED0">
              <w:rPr>
                <w:rFonts w:eastAsia="Times New Roman"/>
                <w:lang w:val="es-ES"/>
              </w:rPr>
              <w:t>Objetivo; Campo de aplicación; Definiciones</w:t>
            </w:r>
          </w:p>
          <w:p w14:paraId="5134FDE8" w14:textId="00214DF4" w:rsidR="00B92ED0" w:rsidRPr="002734F2" w:rsidRDefault="00B92ED0" w:rsidP="00B92ED0">
            <w:pPr>
              <w:suppressAutoHyphens w:val="0"/>
              <w:spacing w:before="0" w:after="0"/>
              <w:jc w:val="left"/>
              <w:textAlignment w:val="auto"/>
              <w:rPr>
                <w:rFonts w:eastAsia="Times New Roman"/>
                <w:lang w:val="es-ES"/>
              </w:rPr>
            </w:pPr>
            <w:r w:rsidRPr="00B92ED0">
              <w:rPr>
                <w:rFonts w:eastAsia="Times New Roman"/>
                <w:lang w:val="es-ES"/>
              </w:rPr>
              <w:t>Métodos de prueba (métodos definidos en NOM-ENER correspondientes, con referencia a NMX homologados)</w:t>
            </w:r>
          </w:p>
        </w:tc>
      </w:tr>
    </w:tbl>
    <w:p w14:paraId="49856327" w14:textId="2EE4FAED" w:rsidR="00B92ED0" w:rsidRDefault="00B92ED0" w:rsidP="00EB1882">
      <w:pPr>
        <w:spacing w:before="0" w:after="140"/>
        <w:rPr>
          <w:lang w:val="es-ES"/>
        </w:rPr>
      </w:pPr>
    </w:p>
    <w:p w14:paraId="0FDA8AF8" w14:textId="61B5DB34" w:rsidR="006D3D91" w:rsidRPr="001D1109" w:rsidRDefault="00D52AF9" w:rsidP="001D1109">
      <w:pPr>
        <w:spacing w:before="0" w:after="140"/>
        <w:rPr>
          <w:lang w:val="es-ES"/>
        </w:rPr>
      </w:pPr>
      <w:r w:rsidRPr="009B6D93">
        <w:rPr>
          <w:lang w:val="es-ES"/>
        </w:rPr>
        <w:t xml:space="preserve">El Anexo </w:t>
      </w:r>
      <w:r w:rsidR="009B6D93" w:rsidRPr="009B6D93">
        <w:rPr>
          <w:lang w:val="es-ES"/>
        </w:rPr>
        <w:t>15</w:t>
      </w:r>
      <w:r w:rsidRPr="009B6D93">
        <w:rPr>
          <w:lang w:val="es-ES"/>
        </w:rPr>
        <w:t xml:space="preserve"> incluye</w:t>
      </w:r>
      <w:r>
        <w:rPr>
          <w:lang w:val="es-ES"/>
        </w:rPr>
        <w:t xml:space="preserve"> un trazado de los contenidos del reglamento técnico</w:t>
      </w:r>
      <w:r w:rsidR="00DB0CCB">
        <w:rPr>
          <w:lang w:val="es-ES"/>
        </w:rPr>
        <w:t xml:space="preserve">, tomando en consideración el borrador del Anteproyecto de Norma Técnica DGNTI-COPANIT "Eficiencia energética de lámparas para </w:t>
      </w:r>
      <w:r w:rsidR="004B131D">
        <w:rPr>
          <w:lang w:val="es-ES"/>
        </w:rPr>
        <w:t>u</w:t>
      </w:r>
      <w:r w:rsidR="00DB0CCB">
        <w:rPr>
          <w:lang w:val="es-ES"/>
        </w:rPr>
        <w:t xml:space="preserve">so </w:t>
      </w:r>
      <w:r w:rsidR="004B131D">
        <w:rPr>
          <w:lang w:val="es-ES"/>
        </w:rPr>
        <w:t>general", así como las propuestas de este estudio.</w:t>
      </w:r>
    </w:p>
    <w:p w14:paraId="185E1157" w14:textId="7BDB6130" w:rsidR="00EB1882" w:rsidRDefault="00EB1882" w:rsidP="00DE431E">
      <w:pPr>
        <w:spacing w:before="0" w:after="140"/>
        <w:rPr>
          <w:lang w:val="es-ES"/>
        </w:rPr>
      </w:pPr>
    </w:p>
    <w:p w14:paraId="2A2C5B9C" w14:textId="69C469BE" w:rsidR="00EB1882" w:rsidRDefault="00EB1882" w:rsidP="00DE431E">
      <w:pPr>
        <w:spacing w:before="0" w:after="140"/>
        <w:rPr>
          <w:lang w:val="es-ES"/>
        </w:rPr>
      </w:pPr>
    </w:p>
    <w:p w14:paraId="2F199C5B" w14:textId="77777777" w:rsidR="00EB1882" w:rsidRDefault="00EB1882" w:rsidP="00DE431E">
      <w:pPr>
        <w:spacing w:before="0" w:after="140"/>
        <w:rPr>
          <w:lang w:val="es-ES"/>
        </w:rPr>
      </w:pPr>
    </w:p>
    <w:p w14:paraId="1E337A30" w14:textId="45320189" w:rsidR="00586EC3" w:rsidRPr="006E560A" w:rsidRDefault="00586EC3" w:rsidP="00AD3FD9">
      <w:pPr>
        <w:pStyle w:val="MAX"/>
        <w:rPr>
          <w:lang w:val="es-ES"/>
        </w:rPr>
      </w:pPr>
      <w:bookmarkStart w:id="67" w:name="_Toc516146036"/>
      <w:r w:rsidRPr="006E560A">
        <w:rPr>
          <w:lang w:val="es-ES"/>
        </w:rPr>
        <w:lastRenderedPageBreak/>
        <w:t>Conclusiones</w:t>
      </w:r>
      <w:bookmarkEnd w:id="67"/>
    </w:p>
    <w:p w14:paraId="5AA31F9D" w14:textId="0441411F" w:rsidR="004F7318" w:rsidRDefault="00732D00" w:rsidP="00B755C5">
      <w:pPr>
        <w:pStyle w:val="BodyText"/>
        <w:rPr>
          <w:lang w:val="es-ES"/>
        </w:rPr>
      </w:pPr>
      <w:r>
        <w:rPr>
          <w:lang w:val="es-ES"/>
        </w:rPr>
        <w:t>Se presentan, a continuación, las conclusiones más relevantes de</w:t>
      </w:r>
      <w:r w:rsidR="00E5313C">
        <w:rPr>
          <w:lang w:val="es-ES"/>
        </w:rPr>
        <w:t xml:space="preserve">l trabajo realizado, que se refiere a los ítems 1. </w:t>
      </w:r>
      <w:r w:rsidR="001C0164" w:rsidRPr="001C0164">
        <w:rPr>
          <w:lang w:val="es-ES"/>
        </w:rPr>
        <w:t>–</w:t>
      </w:r>
      <w:r w:rsidR="00E5313C">
        <w:rPr>
          <w:lang w:val="es-ES"/>
        </w:rPr>
        <w:t xml:space="preserve"> </w:t>
      </w:r>
      <w:r w:rsidR="0052345B">
        <w:rPr>
          <w:lang w:val="es-ES"/>
        </w:rPr>
        <w:t>4</w:t>
      </w:r>
      <w:r w:rsidR="00E5313C">
        <w:rPr>
          <w:lang w:val="es-ES"/>
        </w:rPr>
        <w:t>. definidos en los TdR.</w:t>
      </w:r>
    </w:p>
    <w:p w14:paraId="13A4667E" w14:textId="566BEB65" w:rsidR="00E57A2D" w:rsidRDefault="00DD78C4" w:rsidP="00D93D87">
      <w:pPr>
        <w:pStyle w:val="BodyText"/>
        <w:rPr>
          <w:lang w:val="es-ES"/>
        </w:rPr>
      </w:pPr>
      <w:r>
        <w:rPr>
          <w:lang w:val="es-ES"/>
        </w:rPr>
        <w:t xml:space="preserve">Los reglamentos de desempeño energético mínimo de productos relacionados a la energía </w:t>
      </w:r>
      <w:r w:rsidR="00BB0531">
        <w:rPr>
          <w:lang w:val="es-ES"/>
        </w:rPr>
        <w:t xml:space="preserve">de EE.UU. y de la Unión Europea </w:t>
      </w:r>
      <w:r>
        <w:rPr>
          <w:lang w:val="es-ES"/>
        </w:rPr>
        <w:t>son referentes internacionales que sirven de ejemplo o por lo menos de orientación para los programas de normas de eficiencia energética de muchos países en el ámbito internacional y en América Latina. De otra parte, las Normas Oficiales Mexicanas de eficiencia energética (NOM-ENER</w:t>
      </w:r>
      <w:r w:rsidR="00BB0531">
        <w:rPr>
          <w:lang w:val="es-ES"/>
        </w:rPr>
        <w:t>)</w:t>
      </w:r>
      <w:r>
        <w:rPr>
          <w:lang w:val="es-ES"/>
        </w:rPr>
        <w:t xml:space="preserve"> son un referente para Centroamérica. De su parte, varias NOM-ENER son alineadas (parcialmente) con los estándares de </w:t>
      </w:r>
      <w:r w:rsidR="00E57A2D">
        <w:rPr>
          <w:lang w:val="es-ES"/>
        </w:rPr>
        <w:t>eficiencia energética</w:t>
      </w:r>
      <w:r>
        <w:rPr>
          <w:lang w:val="es-ES"/>
        </w:rPr>
        <w:t xml:space="preserve"> ("</w:t>
      </w:r>
      <w:r w:rsidRPr="00DD78C4">
        <w:rPr>
          <w:i/>
          <w:lang w:val="es-ES"/>
        </w:rPr>
        <w:t>energy efficiency standards</w:t>
      </w:r>
      <w:r>
        <w:rPr>
          <w:lang w:val="es-ES"/>
        </w:rPr>
        <w:t xml:space="preserve">") de EE.UU. Los programas de estándares de </w:t>
      </w:r>
      <w:r w:rsidR="00E57A2D">
        <w:rPr>
          <w:lang w:val="es-ES"/>
        </w:rPr>
        <w:t xml:space="preserve">eficiencia energética de EE.UU., los reglamentos de diseño ecológico de la Unión Europea, y </w:t>
      </w:r>
      <w:r w:rsidR="00E57A2D" w:rsidRPr="00E57A2D">
        <w:rPr>
          <w:lang w:val="es-ES"/>
        </w:rPr>
        <w:t>–</w:t>
      </w:r>
      <w:r w:rsidR="00E57A2D">
        <w:rPr>
          <w:lang w:val="es-ES"/>
        </w:rPr>
        <w:t xml:space="preserve"> en menor medida </w:t>
      </w:r>
      <w:r w:rsidR="00E57A2D" w:rsidRPr="00E57A2D">
        <w:rPr>
          <w:lang w:val="es-ES"/>
        </w:rPr>
        <w:t>–</w:t>
      </w:r>
      <w:r w:rsidR="00E57A2D">
        <w:rPr>
          <w:lang w:val="es-ES"/>
        </w:rPr>
        <w:t xml:space="preserve"> las NOM-ENER, son instrumentos efectivos para la transición de los mercados hacia productos y tecnologías más eficientes, eliminando productos y tecnologías ineficientes.</w:t>
      </w:r>
    </w:p>
    <w:p w14:paraId="45C52B24" w14:textId="72871F06" w:rsidR="00D93D87" w:rsidRDefault="00660BB0" w:rsidP="00D93D87">
      <w:pPr>
        <w:pStyle w:val="BodyText"/>
        <w:rPr>
          <w:lang w:val="es-ES"/>
        </w:rPr>
      </w:pPr>
      <w:r>
        <w:rPr>
          <w:lang w:val="es-ES"/>
        </w:rPr>
        <w:t>En vista de la elaboración del Anteproyecto de NT/RT DGNTI-COPANIT, se presentaron, en la sección 3 del presente inform</w:t>
      </w:r>
      <w:r w:rsidR="00BC7F10">
        <w:rPr>
          <w:lang w:val="es-ES"/>
        </w:rPr>
        <w:t>e</w:t>
      </w:r>
      <w:r>
        <w:rPr>
          <w:lang w:val="es-ES"/>
        </w:rPr>
        <w:t xml:space="preserve">, las características principales de los reglamentos de desempeño energético mínimo de EE.UU., de la Unión Europea y de México, en particular: el alcance de los distintos reglamentos, los Índices de desempeño energético mínimo y los métodos de prueba para los distintos tipos de lámparas, así como los procedimientos de evaluación de la conformidad </w:t>
      </w:r>
      <w:r w:rsidR="0041608D">
        <w:rPr>
          <w:lang w:val="es-ES"/>
        </w:rPr>
        <w:t xml:space="preserve">y los </w:t>
      </w:r>
      <w:r>
        <w:rPr>
          <w:lang w:val="es-ES"/>
        </w:rPr>
        <w:t>reglamentos</w:t>
      </w:r>
      <w:r w:rsidR="0041608D">
        <w:rPr>
          <w:lang w:val="es-ES"/>
        </w:rPr>
        <w:t xml:space="preserve"> de etiquetado</w:t>
      </w:r>
      <w:r>
        <w:rPr>
          <w:lang w:val="es-ES"/>
        </w:rPr>
        <w:t>.</w:t>
      </w:r>
    </w:p>
    <w:p w14:paraId="37CAFABD" w14:textId="2F822251" w:rsidR="007F0498" w:rsidRDefault="00660BB0" w:rsidP="007F0498">
      <w:pPr>
        <w:pStyle w:val="BodyText"/>
        <w:rPr>
          <w:lang w:val="es-ES"/>
        </w:rPr>
      </w:pPr>
      <w:r>
        <w:rPr>
          <w:lang w:val="es-ES"/>
        </w:rPr>
        <w:t>De otra parte, se comentó</w:t>
      </w:r>
      <w:r w:rsidR="007F0498">
        <w:rPr>
          <w:lang w:val="es-ES"/>
        </w:rPr>
        <w:t>,</w:t>
      </w:r>
      <w:r>
        <w:rPr>
          <w:lang w:val="es-ES"/>
        </w:rPr>
        <w:t xml:space="preserve"> en la sección 4 del informe, </w:t>
      </w:r>
      <w:r w:rsidR="007F0498">
        <w:rPr>
          <w:lang w:val="es-ES"/>
        </w:rPr>
        <w:t xml:space="preserve">el borrador del Anteproyecto NT/RT </w:t>
      </w:r>
      <w:r w:rsidR="00FC191C">
        <w:rPr>
          <w:lang w:val="es-ES"/>
        </w:rPr>
        <w:t xml:space="preserve">de Eficiencia Energética de Lámparas para Uso General </w:t>
      </w:r>
      <w:r w:rsidR="007F0498">
        <w:rPr>
          <w:lang w:val="es-ES"/>
        </w:rPr>
        <w:t xml:space="preserve">(versión preliminar con fecha de </w:t>
      </w:r>
      <w:r w:rsidR="007F0498" w:rsidRPr="007F0498">
        <w:rPr>
          <w:lang w:val="es-ES"/>
        </w:rPr>
        <w:t>20 de agosto de 2017</w:t>
      </w:r>
      <w:r w:rsidR="007F0498">
        <w:rPr>
          <w:lang w:val="es-ES"/>
        </w:rPr>
        <w:t xml:space="preserve">) con respecto a: (i) su alcance, (ii) los límites (índices) de desempeño energético mínimo propuestos, (iii) los métodos de prueba, (iv) su grado de </w:t>
      </w:r>
      <w:r w:rsidR="007F0498" w:rsidRPr="007F0498">
        <w:rPr>
          <w:lang w:val="es-ES"/>
        </w:rPr>
        <w:t>armonización y alineación, respectivamente, con otras normas y reglamentos nacionales e internacionales</w:t>
      </w:r>
      <w:r w:rsidR="007F0498">
        <w:rPr>
          <w:lang w:val="es-ES"/>
        </w:rPr>
        <w:t xml:space="preserve"> analizados, y (v) la i</w:t>
      </w:r>
      <w:r w:rsidR="007F0498" w:rsidRPr="007F0498">
        <w:rPr>
          <w:lang w:val="es-ES"/>
        </w:rPr>
        <w:t>ntegridad técnica y editorial del borrador de anteproyecto</w:t>
      </w:r>
      <w:r w:rsidR="007F0498">
        <w:rPr>
          <w:lang w:val="es-ES"/>
        </w:rPr>
        <w:t>.</w:t>
      </w:r>
    </w:p>
    <w:p w14:paraId="0A49CA9D" w14:textId="72606AC5" w:rsidR="005E3FEE" w:rsidRPr="00016F24" w:rsidRDefault="0052345B" w:rsidP="005E3FEE">
      <w:pPr>
        <w:pStyle w:val="BodyText"/>
        <w:rPr>
          <w:lang w:val="es-ES"/>
        </w:rPr>
      </w:pPr>
      <w:r w:rsidRPr="00016F24">
        <w:rPr>
          <w:lang w:val="es-ES"/>
        </w:rPr>
        <w:t xml:space="preserve">En la sección 5 del </w:t>
      </w:r>
      <w:r w:rsidRPr="005E3FEE">
        <w:rPr>
          <w:lang w:val="es-ES"/>
        </w:rPr>
        <w:t>informe</w:t>
      </w:r>
      <w:r w:rsidR="00016F24" w:rsidRPr="005E3FEE">
        <w:rPr>
          <w:lang w:val="es-ES"/>
        </w:rPr>
        <w:t xml:space="preserve"> se presentaron propuestas y recomendaciones con repecto a</w:t>
      </w:r>
      <w:r w:rsidR="005E3FEE" w:rsidRPr="005E3FEE">
        <w:rPr>
          <w:lang w:val="es-ES"/>
        </w:rPr>
        <w:t>:</w:t>
      </w:r>
    </w:p>
    <w:p w14:paraId="4BEE8F2C" w14:textId="77777777" w:rsidR="005E3FEE" w:rsidRPr="00016F24" w:rsidRDefault="005E3FEE" w:rsidP="005E3FEE">
      <w:pPr>
        <w:pStyle w:val="BodyText"/>
        <w:numPr>
          <w:ilvl w:val="0"/>
          <w:numId w:val="44"/>
        </w:numPr>
        <w:rPr>
          <w:lang w:val="es-ES"/>
        </w:rPr>
      </w:pPr>
      <w:r w:rsidRPr="00016F24">
        <w:rPr>
          <w:lang w:val="es-ES"/>
        </w:rPr>
        <w:t>Los productos de iluminación que deberían incluirse en la NT/RT;</w:t>
      </w:r>
    </w:p>
    <w:p w14:paraId="19F77649" w14:textId="77777777" w:rsidR="005E3FEE" w:rsidRPr="00016F24" w:rsidRDefault="005E3FEE" w:rsidP="005E3FEE">
      <w:pPr>
        <w:pStyle w:val="BodyText"/>
        <w:numPr>
          <w:ilvl w:val="0"/>
          <w:numId w:val="44"/>
        </w:numPr>
        <w:rPr>
          <w:lang w:val="es-ES"/>
        </w:rPr>
      </w:pPr>
      <w:r w:rsidRPr="00016F24">
        <w:rPr>
          <w:lang w:val="es-ES"/>
        </w:rPr>
        <w:t xml:space="preserve">Las normas de medición (métodos de prueba) apropiadas para cada categoría de producto a incluir o referirse en la NT/RT; </w:t>
      </w:r>
    </w:p>
    <w:p w14:paraId="45818631" w14:textId="77ED0F2F" w:rsidR="005E3FEE" w:rsidRPr="00016F24" w:rsidRDefault="005E3FEE" w:rsidP="005E3FEE">
      <w:pPr>
        <w:pStyle w:val="BodyText"/>
        <w:numPr>
          <w:ilvl w:val="0"/>
          <w:numId w:val="44"/>
        </w:numPr>
        <w:rPr>
          <w:lang w:val="es-ES"/>
        </w:rPr>
      </w:pPr>
      <w:r w:rsidRPr="00016F24">
        <w:rPr>
          <w:lang w:val="es-ES"/>
        </w:rPr>
        <w:t>Los límites (índices) adecuados para lograr una transición efectiva de mercado, tomando en consideración los valores mínimos aplicados en los reglamentos correspondientes de EE.UU., de la Unión Europea y de México, incluidas las ventajas y desventajas de límites específicos por producto o límites unificados para una gama amplia de productos de iluminación incluidos en la NT/RT;</w:t>
      </w:r>
    </w:p>
    <w:p w14:paraId="1505DE12" w14:textId="77777777" w:rsidR="005E3FEE" w:rsidRPr="00016F24" w:rsidRDefault="005E3FEE" w:rsidP="005E3FEE">
      <w:pPr>
        <w:pStyle w:val="BodyText"/>
        <w:numPr>
          <w:ilvl w:val="0"/>
          <w:numId w:val="44"/>
        </w:numPr>
        <w:rPr>
          <w:lang w:val="es-ES"/>
        </w:rPr>
      </w:pPr>
      <w:r w:rsidRPr="00016F24">
        <w:rPr>
          <w:lang w:val="es-ES"/>
        </w:rPr>
        <w:t xml:space="preserve">La conveniencia de lograr un mayor grado de alineación con las normas y reglamentos de US-DOE, de la Unión Europea y/o de las NOM-ENER, así como con los métodos de prueba correspondientes, y su justificación, incluidas opciones; </w:t>
      </w:r>
    </w:p>
    <w:p w14:paraId="1D250AF8" w14:textId="77777777" w:rsidR="005E3FEE" w:rsidRPr="00016F24" w:rsidRDefault="005E3FEE" w:rsidP="005E3FEE">
      <w:pPr>
        <w:pStyle w:val="BodyText"/>
        <w:numPr>
          <w:ilvl w:val="0"/>
          <w:numId w:val="44"/>
        </w:numPr>
        <w:rPr>
          <w:lang w:val="es-ES"/>
        </w:rPr>
      </w:pPr>
      <w:r w:rsidRPr="00016F24">
        <w:rPr>
          <w:lang w:val="es-ES"/>
        </w:rPr>
        <w:t>Los procedimientos de evaluación de la conformidad para ser incluidos o referidos en la NT/RT;</w:t>
      </w:r>
    </w:p>
    <w:p w14:paraId="312288F0" w14:textId="77777777" w:rsidR="005E3FEE" w:rsidRPr="00016F24" w:rsidRDefault="005E3FEE" w:rsidP="005E3FEE">
      <w:pPr>
        <w:pStyle w:val="BodyText"/>
        <w:numPr>
          <w:ilvl w:val="0"/>
          <w:numId w:val="44"/>
        </w:numPr>
        <w:rPr>
          <w:lang w:val="es-ES"/>
        </w:rPr>
      </w:pPr>
      <w:r w:rsidRPr="00016F24">
        <w:rPr>
          <w:lang w:val="es-ES"/>
        </w:rPr>
        <w:t>Diseño, contenido y colocación de una etiqueta para productos de iluminación;</w:t>
      </w:r>
    </w:p>
    <w:p w14:paraId="14EC258C" w14:textId="77777777" w:rsidR="005E3FEE" w:rsidRPr="00016F24" w:rsidRDefault="005E3FEE" w:rsidP="005E3FEE">
      <w:pPr>
        <w:pStyle w:val="BodyText"/>
        <w:numPr>
          <w:ilvl w:val="0"/>
          <w:numId w:val="44"/>
        </w:numPr>
        <w:rPr>
          <w:lang w:val="es-ES"/>
        </w:rPr>
      </w:pPr>
      <w:r w:rsidRPr="00016F24">
        <w:rPr>
          <w:lang w:val="es-ES"/>
        </w:rPr>
        <w:t>Inclusión o modificación de estipulaciones faltantes o incompletas y mejoras editoriales de la NT/RT.</w:t>
      </w:r>
    </w:p>
    <w:p w14:paraId="426934D7" w14:textId="5C6C7595" w:rsidR="005E3FEE" w:rsidRDefault="005E3FEE" w:rsidP="005E3FEE">
      <w:pPr>
        <w:pStyle w:val="BodyText"/>
        <w:rPr>
          <w:lang w:val="es-ES"/>
        </w:rPr>
      </w:pPr>
      <w:r>
        <w:rPr>
          <w:lang w:val="es-ES"/>
        </w:rPr>
        <w:t xml:space="preserve">Siguiendo las tendencias internacionales hacia reglamentos de eficiencia energética integrales para </w:t>
      </w:r>
      <w:r w:rsidR="00656CAD">
        <w:rPr>
          <w:lang w:val="es-ES"/>
        </w:rPr>
        <w:t xml:space="preserve">varios </w:t>
      </w:r>
      <w:r>
        <w:rPr>
          <w:lang w:val="es-ES"/>
        </w:rPr>
        <w:t xml:space="preserve">tipos de lámparas se recomienda fijar límites de </w:t>
      </w:r>
      <w:r w:rsidR="00D00511">
        <w:rPr>
          <w:lang w:val="es-ES"/>
        </w:rPr>
        <w:t xml:space="preserve">desempeño </w:t>
      </w:r>
      <w:r>
        <w:rPr>
          <w:lang w:val="es-ES"/>
        </w:rPr>
        <w:t>energétic</w:t>
      </w:r>
      <w:r w:rsidR="00D00511">
        <w:rPr>
          <w:lang w:val="es-ES"/>
        </w:rPr>
        <w:t>o</w:t>
      </w:r>
      <w:r>
        <w:rPr>
          <w:lang w:val="es-ES"/>
        </w:rPr>
        <w:t xml:space="preserve"> </w:t>
      </w:r>
      <w:r w:rsidR="00D00511">
        <w:rPr>
          <w:lang w:val="es-ES"/>
        </w:rPr>
        <w:t xml:space="preserve">uniformes que se aplican para todos (o por lo menos varios) tipos de lámparas. Por consiguiente, se recomienda </w:t>
      </w:r>
      <w:r w:rsidR="0093540A">
        <w:rPr>
          <w:lang w:val="es-ES"/>
        </w:rPr>
        <w:t xml:space="preserve">la elaboración de </w:t>
      </w:r>
      <w:r w:rsidR="00D00511">
        <w:rPr>
          <w:lang w:val="es-ES"/>
        </w:rPr>
        <w:t xml:space="preserve">un solo reglamento técnico que incluye por lo menos los </w:t>
      </w:r>
      <w:r w:rsidR="00D00511">
        <w:rPr>
          <w:lang w:val="es-ES"/>
        </w:rPr>
        <w:lastRenderedPageBreak/>
        <w:t>siguientes tipos de lámparas: lámparas incandescentes, lámparas incandescentes con halógenos, lámparas fluorescentes, LFC autobalastradas y lámparas de descarga de alta intensidad.</w:t>
      </w:r>
      <w:r w:rsidR="00497323">
        <w:rPr>
          <w:rStyle w:val="FootnoteReference"/>
        </w:rPr>
        <w:footnoteReference w:id="109"/>
      </w:r>
      <w:r w:rsidR="00D00511">
        <w:rPr>
          <w:lang w:val="es-ES"/>
        </w:rPr>
        <w:t xml:space="preserve"> En principio, se recomienda incluir también lámparas LED integradas y </w:t>
      </w:r>
      <w:r w:rsidR="007357BE" w:rsidRPr="007357BE">
        <w:rPr>
          <w:color w:val="FF0000"/>
          <w:lang w:val="es-ES"/>
        </w:rPr>
        <w:t>luminarias /</w:t>
      </w:r>
      <w:r w:rsidR="007357BE">
        <w:rPr>
          <w:lang w:val="es-ES"/>
        </w:rPr>
        <w:t xml:space="preserve"> </w:t>
      </w:r>
      <w:r w:rsidR="00D00511">
        <w:rPr>
          <w:lang w:val="es-ES"/>
        </w:rPr>
        <w:t>m</w:t>
      </w:r>
      <w:r w:rsidR="0066361B">
        <w:rPr>
          <w:lang w:val="es-ES"/>
        </w:rPr>
        <w:t>ó</w:t>
      </w:r>
      <w:r w:rsidR="00D00511">
        <w:rPr>
          <w:lang w:val="es-ES"/>
        </w:rPr>
        <w:t>dulos LED en el mismo reglamento.</w:t>
      </w:r>
      <w:r w:rsidR="00D00511">
        <w:rPr>
          <w:rStyle w:val="FootnoteReference"/>
        </w:rPr>
        <w:footnoteReference w:id="110"/>
      </w:r>
      <w:r>
        <w:rPr>
          <w:lang w:val="es-ES"/>
        </w:rPr>
        <w:t xml:space="preserve"> </w:t>
      </w:r>
    </w:p>
    <w:p w14:paraId="61D58566" w14:textId="47E7CA8B" w:rsidR="000C78D6" w:rsidRDefault="00D00511" w:rsidP="00D93D87">
      <w:pPr>
        <w:pStyle w:val="BodyText"/>
        <w:rPr>
          <w:lang w:val="es-ES"/>
        </w:rPr>
      </w:pPr>
      <w:r>
        <w:rPr>
          <w:lang w:val="es-ES"/>
        </w:rPr>
        <w:t>Con respecto a las normas de medición (métodos de prueba)</w:t>
      </w:r>
      <w:r w:rsidR="00A22F99">
        <w:rPr>
          <w:lang w:val="es-ES"/>
        </w:rPr>
        <w:t xml:space="preserve"> existen dos opciones: (i) la alineación con normas internacionales IEC, o (ii) la alineación con los métodos de prueba incluidas en las normas mexicanas NOM-ENER y NMX. Tanto las normas IEC como NMX incluyen referencias a otras normas </w:t>
      </w:r>
      <w:r w:rsidR="00656CAD">
        <w:rPr>
          <w:lang w:val="es-ES"/>
        </w:rPr>
        <w:t>específicas</w:t>
      </w:r>
      <w:r w:rsidR="00A22F99">
        <w:rPr>
          <w:lang w:val="es-ES"/>
        </w:rPr>
        <w:t>, que son necesarias para su aplicación correcta.</w:t>
      </w:r>
      <w:r w:rsidR="00B20100">
        <w:rPr>
          <w:lang w:val="es-ES"/>
        </w:rPr>
        <w:t xml:space="preserve"> De </w:t>
      </w:r>
      <w:r w:rsidR="00D03F10">
        <w:rPr>
          <w:lang w:val="es-ES"/>
        </w:rPr>
        <w:t xml:space="preserve">acuerdo </w:t>
      </w:r>
      <w:r w:rsidR="00B20100">
        <w:rPr>
          <w:lang w:val="es-ES"/>
        </w:rPr>
        <w:t>a la información recibida en la reunión del 5 de marzo de 2018, todas normas de medición aplicadas en Panamá deben ser homologadas como normas técnicas DGNTI-COPANIT.</w:t>
      </w:r>
      <w:r w:rsidR="000C78D6">
        <w:rPr>
          <w:lang w:val="es-ES"/>
        </w:rPr>
        <w:t xml:space="preserve"> Como se puede apreciar de los Anexos 8 – 14, se requiere en ambas opciones la homologación de una serie de normas, en particular normas IEC o NMX respectivamente.</w:t>
      </w:r>
    </w:p>
    <w:p w14:paraId="35D99659" w14:textId="3F2A3D5B" w:rsidR="00CA6171" w:rsidRDefault="00CA6171" w:rsidP="00D93D87">
      <w:pPr>
        <w:pStyle w:val="BodyText"/>
        <w:rPr>
          <w:lang w:val="es-ES"/>
        </w:rPr>
      </w:pPr>
      <w:r>
        <w:rPr>
          <w:lang w:val="es-ES"/>
        </w:rPr>
        <w:t xml:space="preserve">Además de las tendencias hacia reglamentos de eficiencia energética integrales, se observa también una tendencia haca </w:t>
      </w:r>
      <w:r w:rsidR="00656CAD">
        <w:rPr>
          <w:lang w:val="es-ES"/>
        </w:rPr>
        <w:t>límites</w:t>
      </w:r>
      <w:r>
        <w:rPr>
          <w:lang w:val="es-ES"/>
        </w:rPr>
        <w:t xml:space="preserve"> de desempeño energético exigentes y – por lo menos parcialmente – “tecnológicamente neutrales”. Se recomienda, por consiguiente</w:t>
      </w:r>
      <w:r w:rsidR="0093540A">
        <w:rPr>
          <w:lang w:val="es-ES"/>
        </w:rPr>
        <w:t>,</w:t>
      </w:r>
      <w:r>
        <w:rPr>
          <w:lang w:val="es-ES"/>
        </w:rPr>
        <w:t xml:space="preserve"> establecer un límite de entre 60 y 70 lm/W para todas lámparas de uso general (lámparas incandescentes e incandescentes con halógenos, LFC autobalastradas y lámparas LED), con la excepción de lámparas fluorescentes lineales y lámparas de descarga de alta intensidad para la iluminación de exteriores, para las cuales se recomienda un límite entre 80 y 90 lm/W.</w:t>
      </w:r>
      <w:r w:rsidR="00B20100">
        <w:rPr>
          <w:lang w:val="es-ES"/>
        </w:rPr>
        <w:t xml:space="preserve"> </w:t>
      </w:r>
      <w:r w:rsidR="00E21BEC">
        <w:rPr>
          <w:lang w:val="es-ES"/>
        </w:rPr>
        <w:t>Se recomienda ajustar los límites propuestos en el borrador del Anteproyecto de la NT/RT de agosto de 2017 a estos valores</w:t>
      </w:r>
      <w:r w:rsidR="00696BEB">
        <w:rPr>
          <w:lang w:val="es-ES"/>
        </w:rPr>
        <w:t xml:space="preserve"> (unificando también los índices de los grupos de lámparas indicados en este </w:t>
      </w:r>
      <w:r w:rsidR="00656CAD">
        <w:rPr>
          <w:lang w:val="es-ES"/>
        </w:rPr>
        <w:t>párrafo</w:t>
      </w:r>
      <w:r w:rsidR="00696BEB">
        <w:rPr>
          <w:lang w:val="es-ES"/>
        </w:rPr>
        <w:t>)</w:t>
      </w:r>
      <w:r w:rsidR="00E21BEC">
        <w:rPr>
          <w:lang w:val="es-ES"/>
        </w:rPr>
        <w:t>.</w:t>
      </w:r>
      <w:r w:rsidR="00F32420">
        <w:rPr>
          <w:rStyle w:val="FootnoteReference"/>
        </w:rPr>
        <w:footnoteReference w:id="111"/>
      </w:r>
    </w:p>
    <w:p w14:paraId="1DC6F6E4" w14:textId="55C32A40" w:rsidR="005E3FEE" w:rsidRDefault="00CA6171" w:rsidP="00D93D87">
      <w:pPr>
        <w:pStyle w:val="BodyText"/>
        <w:rPr>
          <w:lang w:val="es-ES"/>
        </w:rPr>
      </w:pPr>
      <w:r w:rsidRPr="00CA6171">
        <w:rPr>
          <w:lang w:val="es-ES"/>
        </w:rPr>
        <w:t>De esta manera se eliminarán del mercado las lámparas incandescentes e incandescentes con halógenos, las LFC</w:t>
      </w:r>
      <w:r w:rsidR="0099760A">
        <w:rPr>
          <w:lang w:val="es-ES"/>
        </w:rPr>
        <w:t xml:space="preserve"> menos eficientes</w:t>
      </w:r>
      <w:r w:rsidRPr="00CA6171">
        <w:rPr>
          <w:lang w:val="es-ES"/>
        </w:rPr>
        <w:t xml:space="preserve">, las lámparas de vapor de mercurio </w:t>
      </w:r>
      <w:r w:rsidR="00B12B02">
        <w:rPr>
          <w:lang w:val="es-ES"/>
        </w:rPr>
        <w:t>a</w:t>
      </w:r>
      <w:r w:rsidRPr="00CA6171">
        <w:rPr>
          <w:lang w:val="es-ES"/>
        </w:rPr>
        <w:t xml:space="preserve"> alta presión y parcialmente las lámparas de halogenuros metálicos. Permanecerían en el mercado las lámparas fluorescentes lineales eficientes, las lámparas LED integradas, las lámparas de halogenuros metálicos eficientes, las lámparas de vapor de sodio y las lámparas con elementos LED </w:t>
      </w:r>
      <w:r w:rsidRPr="007357BE">
        <w:rPr>
          <w:strike/>
          <w:color w:val="FF0000"/>
          <w:lang w:val="es-ES"/>
        </w:rPr>
        <w:t>para el alumbrado de exteriores</w:t>
      </w:r>
      <w:r w:rsidRPr="00CA6171">
        <w:rPr>
          <w:lang w:val="es-ES"/>
        </w:rPr>
        <w:t>.</w:t>
      </w:r>
    </w:p>
    <w:p w14:paraId="074FBE1C" w14:textId="411EAA0F" w:rsidR="00F32420" w:rsidRDefault="00F32420" w:rsidP="00D93D87">
      <w:pPr>
        <w:pStyle w:val="BodyText"/>
        <w:rPr>
          <w:lang w:val="es-ES"/>
        </w:rPr>
      </w:pPr>
      <w:r>
        <w:rPr>
          <w:lang w:val="es-ES"/>
        </w:rPr>
        <w:t xml:space="preserve">Existen también dos opciones principales para definir los procedimientos de evaluación de la conformidad: </w:t>
      </w:r>
      <w:r w:rsidRPr="00F32420">
        <w:rPr>
          <w:lang w:val="es-ES"/>
        </w:rPr>
        <w:t>(i) de acuerdo a ISO/IEC 17067, en particular los esquemas 3 y 5 establecidos en esta norma internacional, o (ii) de acuerdo a los PEC conforme a los NOM-ENER para lámparas.</w:t>
      </w:r>
    </w:p>
    <w:p w14:paraId="27BAB02F" w14:textId="1FB7200E" w:rsidR="00F32420" w:rsidRDefault="00F32420" w:rsidP="00F32420">
      <w:pPr>
        <w:pStyle w:val="BodyText"/>
        <w:rPr>
          <w:lang w:val="es-ES"/>
        </w:rPr>
      </w:pPr>
      <w:r>
        <w:rPr>
          <w:lang w:val="es-ES"/>
        </w:rPr>
        <w:t>U</w:t>
      </w:r>
      <w:r w:rsidRPr="00F32420">
        <w:rPr>
          <w:lang w:val="es-ES"/>
        </w:rPr>
        <w:t>n sistema de evaluación de conformidad basado en los esquemas 3 o 5 de ISO/IEC 17067 parece lo más adecuado para el caso de Panamá, tomando en consideración que incluyen ensayos por lote, la opción de pruebas o inspecciones de muestras tomadas periódicamente de la fábrica (evitando la necesidad de tomar muestras del mercado) e incluyen auditorías periódicas del proceso de la producción; en el caso del esquema 5 opcionalmente auditorías del sistema de gestión de calidad.</w:t>
      </w:r>
      <w:r>
        <w:rPr>
          <w:lang w:val="es-ES"/>
        </w:rPr>
        <w:t xml:space="preserve"> </w:t>
      </w:r>
      <w:r w:rsidRPr="00F32420">
        <w:rPr>
          <w:lang w:val="es-ES"/>
        </w:rPr>
        <w:t>En base de los esquemas de certificación elegidos, la autoridad debe desarrollar un sistema de certificación de la conformidad de los productos, basado en los lineamientos definidos en ISO/IEC 17067</w:t>
      </w:r>
      <w:r>
        <w:rPr>
          <w:lang w:val="es-ES"/>
        </w:rPr>
        <w:t xml:space="preserve">, </w:t>
      </w:r>
      <w:r w:rsidRPr="00F32420">
        <w:rPr>
          <w:lang w:val="es-ES"/>
        </w:rPr>
        <w:t>en concordancia con el marco legal e institucional de Panamá.</w:t>
      </w:r>
      <w:r w:rsidR="00482555">
        <w:rPr>
          <w:rStyle w:val="FootnoteReference"/>
        </w:rPr>
        <w:footnoteReference w:id="112"/>
      </w:r>
      <w:r w:rsidRPr="00F32420">
        <w:rPr>
          <w:lang w:val="es-ES"/>
        </w:rPr>
        <w:t xml:space="preserve"> </w:t>
      </w:r>
    </w:p>
    <w:p w14:paraId="4F55848A" w14:textId="69F59060" w:rsidR="00482555" w:rsidRDefault="003B1FE8" w:rsidP="00F32420">
      <w:pPr>
        <w:pStyle w:val="BodyText"/>
        <w:rPr>
          <w:lang w:val="es-ES"/>
        </w:rPr>
      </w:pPr>
      <w:r>
        <w:rPr>
          <w:lang w:val="es-ES"/>
        </w:rPr>
        <w:t>Con respecto al etiquetado energético se recomienda – por razones de consistencia de diseño con las etiquetas energéticas panameñas ya existentes – orientarse a la etiqueta “</w:t>
      </w:r>
      <w:r w:rsidRPr="00F16FBA">
        <w:rPr>
          <w:i/>
          <w:lang w:val="es-ES"/>
        </w:rPr>
        <w:t>Lighting facts</w:t>
      </w:r>
      <w:r>
        <w:rPr>
          <w:lang w:val="es-ES"/>
        </w:rPr>
        <w:t xml:space="preserve">” de EE.UU. Sin embargo, se recomienda también revisar detalles con respecto a (i) la inclusión de </w:t>
      </w:r>
      <w:r>
        <w:rPr>
          <w:lang w:val="es-ES"/>
        </w:rPr>
        <w:lastRenderedPageBreak/>
        <w:t>información en la etiqueta y (ii) la opción de imprimir información adicional para el consumidor en el embalaje de la lámpara.</w:t>
      </w:r>
    </w:p>
    <w:p w14:paraId="0CB0AAFD" w14:textId="4FB8B912" w:rsidR="003B1FE8" w:rsidRDefault="003B1FE8" w:rsidP="00F32420">
      <w:pPr>
        <w:pStyle w:val="BodyText"/>
        <w:rPr>
          <w:lang w:val="es-ES"/>
        </w:rPr>
      </w:pPr>
      <w:r>
        <w:rPr>
          <w:lang w:val="es-ES"/>
        </w:rPr>
        <w:t>La implementación de estas recomendaciones resultará en la alineación con normas y reglamentos de referencia</w:t>
      </w:r>
      <w:r w:rsidR="00D25CF6">
        <w:rPr>
          <w:lang w:val="es-ES"/>
        </w:rPr>
        <w:t>, de acuerdo a las siguientes dimensiones o ejes</w:t>
      </w:r>
      <w:r>
        <w:rPr>
          <w:lang w:val="es-ES"/>
        </w:rPr>
        <w:t>:</w:t>
      </w:r>
    </w:p>
    <w:p w14:paraId="1BFAD7C8" w14:textId="305BD9F8" w:rsidR="003B1FE8" w:rsidRDefault="003B1FE8" w:rsidP="000A4521">
      <w:pPr>
        <w:pStyle w:val="BodyText"/>
        <w:numPr>
          <w:ilvl w:val="0"/>
          <w:numId w:val="45"/>
        </w:numPr>
        <w:rPr>
          <w:lang w:val="es-ES"/>
        </w:rPr>
      </w:pPr>
      <w:r>
        <w:rPr>
          <w:lang w:val="es-ES"/>
        </w:rPr>
        <w:t>Los índices de desempeño energético mínimo propuestos significarán un acercamiento a los límites existentes o en estudio en EE.UU., la Unión Europea y México.</w:t>
      </w:r>
    </w:p>
    <w:p w14:paraId="7CCE00DE" w14:textId="5280B110" w:rsidR="00D25CF6" w:rsidRDefault="00D25CF6" w:rsidP="000A4521">
      <w:pPr>
        <w:pStyle w:val="BodyText"/>
        <w:numPr>
          <w:ilvl w:val="0"/>
          <w:numId w:val="45"/>
        </w:numPr>
        <w:rPr>
          <w:lang w:val="es-ES"/>
        </w:rPr>
      </w:pPr>
      <w:r>
        <w:rPr>
          <w:lang w:val="es-ES"/>
        </w:rPr>
        <w:t xml:space="preserve">En el ámbito de las normas de medición (métodos de prueba) se recomienda tomar en consideración la homologación de las normas internacionales IEC como normas DGNTI-COPANIT, siempre y cuando el número de normas, comparado con la cantidad de normas NMX correspondientes, no </w:t>
      </w:r>
      <w:r w:rsidR="00656CAD">
        <w:rPr>
          <w:lang w:val="es-ES"/>
        </w:rPr>
        <w:t xml:space="preserve">resulte </w:t>
      </w:r>
      <w:r>
        <w:rPr>
          <w:lang w:val="es-ES"/>
        </w:rPr>
        <w:t>prohibitivo.</w:t>
      </w:r>
    </w:p>
    <w:p w14:paraId="7CDCFE67" w14:textId="0E3558DC" w:rsidR="000A4521" w:rsidRDefault="00D25CF6" w:rsidP="000A4521">
      <w:pPr>
        <w:pStyle w:val="BodyText"/>
        <w:numPr>
          <w:ilvl w:val="0"/>
          <w:numId w:val="45"/>
        </w:numPr>
        <w:rPr>
          <w:lang w:val="es-ES"/>
        </w:rPr>
      </w:pPr>
      <w:r>
        <w:rPr>
          <w:lang w:val="es-ES"/>
        </w:rPr>
        <w:t xml:space="preserve">Con respecto a los procedimientos de la conformidad, se recomienda </w:t>
      </w:r>
      <w:r w:rsidR="000A4521">
        <w:rPr>
          <w:lang w:val="es-ES"/>
        </w:rPr>
        <w:t>desarrollar un sistema basado en los esquem</w:t>
      </w:r>
      <w:r w:rsidR="0093540A">
        <w:rPr>
          <w:lang w:val="es-ES"/>
        </w:rPr>
        <w:t>a</w:t>
      </w:r>
      <w:r w:rsidR="000A4521">
        <w:rPr>
          <w:lang w:val="es-ES"/>
        </w:rPr>
        <w:t>s 3 y/o 5 de la norma ISO/IEC 17067.</w:t>
      </w:r>
    </w:p>
    <w:p w14:paraId="5B2CE3F2" w14:textId="2E1586F5" w:rsidR="000A4521" w:rsidRDefault="000A4521" w:rsidP="000A4521">
      <w:pPr>
        <w:pStyle w:val="BodyText"/>
        <w:numPr>
          <w:ilvl w:val="0"/>
          <w:numId w:val="45"/>
        </w:numPr>
        <w:rPr>
          <w:lang w:val="es-ES"/>
        </w:rPr>
      </w:pPr>
      <w:r>
        <w:rPr>
          <w:lang w:val="es-ES"/>
        </w:rPr>
        <w:t xml:space="preserve">La etiqueta </w:t>
      </w:r>
      <w:r w:rsidR="00656CAD">
        <w:rPr>
          <w:lang w:val="es-ES"/>
        </w:rPr>
        <w:t>energética</w:t>
      </w:r>
      <w:r>
        <w:rPr>
          <w:lang w:val="es-ES"/>
        </w:rPr>
        <w:t xml:space="preserve"> para lámparas debe orientarse al diseño y – con modificaciones – los contenidos de la etiqueta “</w:t>
      </w:r>
      <w:r w:rsidRPr="00F16FBA">
        <w:rPr>
          <w:i/>
          <w:lang w:val="es-ES"/>
        </w:rPr>
        <w:t>Lighting facts</w:t>
      </w:r>
      <w:r>
        <w:rPr>
          <w:lang w:val="es-ES"/>
        </w:rPr>
        <w:t>” de EE.UU.</w:t>
      </w:r>
    </w:p>
    <w:p w14:paraId="57DB64E9" w14:textId="0AE73E2C" w:rsidR="00D25CF6" w:rsidRPr="000A4521" w:rsidRDefault="000A4521" w:rsidP="000A4521">
      <w:pPr>
        <w:pStyle w:val="BodyText"/>
        <w:rPr>
          <w:lang w:val="es-ES"/>
        </w:rPr>
      </w:pPr>
      <w:r>
        <w:rPr>
          <w:lang w:val="es-ES"/>
        </w:rPr>
        <w:t>Se recomienda elaborar documentos separados de reglamento(s) técnico(s)</w:t>
      </w:r>
      <w:r w:rsidR="0093540A">
        <w:rPr>
          <w:lang w:val="es-ES"/>
        </w:rPr>
        <w:t xml:space="preserve"> y de normas técnicas</w:t>
      </w:r>
      <w:r>
        <w:rPr>
          <w:lang w:val="es-ES"/>
        </w:rPr>
        <w:t xml:space="preserve">. Mientras que el </w:t>
      </w:r>
      <w:r w:rsidRPr="000A4521">
        <w:rPr>
          <w:lang w:val="es-ES"/>
        </w:rPr>
        <w:t xml:space="preserve">reglamento técnico debe incluir </w:t>
      </w:r>
      <w:r w:rsidR="00656CAD" w:rsidRPr="000A4521">
        <w:rPr>
          <w:lang w:val="es-ES"/>
        </w:rPr>
        <w:t>varios tipos</w:t>
      </w:r>
      <w:r w:rsidRPr="000A4521">
        <w:rPr>
          <w:lang w:val="es-ES"/>
        </w:rPr>
        <w:t xml:space="preserve"> de lámparas, los métodos de prueba deben incluirse en normas técnicas específicas para cada tecnología</w:t>
      </w:r>
      <w:r>
        <w:rPr>
          <w:lang w:val="es-ES"/>
        </w:rPr>
        <w:t xml:space="preserve">. </w:t>
      </w:r>
      <w:r w:rsidRPr="000A4521">
        <w:rPr>
          <w:lang w:val="es-ES"/>
        </w:rPr>
        <w:t>El RT debe incluir los límites de desempeño energético mínimo y las estipulaciones de etiquet</w:t>
      </w:r>
      <w:r w:rsidR="006A67E5">
        <w:rPr>
          <w:lang w:val="es-ES"/>
        </w:rPr>
        <w:t>ad</w:t>
      </w:r>
      <w:r w:rsidRPr="000A4521">
        <w:rPr>
          <w:lang w:val="es-ES"/>
        </w:rPr>
        <w:t>o y de la evaluación de la conformidad, mientras que los NTs deben incluir los métodos de prueba para cada tipo de lámpara</w:t>
      </w:r>
      <w:r>
        <w:rPr>
          <w:lang w:val="es-ES"/>
        </w:rPr>
        <w:t xml:space="preserve">, abarcando tanto la eficacia luminosa como los </w:t>
      </w:r>
      <w:r w:rsidRPr="000A4521">
        <w:rPr>
          <w:lang w:val="es-ES"/>
        </w:rPr>
        <w:t>parámetros de funcionalidad de las lámparas</w:t>
      </w:r>
      <w:r>
        <w:rPr>
          <w:lang w:val="es-ES"/>
        </w:rPr>
        <w:t>.</w:t>
      </w:r>
    </w:p>
    <w:p w14:paraId="29F55628" w14:textId="77777777" w:rsidR="00755057" w:rsidRDefault="00755057" w:rsidP="00B755C5">
      <w:pPr>
        <w:pStyle w:val="BodyText"/>
        <w:rPr>
          <w:lang w:val="es-ES"/>
        </w:rPr>
      </w:pPr>
    </w:p>
    <w:p w14:paraId="4E380704" w14:textId="77777777" w:rsidR="00755057" w:rsidRDefault="00755057" w:rsidP="00B755C5">
      <w:pPr>
        <w:pStyle w:val="BodyText"/>
        <w:rPr>
          <w:lang w:val="es-ES"/>
        </w:rPr>
      </w:pPr>
    </w:p>
    <w:p w14:paraId="0D998289" w14:textId="77777777" w:rsidR="006C65E8" w:rsidRDefault="006C65E8" w:rsidP="00B755C5">
      <w:pPr>
        <w:pStyle w:val="BodyText"/>
        <w:rPr>
          <w:lang w:val="es-ES"/>
        </w:rPr>
      </w:pPr>
    </w:p>
    <w:p w14:paraId="31D6D1F0" w14:textId="77777777" w:rsidR="00D231EE" w:rsidRDefault="00D231EE" w:rsidP="00B755C5">
      <w:pPr>
        <w:pStyle w:val="BodyText"/>
        <w:rPr>
          <w:lang w:val="es-ES"/>
        </w:rPr>
      </w:pPr>
    </w:p>
    <w:p w14:paraId="7BC5B35E" w14:textId="4F4D557B" w:rsidR="00D231EE" w:rsidRDefault="00D231EE" w:rsidP="00B755C5">
      <w:pPr>
        <w:pStyle w:val="BodyText"/>
        <w:rPr>
          <w:lang w:val="es-ES"/>
        </w:rPr>
      </w:pPr>
    </w:p>
    <w:p w14:paraId="64D523FA" w14:textId="77777777" w:rsidR="00D231EE" w:rsidRDefault="00D231EE" w:rsidP="00B755C5">
      <w:pPr>
        <w:pStyle w:val="BodyText"/>
        <w:rPr>
          <w:lang w:val="es-ES"/>
        </w:rPr>
      </w:pPr>
    </w:p>
    <w:p w14:paraId="58D9EF9E" w14:textId="77777777" w:rsidR="00A72821" w:rsidRDefault="00A72821" w:rsidP="00B755C5">
      <w:pPr>
        <w:pStyle w:val="BodyText"/>
        <w:rPr>
          <w:lang w:val="es-ES"/>
        </w:rPr>
      </w:pPr>
    </w:p>
    <w:p w14:paraId="76614AED" w14:textId="13E4AD4D" w:rsidR="00F4215C" w:rsidRDefault="00F4215C" w:rsidP="00B755C5">
      <w:pPr>
        <w:pStyle w:val="BodyText"/>
        <w:rPr>
          <w:lang w:val="es-ES"/>
        </w:rPr>
      </w:pPr>
    </w:p>
    <w:p w14:paraId="46D92E20" w14:textId="77777777" w:rsidR="00F4215C" w:rsidRDefault="00F4215C" w:rsidP="00B755C5">
      <w:pPr>
        <w:pStyle w:val="BodyText"/>
        <w:rPr>
          <w:lang w:val="es-ES"/>
        </w:rPr>
      </w:pPr>
    </w:p>
    <w:p w14:paraId="61C33ED4" w14:textId="69771255" w:rsidR="0082491A" w:rsidRPr="00316DB7" w:rsidRDefault="0082491A" w:rsidP="005D487F">
      <w:pPr>
        <w:pStyle w:val="Heading1"/>
        <w:numPr>
          <w:ilvl w:val="0"/>
          <w:numId w:val="0"/>
        </w:numPr>
        <w:rPr>
          <w:lang w:val="es-ES"/>
        </w:rPr>
      </w:pPr>
      <w:bookmarkStart w:id="68" w:name="_Toc454792363"/>
      <w:bookmarkStart w:id="69" w:name="_Toc462159569"/>
      <w:bookmarkStart w:id="70" w:name="_Toc463091836"/>
      <w:bookmarkStart w:id="71" w:name="_Toc465707878"/>
      <w:bookmarkStart w:id="72" w:name="_Toc516146037"/>
      <w:r w:rsidRPr="00316DB7">
        <w:rPr>
          <w:lang w:val="es-ES"/>
        </w:rPr>
        <w:lastRenderedPageBreak/>
        <w:t xml:space="preserve">Anexo 1 – </w:t>
      </w:r>
      <w:bookmarkEnd w:id="68"/>
      <w:bookmarkEnd w:id="69"/>
      <w:bookmarkEnd w:id="70"/>
      <w:r w:rsidR="005D487F">
        <w:rPr>
          <w:lang w:val="es-ES"/>
        </w:rPr>
        <w:t>Términos de Referencia</w:t>
      </w:r>
      <w:bookmarkEnd w:id="71"/>
      <w:bookmarkEnd w:id="72"/>
    </w:p>
    <w:p w14:paraId="7D5508D8" w14:textId="22987463" w:rsidR="003419DB" w:rsidRDefault="003419DB" w:rsidP="00AB61EC">
      <w:pPr>
        <w:pStyle w:val="ListParagraph"/>
        <w:suppressAutoHyphens w:val="0"/>
        <w:ind w:left="0"/>
        <w:rPr>
          <w:lang w:val="es-ES"/>
        </w:rPr>
      </w:pPr>
    </w:p>
    <w:bookmarkStart w:id="73" w:name="_MON_1580133403"/>
    <w:bookmarkEnd w:id="73"/>
    <w:p w14:paraId="4DB5CAA9" w14:textId="4AF71489" w:rsidR="00095C8D" w:rsidRDefault="00095C8D" w:rsidP="00AB61EC">
      <w:pPr>
        <w:pStyle w:val="ListParagraph"/>
        <w:suppressAutoHyphens w:val="0"/>
        <w:ind w:left="0"/>
        <w:rPr>
          <w:lang w:val="es-ES"/>
        </w:rPr>
      </w:pPr>
      <w:r>
        <w:rPr>
          <w:lang w:val="es-ES"/>
        </w:rPr>
        <w:object w:dxaOrig="1534" w:dyaOrig="997" w14:anchorId="03DBB0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05pt;height:51.25pt" o:ole="">
            <v:imagedata r:id="rId34" o:title=""/>
          </v:shape>
          <o:OLEObject Type="Embed" ProgID="Word.Document.12" ShapeID="_x0000_i1025" DrawAspect="Icon" ObjectID="_1606116735" r:id="rId35">
            <o:FieldCodes>\s</o:FieldCodes>
          </o:OLEObject>
        </w:object>
      </w:r>
    </w:p>
    <w:p w14:paraId="5431FBCA" w14:textId="77777777" w:rsidR="003419DB" w:rsidRDefault="003419DB" w:rsidP="00AB61EC">
      <w:pPr>
        <w:pStyle w:val="ListParagraph"/>
        <w:suppressAutoHyphens w:val="0"/>
        <w:ind w:left="0"/>
        <w:rPr>
          <w:lang w:val="es-ES"/>
        </w:rPr>
      </w:pPr>
    </w:p>
    <w:p w14:paraId="00EC0DB0" w14:textId="77777777" w:rsidR="003419DB" w:rsidRDefault="003419DB" w:rsidP="00AB61EC">
      <w:pPr>
        <w:pStyle w:val="ListParagraph"/>
        <w:suppressAutoHyphens w:val="0"/>
        <w:ind w:left="0"/>
        <w:rPr>
          <w:lang w:val="es-ES"/>
        </w:rPr>
      </w:pPr>
    </w:p>
    <w:p w14:paraId="5934A8F8" w14:textId="77777777" w:rsidR="00E265A9" w:rsidRDefault="00E265A9">
      <w:pPr>
        <w:suppressAutoHyphens w:val="0"/>
        <w:rPr>
          <w:lang w:val="es-ES"/>
        </w:rPr>
      </w:pPr>
      <w:r>
        <w:rPr>
          <w:lang w:val="es-ES"/>
        </w:rPr>
        <w:br w:type="page"/>
      </w:r>
    </w:p>
    <w:p w14:paraId="2C7686AF" w14:textId="6AC21A14" w:rsidR="00E265A9" w:rsidRPr="00316DB7" w:rsidRDefault="00E265A9" w:rsidP="00E265A9">
      <w:pPr>
        <w:pStyle w:val="Heading1"/>
        <w:numPr>
          <w:ilvl w:val="0"/>
          <w:numId w:val="0"/>
        </w:numPr>
        <w:rPr>
          <w:lang w:val="es-ES"/>
        </w:rPr>
      </w:pPr>
      <w:bookmarkStart w:id="74" w:name="_Toc516146038"/>
      <w:r w:rsidRPr="00316DB7">
        <w:rPr>
          <w:lang w:val="es-ES"/>
        </w:rPr>
        <w:t xml:space="preserve">Anexo </w:t>
      </w:r>
      <w:r>
        <w:rPr>
          <w:lang w:val="es-ES"/>
        </w:rPr>
        <w:t>2</w:t>
      </w:r>
      <w:r w:rsidRPr="00316DB7">
        <w:rPr>
          <w:lang w:val="es-ES"/>
        </w:rPr>
        <w:t xml:space="preserve"> – </w:t>
      </w:r>
      <w:r w:rsidR="00E2630F">
        <w:rPr>
          <w:lang w:val="es-ES"/>
        </w:rPr>
        <w:t>P</w:t>
      </w:r>
      <w:r w:rsidR="00E2630F" w:rsidRPr="00E2630F">
        <w:rPr>
          <w:lang w:val="es-ES"/>
        </w:rPr>
        <w:t>resentaci</w:t>
      </w:r>
      <w:r w:rsidR="00BF0896">
        <w:rPr>
          <w:lang w:val="es-ES"/>
        </w:rPr>
        <w:t>o</w:t>
      </w:r>
      <w:r w:rsidR="00E2630F" w:rsidRPr="00E2630F">
        <w:rPr>
          <w:lang w:val="es-ES"/>
        </w:rPr>
        <w:t>n</w:t>
      </w:r>
      <w:r w:rsidR="00BF0896">
        <w:rPr>
          <w:lang w:val="es-ES"/>
        </w:rPr>
        <w:t>es</w:t>
      </w:r>
      <w:r w:rsidR="00E2630F" w:rsidRPr="00E2630F">
        <w:rPr>
          <w:lang w:val="es-ES"/>
        </w:rPr>
        <w:t xml:space="preserve"> "Normas de desempeño energético mínimo para productos de iluminación"</w:t>
      </w:r>
      <w:r w:rsidR="00F87425">
        <w:rPr>
          <w:lang w:val="es-ES"/>
        </w:rPr>
        <w:t xml:space="preserve"> </w:t>
      </w:r>
      <w:r w:rsidR="00F87425" w:rsidRPr="00F87425">
        <w:rPr>
          <w:lang w:val="es-ES"/>
        </w:rPr>
        <w:t>–</w:t>
      </w:r>
      <w:r w:rsidR="00E2630F" w:rsidRPr="00E2630F">
        <w:rPr>
          <w:lang w:val="es-ES"/>
        </w:rPr>
        <w:t xml:space="preserve"> </w:t>
      </w:r>
      <w:r w:rsidR="00E2630F">
        <w:rPr>
          <w:lang w:val="es-ES"/>
        </w:rPr>
        <w:t>diciembre 2017</w:t>
      </w:r>
      <w:r w:rsidR="00305517">
        <w:rPr>
          <w:lang w:val="es-ES"/>
        </w:rPr>
        <w:t xml:space="preserve"> y marzo 2018</w:t>
      </w:r>
      <w:bookmarkEnd w:id="74"/>
    </w:p>
    <w:p w14:paraId="62D04F2A" w14:textId="77777777" w:rsidR="00BF0896" w:rsidRDefault="00BF0896" w:rsidP="00AB61EC">
      <w:pPr>
        <w:pStyle w:val="ListParagraph"/>
        <w:suppressAutoHyphens w:val="0"/>
        <w:ind w:left="0"/>
        <w:rPr>
          <w:lang w:val="es-ES"/>
        </w:rPr>
      </w:pPr>
    </w:p>
    <w:p w14:paraId="1A535A99" w14:textId="2326C5E2" w:rsidR="00F87425" w:rsidRDefault="00D27955" w:rsidP="00AB61EC">
      <w:pPr>
        <w:pStyle w:val="ListParagraph"/>
        <w:suppressAutoHyphens w:val="0"/>
        <w:ind w:left="0"/>
        <w:rPr>
          <w:lang w:val="es-ES"/>
        </w:rPr>
      </w:pPr>
      <w:r>
        <w:rPr>
          <w:lang w:val="es-ES"/>
        </w:rPr>
        <w:object w:dxaOrig="1534" w:dyaOrig="997" w14:anchorId="218231CA">
          <v:shape id="_x0000_i1026" type="#_x0000_t75" style="width:76.05pt;height:51.25pt" o:ole="">
            <v:imagedata r:id="rId36" o:title=""/>
          </v:shape>
          <o:OLEObject Type="Embed" ProgID="PowerPoint.Show.12" ShapeID="_x0000_i1026" DrawAspect="Icon" ObjectID="_1606116736" r:id="rId37"/>
        </w:object>
      </w:r>
    </w:p>
    <w:p w14:paraId="041FB938" w14:textId="77777777" w:rsidR="00E207A9" w:rsidRDefault="00E207A9">
      <w:pPr>
        <w:suppressAutoHyphens w:val="0"/>
        <w:rPr>
          <w:lang w:val="es-ES"/>
        </w:rPr>
      </w:pPr>
    </w:p>
    <w:p w14:paraId="486FA2B6" w14:textId="5FE24952" w:rsidR="00F87425" w:rsidRDefault="00E207A9">
      <w:pPr>
        <w:suppressAutoHyphens w:val="0"/>
        <w:rPr>
          <w:lang w:val="es-ES"/>
        </w:rPr>
      </w:pPr>
      <w:r>
        <w:rPr>
          <w:lang w:val="es-ES"/>
        </w:rPr>
        <w:object w:dxaOrig="1534" w:dyaOrig="997" w14:anchorId="0723ABEE">
          <v:shape id="_x0000_i1027" type="#_x0000_t75" style="width:76.05pt;height:51.25pt" o:ole="">
            <v:imagedata r:id="rId38" o:title=""/>
          </v:shape>
          <o:OLEObject Type="Embed" ProgID="PowerPoint.Show.12" ShapeID="_x0000_i1027" DrawAspect="Icon" ObjectID="_1606116737" r:id="rId39"/>
        </w:object>
      </w:r>
      <w:r w:rsidR="00F87425">
        <w:rPr>
          <w:lang w:val="es-ES"/>
        </w:rPr>
        <w:br w:type="page"/>
      </w:r>
    </w:p>
    <w:p w14:paraId="4C2F00F6" w14:textId="55D85D93" w:rsidR="00F87425" w:rsidRPr="00316DB7" w:rsidRDefault="00F87425" w:rsidP="00F87425">
      <w:pPr>
        <w:pStyle w:val="Heading1"/>
        <w:numPr>
          <w:ilvl w:val="0"/>
          <w:numId w:val="0"/>
        </w:numPr>
        <w:rPr>
          <w:lang w:val="es-ES"/>
        </w:rPr>
      </w:pPr>
      <w:bookmarkStart w:id="75" w:name="_Toc516146039"/>
      <w:r w:rsidRPr="00316DB7">
        <w:rPr>
          <w:lang w:val="es-ES"/>
        </w:rPr>
        <w:t xml:space="preserve">Anexo </w:t>
      </w:r>
      <w:r>
        <w:rPr>
          <w:lang w:val="es-ES"/>
        </w:rPr>
        <w:t>3</w:t>
      </w:r>
      <w:r w:rsidRPr="00316DB7">
        <w:rPr>
          <w:lang w:val="es-ES"/>
        </w:rPr>
        <w:t xml:space="preserve"> – </w:t>
      </w:r>
      <w:r>
        <w:rPr>
          <w:lang w:val="es-ES"/>
        </w:rPr>
        <w:t xml:space="preserve">Límites de desempeño energético para lámparas seleccionadas </w:t>
      </w:r>
      <w:r w:rsidRPr="00F87425">
        <w:rPr>
          <w:lang w:val="es-ES"/>
        </w:rPr>
        <w:t>–</w:t>
      </w:r>
      <w:r>
        <w:rPr>
          <w:lang w:val="es-ES"/>
        </w:rPr>
        <w:t xml:space="preserve"> EE.UU.</w:t>
      </w:r>
      <w:bookmarkEnd w:id="75"/>
    </w:p>
    <w:p w14:paraId="3764C037" w14:textId="77777777" w:rsidR="00F87425" w:rsidRDefault="00F87425" w:rsidP="00AB61EC">
      <w:pPr>
        <w:pStyle w:val="ListParagraph"/>
        <w:suppressAutoHyphens w:val="0"/>
        <w:ind w:left="0"/>
        <w:rPr>
          <w:lang w:val="es-ES"/>
        </w:rPr>
      </w:pPr>
    </w:p>
    <w:p w14:paraId="2A5D098B" w14:textId="2B2992A9" w:rsidR="00F87425" w:rsidRDefault="00F87425" w:rsidP="00F87425">
      <w:pPr>
        <w:pStyle w:val="Caption"/>
        <w:spacing w:after="0"/>
        <w:rPr>
          <w:lang w:val="es-ES"/>
        </w:rPr>
      </w:pPr>
      <w:r w:rsidRPr="00F87425">
        <w:rPr>
          <w:lang w:val="es-ES"/>
        </w:rPr>
        <w:t xml:space="preserve">10 CFR 430.32(x)(1): </w:t>
      </w:r>
      <w:r w:rsidRPr="00387BD7">
        <w:rPr>
          <w:lang w:val="es-ES"/>
        </w:rPr>
        <w:t>Lámparas</w:t>
      </w:r>
      <w:r w:rsidRPr="00F87425">
        <w:rPr>
          <w:lang w:val="es-ES"/>
        </w:rPr>
        <w:t xml:space="preserve"> incandescentes para uso general</w:t>
      </w:r>
    </w:p>
    <w:p w14:paraId="4E43EB04" w14:textId="7F343C69" w:rsidR="00F87425" w:rsidRPr="00A96F74" w:rsidRDefault="00F87425" w:rsidP="00F87425">
      <w:pPr>
        <w:spacing w:before="0" w:after="140"/>
        <w:jc w:val="center"/>
        <w:rPr>
          <w:color w:val="002B7F"/>
          <w:lang w:val="es-ES"/>
        </w:rPr>
      </w:pPr>
      <w:r w:rsidRPr="00A96F74">
        <w:rPr>
          <w:i/>
          <w:color w:val="002B7F"/>
          <w:sz w:val="18"/>
          <w:lang w:val="es-ES"/>
        </w:rPr>
        <w:t>Fuente:</w:t>
      </w:r>
      <w:r w:rsidRPr="00E2630F">
        <w:rPr>
          <w:lang w:val="es-ES"/>
        </w:rPr>
        <w:t xml:space="preserve"> </w:t>
      </w:r>
      <w:r w:rsidRPr="00E2630F">
        <w:rPr>
          <w:rFonts w:cstheme="minorHAnsi"/>
          <w:color w:val="002B7F"/>
          <w:sz w:val="18"/>
          <w:lang w:val="es-PA"/>
        </w:rPr>
        <w:t>Elaboración propia en base de e-CFR §430.32</w:t>
      </w:r>
      <w:r>
        <w:rPr>
          <w:rFonts w:cstheme="minorHAnsi"/>
          <w:color w:val="002B7F"/>
          <w:sz w:val="18"/>
          <w:lang w:val="es-PA"/>
        </w:rPr>
        <w:t>(x)(1)</w:t>
      </w:r>
    </w:p>
    <w:tbl>
      <w:tblPr>
        <w:tblW w:w="5084" w:type="pct"/>
        <w:jc w:val="center"/>
        <w:tblCellMar>
          <w:left w:w="10" w:type="dxa"/>
          <w:right w:w="10" w:type="dxa"/>
        </w:tblCellMar>
        <w:tblLook w:val="0000" w:firstRow="0" w:lastRow="0" w:firstColumn="0" w:lastColumn="0" w:noHBand="0" w:noVBand="0"/>
      </w:tblPr>
      <w:tblGrid>
        <w:gridCol w:w="2969"/>
        <w:gridCol w:w="2693"/>
        <w:gridCol w:w="2977"/>
      </w:tblGrid>
      <w:tr w:rsidR="00F87425" w:rsidRPr="00914127" w14:paraId="48697109" w14:textId="77777777" w:rsidTr="00775B8B">
        <w:trPr>
          <w:jc w:val="center"/>
        </w:trPr>
        <w:tc>
          <w:tcPr>
            <w:tcW w:w="2969"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462C8A4A" w14:textId="4B679DD5" w:rsidR="00F87425" w:rsidRPr="00F87425" w:rsidRDefault="00F87425" w:rsidP="00F87425">
            <w:pPr>
              <w:suppressAutoHyphens w:val="0"/>
              <w:spacing w:before="0" w:after="0"/>
              <w:jc w:val="center"/>
              <w:textAlignment w:val="auto"/>
              <w:rPr>
                <w:rFonts w:eastAsia="Times New Roman"/>
                <w:b/>
                <w:color w:val="FFFFFF" w:themeColor="background1"/>
                <w:lang w:val="es-ES"/>
              </w:rPr>
            </w:pPr>
            <w:r w:rsidRPr="00F87425">
              <w:rPr>
                <w:rFonts w:eastAsia="Times New Roman"/>
                <w:b/>
                <w:color w:val="FFFFFF" w:themeColor="background1"/>
                <w:lang w:val="es-ES"/>
              </w:rPr>
              <w:t>Rango nominal flujo luminoso (lm)</w:t>
            </w:r>
          </w:p>
        </w:tc>
        <w:tc>
          <w:tcPr>
            <w:tcW w:w="2693" w:type="dxa"/>
            <w:tcBorders>
              <w:top w:val="single" w:sz="6" w:space="0" w:color="5B9BD5"/>
              <w:bottom w:val="single" w:sz="6" w:space="0" w:color="5B9BD5"/>
            </w:tcBorders>
            <w:shd w:val="clear" w:color="auto" w:fill="5B9BD5"/>
            <w:tcMar>
              <w:top w:w="0" w:type="dxa"/>
              <w:left w:w="108" w:type="dxa"/>
              <w:bottom w:w="0" w:type="dxa"/>
              <w:right w:w="108" w:type="dxa"/>
            </w:tcMar>
          </w:tcPr>
          <w:p w14:paraId="35C21844" w14:textId="79AF70D0" w:rsidR="00F87425" w:rsidRPr="00F87425" w:rsidRDefault="00F87425" w:rsidP="00F87425">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Potencia nominal máxima (W)</w:t>
            </w:r>
          </w:p>
        </w:tc>
        <w:tc>
          <w:tcPr>
            <w:tcW w:w="2977" w:type="dxa"/>
            <w:tcBorders>
              <w:top w:val="single" w:sz="6" w:space="0" w:color="5B9BD5"/>
              <w:bottom w:val="single" w:sz="6" w:space="0" w:color="5B9BD5"/>
            </w:tcBorders>
            <w:shd w:val="clear" w:color="auto" w:fill="5B9BD5"/>
            <w:tcMar>
              <w:top w:w="0" w:type="dxa"/>
              <w:left w:w="108" w:type="dxa"/>
              <w:bottom w:w="0" w:type="dxa"/>
              <w:right w:w="108" w:type="dxa"/>
            </w:tcMar>
          </w:tcPr>
          <w:p w14:paraId="7229CB4E" w14:textId="68F2ED5E" w:rsidR="00F87425" w:rsidRPr="00F87425" w:rsidRDefault="00F87425" w:rsidP="00F87425">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Rango de eficacia mínima (lm/W)</w:t>
            </w:r>
          </w:p>
        </w:tc>
      </w:tr>
      <w:tr w:rsidR="00F87425" w:rsidRPr="00F87425" w14:paraId="397652B8" w14:textId="77777777" w:rsidTr="00775B8B">
        <w:trPr>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65AE73E" w14:textId="5E204524" w:rsidR="00F87425" w:rsidRPr="00F87425" w:rsidRDefault="00F87425" w:rsidP="007777AE">
            <w:pPr>
              <w:suppressAutoHyphens w:val="0"/>
              <w:spacing w:before="0" w:after="0"/>
              <w:jc w:val="center"/>
              <w:textAlignment w:val="auto"/>
              <w:rPr>
                <w:rFonts w:eastAsia="Times New Roman"/>
                <w:lang w:val="es-ES"/>
              </w:rPr>
            </w:pPr>
            <w:r w:rsidRPr="00F87425">
              <w:rPr>
                <w:rFonts w:eastAsia="Times New Roman"/>
                <w:lang w:val="es-ES"/>
              </w:rPr>
              <w:t>310 – 749</w:t>
            </w:r>
          </w:p>
        </w:tc>
        <w:tc>
          <w:tcPr>
            <w:tcW w:w="269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86607F2" w14:textId="54641D1A" w:rsidR="00F87425" w:rsidRPr="00F87425" w:rsidRDefault="00F87425" w:rsidP="007777AE">
            <w:pPr>
              <w:suppressAutoHyphens w:val="0"/>
              <w:spacing w:before="0" w:after="0"/>
              <w:jc w:val="center"/>
              <w:textAlignment w:val="auto"/>
              <w:rPr>
                <w:rFonts w:eastAsia="Times New Roman"/>
                <w:lang w:val="es-ES"/>
              </w:rPr>
            </w:pPr>
            <w:r>
              <w:rPr>
                <w:rFonts w:eastAsia="Times New Roman"/>
                <w:lang w:val="es-ES"/>
              </w:rPr>
              <w:t>29</w:t>
            </w:r>
          </w:p>
        </w:tc>
        <w:tc>
          <w:tcPr>
            <w:tcW w:w="297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D4BA142" w14:textId="6EAF278C" w:rsidR="00F87425" w:rsidRPr="00F87425" w:rsidRDefault="00F87425" w:rsidP="007777AE">
            <w:pPr>
              <w:suppressAutoHyphens w:val="0"/>
              <w:spacing w:before="0" w:after="0"/>
              <w:jc w:val="center"/>
              <w:textAlignment w:val="auto"/>
              <w:rPr>
                <w:rFonts w:eastAsia="Times New Roman"/>
                <w:lang w:val="es-ES"/>
              </w:rPr>
            </w:pPr>
            <w:r w:rsidRPr="00F87425">
              <w:rPr>
                <w:rFonts w:eastAsia="Times New Roman"/>
                <w:lang w:val="es-ES"/>
              </w:rPr>
              <w:t>10</w:t>
            </w:r>
            <w:r w:rsidR="007777AE">
              <w:rPr>
                <w:rFonts w:eastAsia="Times New Roman"/>
                <w:lang w:val="es-ES"/>
              </w:rPr>
              <w:t>,</w:t>
            </w:r>
            <w:r w:rsidRPr="00F87425">
              <w:rPr>
                <w:rFonts w:eastAsia="Times New Roman"/>
                <w:lang w:val="es-ES"/>
              </w:rPr>
              <w:t>7 – 25</w:t>
            </w:r>
            <w:r w:rsidR="007777AE">
              <w:rPr>
                <w:rFonts w:eastAsia="Times New Roman"/>
                <w:lang w:val="es-ES"/>
              </w:rPr>
              <w:t>,</w:t>
            </w:r>
            <w:r w:rsidRPr="00F87425">
              <w:rPr>
                <w:rFonts w:eastAsia="Times New Roman"/>
                <w:lang w:val="es-ES"/>
              </w:rPr>
              <w:t>8</w:t>
            </w:r>
          </w:p>
        </w:tc>
      </w:tr>
      <w:tr w:rsidR="00F87425" w:rsidRPr="00F87425" w14:paraId="3890C90A" w14:textId="77777777" w:rsidTr="00775B8B">
        <w:trPr>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B502C59" w14:textId="42A61B59" w:rsidR="00F87425" w:rsidRPr="00F87425" w:rsidRDefault="00F87425" w:rsidP="007777AE">
            <w:pPr>
              <w:suppressAutoHyphens w:val="0"/>
              <w:spacing w:before="0" w:after="0"/>
              <w:jc w:val="center"/>
              <w:textAlignment w:val="auto"/>
              <w:rPr>
                <w:rFonts w:eastAsia="Times New Roman"/>
                <w:lang w:val="es-ES"/>
              </w:rPr>
            </w:pPr>
            <w:r w:rsidRPr="00F87425">
              <w:rPr>
                <w:rFonts w:eastAsia="Times New Roman"/>
                <w:lang w:val="es-ES"/>
              </w:rPr>
              <w:t>750 – 1049</w:t>
            </w:r>
          </w:p>
        </w:tc>
        <w:tc>
          <w:tcPr>
            <w:tcW w:w="2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DC1FB18" w14:textId="1FEF0C78" w:rsidR="00F87425" w:rsidRPr="00F87425" w:rsidRDefault="00F87425" w:rsidP="007777AE">
            <w:pPr>
              <w:suppressAutoHyphens w:val="0"/>
              <w:spacing w:before="0" w:after="0"/>
              <w:jc w:val="center"/>
              <w:textAlignment w:val="auto"/>
              <w:rPr>
                <w:rFonts w:eastAsia="Times New Roman"/>
                <w:lang w:val="es-ES"/>
              </w:rPr>
            </w:pPr>
            <w:r>
              <w:rPr>
                <w:rFonts w:eastAsia="Times New Roman"/>
                <w:lang w:val="es-ES"/>
              </w:rPr>
              <w:t>43</w:t>
            </w:r>
          </w:p>
        </w:tc>
        <w:tc>
          <w:tcPr>
            <w:tcW w:w="297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5CA9A5E" w14:textId="711F6A8B" w:rsidR="00F87425" w:rsidRPr="00F87425" w:rsidRDefault="00F87425" w:rsidP="007777AE">
            <w:pPr>
              <w:suppressAutoHyphens w:val="0"/>
              <w:spacing w:before="0" w:after="0"/>
              <w:jc w:val="center"/>
              <w:textAlignment w:val="auto"/>
              <w:rPr>
                <w:rFonts w:eastAsia="Times New Roman"/>
                <w:lang w:val="es-ES"/>
              </w:rPr>
            </w:pPr>
            <w:r w:rsidRPr="00F87425">
              <w:rPr>
                <w:rFonts w:eastAsia="Times New Roman"/>
                <w:lang w:val="es-ES"/>
              </w:rPr>
              <w:t>17</w:t>
            </w:r>
            <w:r w:rsidR="007777AE">
              <w:rPr>
                <w:rFonts w:eastAsia="Times New Roman"/>
                <w:lang w:val="es-ES"/>
              </w:rPr>
              <w:t>,</w:t>
            </w:r>
            <w:r w:rsidRPr="00F87425">
              <w:rPr>
                <w:rFonts w:eastAsia="Times New Roman"/>
                <w:lang w:val="es-ES"/>
              </w:rPr>
              <w:t>4 – 24</w:t>
            </w:r>
            <w:r w:rsidR="007777AE">
              <w:rPr>
                <w:rFonts w:eastAsia="Times New Roman"/>
                <w:lang w:val="es-ES"/>
              </w:rPr>
              <w:t>,</w:t>
            </w:r>
            <w:r w:rsidRPr="00F87425">
              <w:rPr>
                <w:rFonts w:eastAsia="Times New Roman"/>
                <w:lang w:val="es-ES"/>
              </w:rPr>
              <w:t>4</w:t>
            </w:r>
          </w:p>
        </w:tc>
      </w:tr>
      <w:tr w:rsidR="00F87425" w:rsidRPr="00F87425" w14:paraId="7071735F" w14:textId="77777777" w:rsidTr="00775B8B">
        <w:trPr>
          <w:trHeight w:val="242"/>
          <w:jc w:val="center"/>
        </w:trPr>
        <w:tc>
          <w:tcPr>
            <w:tcW w:w="2969"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257D43A6" w14:textId="0C8E062C" w:rsidR="00F87425" w:rsidRPr="00F87425" w:rsidRDefault="00F87425" w:rsidP="007777AE">
            <w:pPr>
              <w:suppressAutoHyphens w:val="0"/>
              <w:spacing w:before="0" w:after="0"/>
              <w:jc w:val="center"/>
              <w:textAlignment w:val="auto"/>
              <w:rPr>
                <w:rFonts w:eastAsia="Times New Roman"/>
                <w:lang w:val="es-ES"/>
              </w:rPr>
            </w:pPr>
            <w:r w:rsidRPr="00F87425">
              <w:rPr>
                <w:rFonts w:eastAsia="Times New Roman"/>
                <w:lang w:val="es-ES"/>
              </w:rPr>
              <w:t>1050 – 1489</w:t>
            </w:r>
          </w:p>
        </w:tc>
        <w:tc>
          <w:tcPr>
            <w:tcW w:w="2693"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519907ED" w14:textId="61E01278" w:rsidR="00F87425" w:rsidRPr="00F87425" w:rsidRDefault="00F87425" w:rsidP="007777AE">
            <w:pPr>
              <w:suppressAutoHyphens w:val="0"/>
              <w:spacing w:before="0" w:after="0"/>
              <w:jc w:val="center"/>
              <w:textAlignment w:val="auto"/>
              <w:rPr>
                <w:rFonts w:eastAsia="Times New Roman"/>
                <w:lang w:val="es-ES"/>
              </w:rPr>
            </w:pPr>
            <w:r>
              <w:rPr>
                <w:rFonts w:eastAsia="Times New Roman"/>
                <w:lang w:val="es-ES"/>
              </w:rPr>
              <w:t>53</w:t>
            </w:r>
          </w:p>
        </w:tc>
        <w:tc>
          <w:tcPr>
            <w:tcW w:w="2977"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76D1FA04" w14:textId="6A33FCD6" w:rsidR="00F87425" w:rsidRPr="00F87425" w:rsidRDefault="00F87425" w:rsidP="007777AE">
            <w:pPr>
              <w:suppressAutoHyphens w:val="0"/>
              <w:spacing w:before="0" w:after="0"/>
              <w:jc w:val="center"/>
              <w:textAlignment w:val="auto"/>
              <w:rPr>
                <w:rFonts w:eastAsia="Times New Roman"/>
                <w:lang w:val="es-ES"/>
              </w:rPr>
            </w:pPr>
            <w:r w:rsidRPr="00F87425">
              <w:rPr>
                <w:rFonts w:eastAsia="Times New Roman"/>
                <w:lang w:val="es-ES"/>
              </w:rPr>
              <w:t>19</w:t>
            </w:r>
            <w:r w:rsidR="007777AE">
              <w:rPr>
                <w:rFonts w:eastAsia="Times New Roman"/>
                <w:lang w:val="es-ES"/>
              </w:rPr>
              <w:t>,</w:t>
            </w:r>
            <w:r w:rsidRPr="00F87425">
              <w:rPr>
                <w:rFonts w:eastAsia="Times New Roman"/>
                <w:lang w:val="es-ES"/>
              </w:rPr>
              <w:t>8 – 28</w:t>
            </w:r>
            <w:r w:rsidR="007777AE">
              <w:rPr>
                <w:rFonts w:eastAsia="Times New Roman"/>
                <w:lang w:val="es-ES"/>
              </w:rPr>
              <w:t>,</w:t>
            </w:r>
            <w:r w:rsidRPr="00F87425">
              <w:rPr>
                <w:rFonts w:eastAsia="Times New Roman"/>
                <w:lang w:val="es-ES"/>
              </w:rPr>
              <w:t>1</w:t>
            </w:r>
          </w:p>
        </w:tc>
      </w:tr>
      <w:tr w:rsidR="00F87425" w:rsidRPr="00F87425" w14:paraId="37D37C28" w14:textId="77777777" w:rsidTr="00775B8B">
        <w:trPr>
          <w:trHeight w:val="276"/>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B63F088" w14:textId="7D0E9FD9" w:rsidR="00F87425" w:rsidRPr="00F87425" w:rsidRDefault="00F87425" w:rsidP="007777AE">
            <w:pPr>
              <w:suppressAutoHyphens w:val="0"/>
              <w:spacing w:before="0" w:after="0"/>
              <w:jc w:val="center"/>
              <w:textAlignment w:val="auto"/>
              <w:rPr>
                <w:rFonts w:eastAsia="Times New Roman"/>
                <w:lang w:val="es-ES"/>
              </w:rPr>
            </w:pPr>
            <w:r w:rsidRPr="00F87425">
              <w:rPr>
                <w:rFonts w:eastAsia="Times New Roman"/>
                <w:lang w:val="es-ES"/>
              </w:rPr>
              <w:t>1490 – 2600</w:t>
            </w:r>
          </w:p>
        </w:tc>
        <w:tc>
          <w:tcPr>
            <w:tcW w:w="2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40F7655" w14:textId="574BA280" w:rsidR="00F87425" w:rsidRPr="00F87425" w:rsidRDefault="00F87425" w:rsidP="007777AE">
            <w:pPr>
              <w:suppressAutoHyphens w:val="0"/>
              <w:spacing w:before="0" w:after="0"/>
              <w:jc w:val="center"/>
              <w:textAlignment w:val="auto"/>
              <w:rPr>
                <w:rFonts w:eastAsia="Times New Roman"/>
                <w:lang w:val="es-ES"/>
              </w:rPr>
            </w:pPr>
            <w:r>
              <w:rPr>
                <w:rFonts w:eastAsia="Times New Roman"/>
                <w:lang w:val="es-ES"/>
              </w:rPr>
              <w:t>72</w:t>
            </w:r>
          </w:p>
        </w:tc>
        <w:tc>
          <w:tcPr>
            <w:tcW w:w="297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03B8E6A" w14:textId="1D6AA218" w:rsidR="00F87425" w:rsidRPr="00F87425" w:rsidRDefault="00F87425" w:rsidP="007777AE">
            <w:pPr>
              <w:suppressAutoHyphens w:val="0"/>
              <w:spacing w:before="0" w:after="0"/>
              <w:jc w:val="center"/>
              <w:textAlignment w:val="auto"/>
              <w:rPr>
                <w:rFonts w:eastAsia="Times New Roman"/>
                <w:lang w:val="es-ES"/>
              </w:rPr>
            </w:pPr>
            <w:r w:rsidRPr="00F87425">
              <w:rPr>
                <w:rFonts w:eastAsia="Times New Roman"/>
                <w:lang w:val="es-ES"/>
              </w:rPr>
              <w:t>20</w:t>
            </w:r>
            <w:r w:rsidR="007777AE">
              <w:rPr>
                <w:rFonts w:eastAsia="Times New Roman"/>
                <w:lang w:val="es-ES"/>
              </w:rPr>
              <w:t>,</w:t>
            </w:r>
            <w:r w:rsidRPr="00F87425">
              <w:rPr>
                <w:rFonts w:eastAsia="Times New Roman"/>
                <w:lang w:val="es-ES"/>
              </w:rPr>
              <w:t>7 – 36</w:t>
            </w:r>
            <w:r w:rsidR="007777AE">
              <w:rPr>
                <w:rFonts w:eastAsia="Times New Roman"/>
                <w:lang w:val="es-ES"/>
              </w:rPr>
              <w:t>,</w:t>
            </w:r>
            <w:r w:rsidRPr="00F87425">
              <w:rPr>
                <w:rFonts w:eastAsia="Times New Roman"/>
                <w:lang w:val="es-ES"/>
              </w:rPr>
              <w:t>1</w:t>
            </w:r>
          </w:p>
        </w:tc>
      </w:tr>
    </w:tbl>
    <w:p w14:paraId="21BB8653" w14:textId="77777777" w:rsidR="00775B8B" w:rsidRDefault="00775B8B" w:rsidP="00F87425">
      <w:pPr>
        <w:pStyle w:val="ListParagraph"/>
        <w:suppressAutoHyphens w:val="0"/>
        <w:ind w:left="0"/>
        <w:rPr>
          <w:lang w:val="es-ES"/>
        </w:rPr>
      </w:pPr>
    </w:p>
    <w:p w14:paraId="05147843" w14:textId="2BDC3954" w:rsidR="00775B8B" w:rsidRDefault="00775B8B" w:rsidP="00775B8B">
      <w:pPr>
        <w:pStyle w:val="Caption"/>
        <w:spacing w:after="0"/>
        <w:rPr>
          <w:lang w:val="es-ES"/>
        </w:rPr>
      </w:pPr>
      <w:r w:rsidRPr="00F87425">
        <w:rPr>
          <w:lang w:val="es-ES"/>
        </w:rPr>
        <w:t>10 CFR 430.32(</w:t>
      </w:r>
      <w:r>
        <w:rPr>
          <w:lang w:val="es-ES"/>
        </w:rPr>
        <w:t>u</w:t>
      </w:r>
      <w:r w:rsidRPr="00F87425">
        <w:rPr>
          <w:lang w:val="es-ES"/>
        </w:rPr>
        <w:t xml:space="preserve">): </w:t>
      </w:r>
      <w:r w:rsidRPr="00775B8B">
        <w:rPr>
          <w:lang w:val="es-ES"/>
        </w:rPr>
        <w:t>Lámparas fluorescentes compactas</w:t>
      </w:r>
    </w:p>
    <w:p w14:paraId="7D566579" w14:textId="77CAD7F4" w:rsidR="00775B8B" w:rsidRPr="00A96F74" w:rsidRDefault="00775B8B" w:rsidP="00775B8B">
      <w:pPr>
        <w:spacing w:before="0" w:after="140"/>
        <w:jc w:val="center"/>
        <w:rPr>
          <w:color w:val="002B7F"/>
          <w:lang w:val="es-ES"/>
        </w:rPr>
      </w:pPr>
      <w:r w:rsidRPr="00A96F74">
        <w:rPr>
          <w:i/>
          <w:color w:val="002B7F"/>
          <w:sz w:val="18"/>
          <w:lang w:val="es-ES"/>
        </w:rPr>
        <w:t>Fuente:</w:t>
      </w:r>
      <w:r w:rsidRPr="00E2630F">
        <w:rPr>
          <w:lang w:val="es-ES"/>
        </w:rPr>
        <w:t xml:space="preserve"> </w:t>
      </w:r>
      <w:r w:rsidRPr="00E2630F">
        <w:rPr>
          <w:rFonts w:cstheme="minorHAnsi"/>
          <w:color w:val="002B7F"/>
          <w:sz w:val="18"/>
          <w:lang w:val="es-PA"/>
        </w:rPr>
        <w:t>Elaboración propia en base de e-CFR §430.32</w:t>
      </w:r>
      <w:r>
        <w:rPr>
          <w:rFonts w:cstheme="minorHAnsi"/>
          <w:color w:val="002B7F"/>
          <w:sz w:val="18"/>
          <w:lang w:val="es-PA"/>
        </w:rPr>
        <w:t>(u)</w:t>
      </w:r>
    </w:p>
    <w:tbl>
      <w:tblPr>
        <w:tblW w:w="5084" w:type="pct"/>
        <w:jc w:val="center"/>
        <w:tblCellMar>
          <w:left w:w="10" w:type="dxa"/>
          <w:right w:w="10" w:type="dxa"/>
        </w:tblCellMar>
        <w:tblLook w:val="0000" w:firstRow="0" w:lastRow="0" w:firstColumn="0" w:lastColumn="0" w:noHBand="0" w:noVBand="0"/>
      </w:tblPr>
      <w:tblGrid>
        <w:gridCol w:w="2969"/>
        <w:gridCol w:w="2693"/>
        <w:gridCol w:w="2977"/>
      </w:tblGrid>
      <w:tr w:rsidR="00775B8B" w:rsidRPr="006C6495" w14:paraId="42909335" w14:textId="77777777" w:rsidTr="00A27331">
        <w:trPr>
          <w:jc w:val="center"/>
        </w:trPr>
        <w:tc>
          <w:tcPr>
            <w:tcW w:w="2969"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767FC991" w14:textId="568B2EA6" w:rsidR="00775B8B" w:rsidRPr="00F87425" w:rsidRDefault="00775B8B" w:rsidP="00130C34">
            <w:pPr>
              <w:suppressAutoHyphens w:val="0"/>
              <w:spacing w:before="0" w:after="0"/>
              <w:jc w:val="left"/>
              <w:textAlignment w:val="auto"/>
              <w:rPr>
                <w:rFonts w:eastAsia="Times New Roman"/>
                <w:b/>
                <w:color w:val="FFFFFF" w:themeColor="background1"/>
                <w:lang w:val="es-ES"/>
              </w:rPr>
            </w:pPr>
            <w:r>
              <w:rPr>
                <w:rFonts w:eastAsia="Times New Roman"/>
                <w:b/>
                <w:color w:val="FFFFFF" w:themeColor="background1"/>
                <w:lang w:val="es-ES"/>
              </w:rPr>
              <w:t>Tipo de lámpara</w:t>
            </w:r>
          </w:p>
        </w:tc>
        <w:tc>
          <w:tcPr>
            <w:tcW w:w="2693" w:type="dxa"/>
            <w:tcBorders>
              <w:top w:val="single" w:sz="6" w:space="0" w:color="5B9BD5"/>
              <w:bottom w:val="single" w:sz="6" w:space="0" w:color="5B9BD5"/>
            </w:tcBorders>
            <w:shd w:val="clear" w:color="auto" w:fill="5B9BD5"/>
            <w:tcMar>
              <w:top w:w="0" w:type="dxa"/>
              <w:left w:w="108" w:type="dxa"/>
              <w:bottom w:w="0" w:type="dxa"/>
              <w:right w:w="108" w:type="dxa"/>
            </w:tcMar>
          </w:tcPr>
          <w:p w14:paraId="1F64AE33" w14:textId="03279895" w:rsidR="00775B8B" w:rsidRPr="00F87425" w:rsidRDefault="00775B8B" w:rsidP="00775B8B">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Potencia nominal (W)</w:t>
            </w:r>
          </w:p>
        </w:tc>
        <w:tc>
          <w:tcPr>
            <w:tcW w:w="2977" w:type="dxa"/>
            <w:tcBorders>
              <w:top w:val="single" w:sz="6" w:space="0" w:color="5B9BD5"/>
              <w:bottom w:val="single" w:sz="6" w:space="0" w:color="5B9BD5"/>
            </w:tcBorders>
            <w:shd w:val="clear" w:color="auto" w:fill="5B9BD5"/>
            <w:tcMar>
              <w:top w:w="0" w:type="dxa"/>
              <w:left w:w="108" w:type="dxa"/>
              <w:bottom w:w="0" w:type="dxa"/>
              <w:right w:w="108" w:type="dxa"/>
            </w:tcMar>
          </w:tcPr>
          <w:p w14:paraId="747B8B01" w14:textId="4AAB8E14" w:rsidR="00775B8B" w:rsidRPr="00F87425" w:rsidRDefault="00775B8B" w:rsidP="00775B8B">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Eficacia mínima (lm/W)</w:t>
            </w:r>
          </w:p>
        </w:tc>
      </w:tr>
      <w:tr w:rsidR="00775B8B" w:rsidRPr="00F87425" w14:paraId="6C535413" w14:textId="77777777" w:rsidTr="00A27331">
        <w:trPr>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F6C3D2F" w14:textId="7B768164" w:rsidR="00775B8B" w:rsidRPr="00F87425" w:rsidRDefault="00775B8B" w:rsidP="00130C34">
            <w:pPr>
              <w:suppressAutoHyphens w:val="0"/>
              <w:spacing w:before="0" w:after="0"/>
              <w:jc w:val="left"/>
              <w:textAlignment w:val="auto"/>
              <w:rPr>
                <w:rFonts w:eastAsia="Times New Roman"/>
                <w:lang w:val="es-ES"/>
              </w:rPr>
            </w:pPr>
            <w:r>
              <w:rPr>
                <w:rFonts w:eastAsia="Times New Roman"/>
                <w:lang w:val="es-ES"/>
              </w:rPr>
              <w:t>LFC sin envolvente</w:t>
            </w:r>
          </w:p>
        </w:tc>
        <w:tc>
          <w:tcPr>
            <w:tcW w:w="269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6740140" w14:textId="23167ADF" w:rsidR="00775B8B" w:rsidRPr="00F87425" w:rsidRDefault="00775B8B" w:rsidP="00A27331">
            <w:pPr>
              <w:suppressAutoHyphens w:val="0"/>
              <w:spacing w:before="0" w:after="0"/>
              <w:jc w:val="center"/>
              <w:textAlignment w:val="auto"/>
              <w:rPr>
                <w:rFonts w:eastAsia="Times New Roman"/>
                <w:lang w:val="es-ES"/>
              </w:rPr>
            </w:pPr>
            <w:r w:rsidRPr="00775B8B">
              <w:rPr>
                <w:rFonts w:eastAsia="Times New Roman"/>
                <w:lang w:val="es-ES"/>
              </w:rPr>
              <w:t>P &lt; 15</w:t>
            </w:r>
          </w:p>
        </w:tc>
        <w:tc>
          <w:tcPr>
            <w:tcW w:w="297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B60D18A" w14:textId="4A8D2662" w:rsidR="00775B8B" w:rsidRPr="00F87425" w:rsidRDefault="00775B8B" w:rsidP="00775B8B">
            <w:pPr>
              <w:suppressAutoHyphens w:val="0"/>
              <w:spacing w:before="0" w:after="0"/>
              <w:jc w:val="center"/>
              <w:textAlignment w:val="auto"/>
              <w:rPr>
                <w:rFonts w:eastAsia="Times New Roman"/>
                <w:lang w:val="es-ES"/>
              </w:rPr>
            </w:pPr>
            <w:r w:rsidRPr="00775B8B">
              <w:rPr>
                <w:rFonts w:eastAsia="Times New Roman"/>
                <w:lang w:val="es-ES"/>
              </w:rPr>
              <w:t>45</w:t>
            </w:r>
            <w:r>
              <w:rPr>
                <w:rFonts w:eastAsia="Times New Roman"/>
                <w:lang w:val="es-ES"/>
              </w:rPr>
              <w:t>,</w:t>
            </w:r>
            <w:r w:rsidRPr="00775B8B">
              <w:rPr>
                <w:rFonts w:eastAsia="Times New Roman"/>
                <w:lang w:val="es-ES"/>
              </w:rPr>
              <w:t>0</w:t>
            </w:r>
          </w:p>
        </w:tc>
      </w:tr>
      <w:tr w:rsidR="00775B8B" w:rsidRPr="00F87425" w14:paraId="289C13E3" w14:textId="77777777" w:rsidTr="00A27331">
        <w:trPr>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3CD5EE7" w14:textId="1F76580A" w:rsidR="00775B8B" w:rsidRPr="00F87425" w:rsidRDefault="00775B8B" w:rsidP="00130C34">
            <w:pPr>
              <w:suppressAutoHyphens w:val="0"/>
              <w:spacing w:before="0" w:after="0"/>
              <w:jc w:val="left"/>
              <w:textAlignment w:val="auto"/>
              <w:rPr>
                <w:rFonts w:eastAsia="Times New Roman"/>
                <w:lang w:val="es-ES"/>
              </w:rPr>
            </w:pPr>
          </w:p>
        </w:tc>
        <w:tc>
          <w:tcPr>
            <w:tcW w:w="2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8BEA375" w14:textId="1F04D47E" w:rsidR="00775B8B" w:rsidRPr="00F87425" w:rsidRDefault="00775B8B" w:rsidP="00A27331">
            <w:pPr>
              <w:suppressAutoHyphens w:val="0"/>
              <w:spacing w:before="0" w:after="0"/>
              <w:jc w:val="center"/>
              <w:textAlignment w:val="auto"/>
              <w:rPr>
                <w:rFonts w:eastAsia="Times New Roman"/>
                <w:lang w:val="es-ES"/>
              </w:rPr>
            </w:pPr>
            <w:r w:rsidRPr="00775B8B">
              <w:rPr>
                <w:rFonts w:eastAsia="Times New Roman"/>
                <w:lang w:val="es-ES"/>
              </w:rPr>
              <w:t>P ≥ 15</w:t>
            </w:r>
          </w:p>
        </w:tc>
        <w:tc>
          <w:tcPr>
            <w:tcW w:w="297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4916353" w14:textId="0F37BD19" w:rsidR="00775B8B" w:rsidRPr="00F87425" w:rsidRDefault="00775B8B" w:rsidP="00775B8B">
            <w:pPr>
              <w:suppressAutoHyphens w:val="0"/>
              <w:spacing w:before="0" w:after="0"/>
              <w:jc w:val="center"/>
              <w:textAlignment w:val="auto"/>
              <w:rPr>
                <w:rFonts w:eastAsia="Times New Roman"/>
                <w:lang w:val="es-ES"/>
              </w:rPr>
            </w:pPr>
            <w:r w:rsidRPr="00775B8B">
              <w:rPr>
                <w:rFonts w:eastAsia="Times New Roman"/>
                <w:lang w:val="es-ES"/>
              </w:rPr>
              <w:t>60</w:t>
            </w:r>
            <w:r>
              <w:rPr>
                <w:rFonts w:eastAsia="Times New Roman"/>
                <w:lang w:val="es-ES"/>
              </w:rPr>
              <w:t>,</w:t>
            </w:r>
            <w:r w:rsidRPr="00775B8B">
              <w:rPr>
                <w:rFonts w:eastAsia="Times New Roman"/>
                <w:lang w:val="es-ES"/>
              </w:rPr>
              <w:t>0</w:t>
            </w:r>
          </w:p>
        </w:tc>
      </w:tr>
      <w:tr w:rsidR="00775B8B" w:rsidRPr="00F87425" w14:paraId="7E911BED" w14:textId="77777777" w:rsidTr="00A27331">
        <w:trPr>
          <w:trHeight w:val="242"/>
          <w:jc w:val="center"/>
        </w:trPr>
        <w:tc>
          <w:tcPr>
            <w:tcW w:w="2969"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06B3AFCE" w14:textId="6D662204" w:rsidR="00775B8B" w:rsidRPr="00F87425" w:rsidRDefault="00775B8B" w:rsidP="00130C34">
            <w:pPr>
              <w:suppressAutoHyphens w:val="0"/>
              <w:spacing w:before="0" w:after="0"/>
              <w:jc w:val="left"/>
              <w:textAlignment w:val="auto"/>
              <w:rPr>
                <w:rFonts w:eastAsia="Times New Roman"/>
                <w:lang w:val="es-ES"/>
              </w:rPr>
            </w:pPr>
            <w:r>
              <w:rPr>
                <w:rFonts w:eastAsia="Times New Roman"/>
                <w:lang w:val="es-ES"/>
              </w:rPr>
              <w:t>LFC con envolvente</w:t>
            </w:r>
          </w:p>
        </w:tc>
        <w:tc>
          <w:tcPr>
            <w:tcW w:w="2693"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366C1820" w14:textId="07C5CB84" w:rsidR="00775B8B" w:rsidRPr="00F87425" w:rsidRDefault="00775B8B" w:rsidP="00A27331">
            <w:pPr>
              <w:suppressAutoHyphens w:val="0"/>
              <w:spacing w:before="0" w:after="0"/>
              <w:jc w:val="center"/>
              <w:textAlignment w:val="auto"/>
              <w:rPr>
                <w:rFonts w:eastAsia="Times New Roman"/>
                <w:lang w:val="es-ES"/>
              </w:rPr>
            </w:pPr>
            <w:r w:rsidRPr="00775B8B">
              <w:rPr>
                <w:rFonts w:eastAsia="Times New Roman"/>
                <w:lang w:val="es-ES"/>
              </w:rPr>
              <w:t>P &lt; 15</w:t>
            </w:r>
          </w:p>
        </w:tc>
        <w:tc>
          <w:tcPr>
            <w:tcW w:w="2977"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6BE6567E" w14:textId="6E83109D" w:rsidR="00775B8B" w:rsidRPr="00F87425" w:rsidRDefault="00775B8B" w:rsidP="00775B8B">
            <w:pPr>
              <w:suppressAutoHyphens w:val="0"/>
              <w:spacing w:before="0" w:after="0"/>
              <w:jc w:val="center"/>
              <w:textAlignment w:val="auto"/>
              <w:rPr>
                <w:rFonts w:eastAsia="Times New Roman"/>
                <w:lang w:val="es-ES"/>
              </w:rPr>
            </w:pPr>
            <w:r w:rsidRPr="00775B8B">
              <w:rPr>
                <w:rFonts w:eastAsia="Times New Roman"/>
                <w:lang w:val="es-ES"/>
              </w:rPr>
              <w:t>40</w:t>
            </w:r>
            <w:r>
              <w:rPr>
                <w:rFonts w:eastAsia="Times New Roman"/>
                <w:lang w:val="es-ES"/>
              </w:rPr>
              <w:t>,</w:t>
            </w:r>
            <w:r w:rsidRPr="00775B8B">
              <w:rPr>
                <w:rFonts w:eastAsia="Times New Roman"/>
                <w:lang w:val="es-ES"/>
              </w:rPr>
              <w:t>0</w:t>
            </w:r>
          </w:p>
        </w:tc>
      </w:tr>
      <w:tr w:rsidR="00775B8B" w:rsidRPr="00F87425" w14:paraId="50924BF7" w14:textId="77777777" w:rsidTr="00A27331">
        <w:trPr>
          <w:trHeight w:val="276"/>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FE9528E" w14:textId="0E7FC229" w:rsidR="00775B8B" w:rsidRPr="00F87425" w:rsidRDefault="00775B8B" w:rsidP="00A27331">
            <w:pPr>
              <w:suppressAutoHyphens w:val="0"/>
              <w:spacing w:before="0" w:after="0"/>
              <w:jc w:val="center"/>
              <w:textAlignment w:val="auto"/>
              <w:rPr>
                <w:rFonts w:eastAsia="Times New Roman"/>
                <w:lang w:val="es-ES"/>
              </w:rPr>
            </w:pPr>
          </w:p>
        </w:tc>
        <w:tc>
          <w:tcPr>
            <w:tcW w:w="2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510C403" w14:textId="23F91A50" w:rsidR="00775B8B" w:rsidRPr="00F87425" w:rsidRDefault="00775B8B" w:rsidP="00A27331">
            <w:pPr>
              <w:suppressAutoHyphens w:val="0"/>
              <w:spacing w:before="0" w:after="0"/>
              <w:jc w:val="center"/>
              <w:textAlignment w:val="auto"/>
              <w:rPr>
                <w:rFonts w:eastAsia="Times New Roman"/>
                <w:lang w:val="es-ES"/>
              </w:rPr>
            </w:pPr>
            <w:r w:rsidRPr="00775B8B">
              <w:rPr>
                <w:rFonts w:eastAsia="Times New Roman"/>
                <w:lang w:val="es-ES"/>
              </w:rPr>
              <w:t>15 ≤ P &lt; 19</w:t>
            </w:r>
          </w:p>
        </w:tc>
        <w:tc>
          <w:tcPr>
            <w:tcW w:w="297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F3C8A4B" w14:textId="7A543678" w:rsidR="00775B8B" w:rsidRPr="00F87425" w:rsidRDefault="00775B8B" w:rsidP="00775B8B">
            <w:pPr>
              <w:suppressAutoHyphens w:val="0"/>
              <w:spacing w:before="0" w:after="0"/>
              <w:jc w:val="center"/>
              <w:textAlignment w:val="auto"/>
              <w:rPr>
                <w:rFonts w:eastAsia="Times New Roman"/>
                <w:lang w:val="es-ES"/>
              </w:rPr>
            </w:pPr>
            <w:r w:rsidRPr="00775B8B">
              <w:rPr>
                <w:rFonts w:eastAsia="Times New Roman"/>
                <w:lang w:val="es-ES"/>
              </w:rPr>
              <w:t>48</w:t>
            </w:r>
            <w:r>
              <w:rPr>
                <w:rFonts w:eastAsia="Times New Roman"/>
                <w:lang w:val="es-ES"/>
              </w:rPr>
              <w:t>,</w:t>
            </w:r>
            <w:r w:rsidRPr="00775B8B">
              <w:rPr>
                <w:rFonts w:eastAsia="Times New Roman"/>
                <w:lang w:val="es-ES"/>
              </w:rPr>
              <w:t>0</w:t>
            </w:r>
          </w:p>
        </w:tc>
      </w:tr>
      <w:tr w:rsidR="00775B8B" w:rsidRPr="00F87425" w14:paraId="2D26787D" w14:textId="77777777" w:rsidTr="00775B8B">
        <w:trPr>
          <w:trHeight w:val="276"/>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60B372E" w14:textId="77777777" w:rsidR="00775B8B" w:rsidRPr="00F87425" w:rsidRDefault="00775B8B" w:rsidP="00A27331">
            <w:pPr>
              <w:suppressAutoHyphens w:val="0"/>
              <w:spacing w:before="0" w:after="0"/>
              <w:jc w:val="center"/>
              <w:textAlignment w:val="auto"/>
              <w:rPr>
                <w:rFonts w:eastAsia="Times New Roman"/>
                <w:lang w:val="es-ES"/>
              </w:rPr>
            </w:pPr>
          </w:p>
        </w:tc>
        <w:tc>
          <w:tcPr>
            <w:tcW w:w="269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750BA4E" w14:textId="49A7D78D" w:rsidR="00775B8B" w:rsidRPr="00F87425" w:rsidRDefault="00775B8B" w:rsidP="00A27331">
            <w:pPr>
              <w:suppressAutoHyphens w:val="0"/>
              <w:spacing w:before="0" w:after="0"/>
              <w:jc w:val="center"/>
              <w:textAlignment w:val="auto"/>
              <w:rPr>
                <w:rFonts w:eastAsia="Times New Roman"/>
                <w:lang w:val="es-ES"/>
              </w:rPr>
            </w:pPr>
            <w:r w:rsidRPr="00775B8B">
              <w:rPr>
                <w:rFonts w:eastAsia="Times New Roman"/>
                <w:lang w:val="es-ES"/>
              </w:rPr>
              <w:t>19 ≤ P &lt; 25</w:t>
            </w:r>
          </w:p>
        </w:tc>
        <w:tc>
          <w:tcPr>
            <w:tcW w:w="297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F07E69A" w14:textId="713CA612" w:rsidR="00775B8B" w:rsidRPr="00F87425" w:rsidRDefault="00775B8B" w:rsidP="00775B8B">
            <w:pPr>
              <w:suppressAutoHyphens w:val="0"/>
              <w:spacing w:before="0" w:after="0"/>
              <w:jc w:val="center"/>
              <w:textAlignment w:val="auto"/>
              <w:rPr>
                <w:rFonts w:eastAsia="Times New Roman"/>
                <w:lang w:val="es-ES"/>
              </w:rPr>
            </w:pPr>
            <w:r w:rsidRPr="00775B8B">
              <w:rPr>
                <w:rFonts w:eastAsia="Times New Roman"/>
                <w:lang w:val="es-ES"/>
              </w:rPr>
              <w:t>50</w:t>
            </w:r>
            <w:r>
              <w:rPr>
                <w:rFonts w:eastAsia="Times New Roman"/>
                <w:lang w:val="es-ES"/>
              </w:rPr>
              <w:t>,</w:t>
            </w:r>
            <w:r w:rsidRPr="00775B8B">
              <w:rPr>
                <w:rFonts w:eastAsia="Times New Roman"/>
                <w:lang w:val="es-ES"/>
              </w:rPr>
              <w:t>0</w:t>
            </w:r>
          </w:p>
        </w:tc>
      </w:tr>
      <w:tr w:rsidR="00775B8B" w:rsidRPr="00F87425" w14:paraId="7CE92AA7" w14:textId="77777777" w:rsidTr="00A27331">
        <w:trPr>
          <w:trHeight w:val="276"/>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492B69A" w14:textId="77777777" w:rsidR="00775B8B" w:rsidRPr="00F87425" w:rsidRDefault="00775B8B" w:rsidP="00A27331">
            <w:pPr>
              <w:suppressAutoHyphens w:val="0"/>
              <w:spacing w:before="0" w:after="0"/>
              <w:jc w:val="center"/>
              <w:textAlignment w:val="auto"/>
              <w:rPr>
                <w:rFonts w:eastAsia="Times New Roman"/>
                <w:lang w:val="es-ES"/>
              </w:rPr>
            </w:pPr>
          </w:p>
        </w:tc>
        <w:tc>
          <w:tcPr>
            <w:tcW w:w="2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B73E98B" w14:textId="59C41A42" w:rsidR="00775B8B" w:rsidRPr="00F87425" w:rsidRDefault="00775B8B" w:rsidP="00A27331">
            <w:pPr>
              <w:suppressAutoHyphens w:val="0"/>
              <w:spacing w:before="0" w:after="0"/>
              <w:jc w:val="center"/>
              <w:textAlignment w:val="auto"/>
              <w:rPr>
                <w:rFonts w:eastAsia="Times New Roman"/>
                <w:lang w:val="es-ES"/>
              </w:rPr>
            </w:pPr>
            <w:r w:rsidRPr="00775B8B">
              <w:rPr>
                <w:rFonts w:eastAsia="Times New Roman"/>
                <w:lang w:val="es-ES"/>
              </w:rPr>
              <w:t>P ≥ 25</w:t>
            </w:r>
          </w:p>
        </w:tc>
        <w:tc>
          <w:tcPr>
            <w:tcW w:w="297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8D34ACC" w14:textId="4DA45813" w:rsidR="00775B8B" w:rsidRPr="00F87425" w:rsidRDefault="00775B8B" w:rsidP="00775B8B">
            <w:pPr>
              <w:suppressAutoHyphens w:val="0"/>
              <w:spacing w:before="0" w:after="0"/>
              <w:jc w:val="center"/>
              <w:textAlignment w:val="auto"/>
              <w:rPr>
                <w:rFonts w:eastAsia="Times New Roman"/>
                <w:lang w:val="es-ES"/>
              </w:rPr>
            </w:pPr>
            <w:r w:rsidRPr="00775B8B">
              <w:rPr>
                <w:rFonts w:eastAsia="Times New Roman"/>
                <w:lang w:val="es-ES"/>
              </w:rPr>
              <w:t>55</w:t>
            </w:r>
            <w:r>
              <w:rPr>
                <w:rFonts w:eastAsia="Times New Roman"/>
                <w:lang w:val="es-ES"/>
              </w:rPr>
              <w:t>,</w:t>
            </w:r>
            <w:r w:rsidRPr="00775B8B">
              <w:rPr>
                <w:rFonts w:eastAsia="Times New Roman"/>
                <w:lang w:val="es-ES"/>
              </w:rPr>
              <w:t>0</w:t>
            </w:r>
          </w:p>
        </w:tc>
      </w:tr>
    </w:tbl>
    <w:p w14:paraId="17793227" w14:textId="77777777" w:rsidR="00775B8B" w:rsidRDefault="00775B8B" w:rsidP="00775B8B">
      <w:pPr>
        <w:pStyle w:val="ListParagraph"/>
        <w:suppressAutoHyphens w:val="0"/>
        <w:ind w:left="0"/>
        <w:rPr>
          <w:lang w:val="es-ES"/>
        </w:rPr>
      </w:pPr>
    </w:p>
    <w:p w14:paraId="51D3AA67" w14:textId="28D7FDE2" w:rsidR="00130C34" w:rsidRPr="00130C34" w:rsidRDefault="00130C34" w:rsidP="00130C34">
      <w:pPr>
        <w:keepNext/>
        <w:keepLines/>
        <w:spacing w:before="0" w:after="0"/>
        <w:jc w:val="center"/>
        <w:rPr>
          <w:iCs/>
          <w:color w:val="002B7F"/>
          <w:szCs w:val="18"/>
          <w:lang w:val="es-ES"/>
        </w:rPr>
      </w:pPr>
      <w:r w:rsidRPr="00130C34">
        <w:rPr>
          <w:iCs/>
          <w:color w:val="002B7F"/>
          <w:szCs w:val="18"/>
          <w:lang w:val="es-ES"/>
        </w:rPr>
        <w:t>Lámparas para uso general (GSL) proposed rule</w:t>
      </w:r>
    </w:p>
    <w:p w14:paraId="403D1992" w14:textId="50D33D80" w:rsidR="00130C34" w:rsidRPr="00130C34" w:rsidRDefault="00130C34" w:rsidP="00130C34">
      <w:pPr>
        <w:spacing w:before="0" w:after="140"/>
        <w:jc w:val="center"/>
        <w:rPr>
          <w:color w:val="002B7F"/>
          <w:lang w:val="es-ES"/>
        </w:rPr>
      </w:pPr>
      <w:r w:rsidRPr="00130C34">
        <w:rPr>
          <w:i/>
          <w:color w:val="002B7F"/>
          <w:sz w:val="18"/>
          <w:lang w:val="es-ES"/>
        </w:rPr>
        <w:t>Fuente:</w:t>
      </w:r>
      <w:r w:rsidRPr="00130C34">
        <w:rPr>
          <w:lang w:val="es-ES"/>
        </w:rPr>
        <w:t xml:space="preserve"> </w:t>
      </w:r>
      <w:r w:rsidRPr="00130C34">
        <w:rPr>
          <w:rFonts w:cstheme="minorHAnsi"/>
          <w:color w:val="002B7F"/>
          <w:sz w:val="18"/>
          <w:lang w:val="es-PA"/>
        </w:rPr>
        <w:t>Elaboración propia en base de Federal Regist</w:t>
      </w:r>
      <w:r>
        <w:rPr>
          <w:rFonts w:cstheme="minorHAnsi"/>
          <w:color w:val="002B7F"/>
          <w:sz w:val="18"/>
          <w:lang w:val="es-PA"/>
        </w:rPr>
        <w:t>er Vol. 81 No. 52 March</w:t>
      </w:r>
      <w:r w:rsidR="00954769">
        <w:rPr>
          <w:rFonts w:cstheme="minorHAnsi"/>
          <w:color w:val="002B7F"/>
          <w:sz w:val="18"/>
          <w:lang w:val="es-PA"/>
        </w:rPr>
        <w:t xml:space="preserve"> </w:t>
      </w:r>
      <w:r>
        <w:rPr>
          <w:rFonts w:cstheme="minorHAnsi"/>
          <w:color w:val="002B7F"/>
          <w:sz w:val="18"/>
          <w:lang w:val="es-PA"/>
        </w:rPr>
        <w:t>17, 2016</w:t>
      </w:r>
    </w:p>
    <w:tbl>
      <w:tblPr>
        <w:tblW w:w="4667" w:type="pct"/>
        <w:jc w:val="center"/>
        <w:tblCellMar>
          <w:left w:w="10" w:type="dxa"/>
          <w:right w:w="10" w:type="dxa"/>
        </w:tblCellMar>
        <w:tblLook w:val="0000" w:firstRow="0" w:lastRow="0" w:firstColumn="0" w:lastColumn="0" w:noHBand="0" w:noVBand="0"/>
      </w:tblPr>
      <w:tblGrid>
        <w:gridCol w:w="2826"/>
        <w:gridCol w:w="2268"/>
        <w:gridCol w:w="1418"/>
        <w:gridCol w:w="1418"/>
      </w:tblGrid>
      <w:tr w:rsidR="001F1C6F" w:rsidRPr="00130C34" w14:paraId="4CF2D410" w14:textId="77777777" w:rsidTr="001F1C6F">
        <w:trPr>
          <w:jc w:val="center"/>
        </w:trPr>
        <w:tc>
          <w:tcPr>
            <w:tcW w:w="2826"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030ABBF4" w14:textId="77777777" w:rsidR="001F1C6F" w:rsidRPr="00130C34" w:rsidRDefault="001F1C6F" w:rsidP="00130C34">
            <w:pPr>
              <w:suppressAutoHyphens w:val="0"/>
              <w:spacing w:before="0" w:after="0"/>
              <w:jc w:val="center"/>
              <w:textAlignment w:val="auto"/>
              <w:rPr>
                <w:rFonts w:eastAsia="Times New Roman"/>
                <w:b/>
                <w:color w:val="FFFFFF" w:themeColor="background1"/>
                <w:lang w:val="es-ES"/>
              </w:rPr>
            </w:pPr>
            <w:r w:rsidRPr="00130C34">
              <w:rPr>
                <w:rFonts w:eastAsia="Times New Roman"/>
                <w:b/>
                <w:color w:val="FFFFFF" w:themeColor="background1"/>
                <w:lang w:val="es-ES"/>
              </w:rPr>
              <w:t>Tipo de lámpara</w:t>
            </w:r>
          </w:p>
        </w:tc>
        <w:tc>
          <w:tcPr>
            <w:tcW w:w="2268" w:type="dxa"/>
            <w:tcBorders>
              <w:top w:val="single" w:sz="6" w:space="0" w:color="5B9BD5"/>
              <w:bottom w:val="single" w:sz="6" w:space="0" w:color="5B9BD5"/>
            </w:tcBorders>
            <w:shd w:val="clear" w:color="auto" w:fill="5B9BD5"/>
            <w:tcMar>
              <w:top w:w="0" w:type="dxa"/>
              <w:left w:w="108" w:type="dxa"/>
              <w:bottom w:w="0" w:type="dxa"/>
              <w:right w:w="108" w:type="dxa"/>
            </w:tcMar>
          </w:tcPr>
          <w:p w14:paraId="4DD91ECF" w14:textId="195E293F" w:rsidR="001F1C6F" w:rsidRPr="00130C34" w:rsidRDefault="001F1C6F" w:rsidP="00130C34">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Rango flujo luminoso inicial (lm)</w:t>
            </w:r>
          </w:p>
        </w:tc>
        <w:tc>
          <w:tcPr>
            <w:tcW w:w="1418" w:type="dxa"/>
            <w:tcBorders>
              <w:top w:val="single" w:sz="6" w:space="0" w:color="5B9BD5"/>
              <w:bottom w:val="single" w:sz="6" w:space="0" w:color="5B9BD5"/>
            </w:tcBorders>
            <w:shd w:val="clear" w:color="auto" w:fill="5B9BD5"/>
            <w:tcMar>
              <w:top w:w="0" w:type="dxa"/>
              <w:left w:w="108" w:type="dxa"/>
              <w:bottom w:w="0" w:type="dxa"/>
              <w:right w:w="108" w:type="dxa"/>
            </w:tcMar>
          </w:tcPr>
          <w:p w14:paraId="2EDA3F7C" w14:textId="6DD1E55B" w:rsidR="001F1C6F" w:rsidRPr="00130C34" w:rsidRDefault="001F1C6F" w:rsidP="001F1C6F">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Capaz de operar en modo de espera</w:t>
            </w:r>
          </w:p>
        </w:tc>
        <w:tc>
          <w:tcPr>
            <w:tcW w:w="1418" w:type="dxa"/>
            <w:tcBorders>
              <w:top w:val="single" w:sz="6" w:space="0" w:color="5B9BD5"/>
              <w:bottom w:val="single" w:sz="6" w:space="0" w:color="5B9BD5"/>
            </w:tcBorders>
            <w:shd w:val="clear" w:color="auto" w:fill="5B9BD5"/>
          </w:tcPr>
          <w:p w14:paraId="1D7FDA9F" w14:textId="1E64F405" w:rsidR="001F1C6F" w:rsidRPr="00130C34" w:rsidRDefault="001F1C6F" w:rsidP="001F1C6F">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Eficacia mínima lm/W</w:t>
            </w:r>
          </w:p>
        </w:tc>
      </w:tr>
      <w:tr w:rsidR="00130C34" w:rsidRPr="001F1C6F" w14:paraId="79C5C1D8" w14:textId="77777777" w:rsidTr="001F1C6F">
        <w:trPr>
          <w:jc w:val="center"/>
        </w:trPr>
        <w:tc>
          <w:tcPr>
            <w:tcW w:w="2826"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DBE667F" w14:textId="713BCDBA" w:rsidR="00130C34" w:rsidRPr="00130C34" w:rsidRDefault="001F1C6F" w:rsidP="001F1C6F">
            <w:pPr>
              <w:suppressAutoHyphens w:val="0"/>
              <w:spacing w:before="0" w:after="0"/>
              <w:jc w:val="left"/>
              <w:textAlignment w:val="auto"/>
              <w:rPr>
                <w:rFonts w:eastAsia="Times New Roman"/>
                <w:lang w:val="es-ES"/>
              </w:rPr>
            </w:pPr>
            <w:r w:rsidRPr="001F1C6F">
              <w:rPr>
                <w:rFonts w:eastAsia="Times New Roman"/>
                <w:lang w:val="es-ES"/>
              </w:rPr>
              <w:t>Lámpara para uso general integrada *)</w:t>
            </w:r>
          </w:p>
        </w:tc>
        <w:tc>
          <w:tcPr>
            <w:tcW w:w="226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A1DF747" w14:textId="401E016A" w:rsidR="00130C34" w:rsidRPr="00130C34" w:rsidRDefault="001F1C6F" w:rsidP="001F1C6F">
            <w:pPr>
              <w:suppressAutoHyphens w:val="0"/>
              <w:spacing w:before="0" w:after="0"/>
              <w:jc w:val="center"/>
              <w:textAlignment w:val="auto"/>
              <w:rPr>
                <w:rFonts w:eastAsia="Times New Roman"/>
                <w:lang w:val="es-ES"/>
              </w:rPr>
            </w:pPr>
            <w:r w:rsidRPr="001F1C6F">
              <w:rPr>
                <w:rFonts w:eastAsia="Times New Roman"/>
                <w:lang w:val="es-ES"/>
              </w:rPr>
              <w:t>310 ≤ φ &lt; 2</w:t>
            </w:r>
            <w:r>
              <w:rPr>
                <w:rFonts w:eastAsia="Times New Roman"/>
                <w:lang w:val="es-ES"/>
              </w:rPr>
              <w:t>.</w:t>
            </w:r>
            <w:r w:rsidRPr="001F1C6F">
              <w:rPr>
                <w:rFonts w:eastAsia="Times New Roman"/>
                <w:lang w:val="es-ES"/>
              </w:rPr>
              <w:t>000</w:t>
            </w:r>
          </w:p>
        </w:tc>
        <w:tc>
          <w:tcPr>
            <w:tcW w:w="141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E5EB413" w14:textId="7EE71D4C" w:rsidR="00130C34" w:rsidRPr="00130C34" w:rsidRDefault="001F1C6F" w:rsidP="00130C34">
            <w:pPr>
              <w:suppressAutoHyphens w:val="0"/>
              <w:spacing w:before="0" w:after="0"/>
              <w:jc w:val="center"/>
              <w:textAlignment w:val="auto"/>
              <w:rPr>
                <w:rFonts w:eastAsia="Times New Roman"/>
                <w:lang w:val="es-ES"/>
              </w:rPr>
            </w:pPr>
            <w:r>
              <w:rPr>
                <w:rFonts w:eastAsia="Times New Roman"/>
                <w:lang w:val="es-ES"/>
              </w:rPr>
              <w:t>no</w:t>
            </w:r>
          </w:p>
        </w:tc>
        <w:tc>
          <w:tcPr>
            <w:tcW w:w="1418" w:type="dxa"/>
            <w:tcBorders>
              <w:top w:val="single" w:sz="6" w:space="0" w:color="9CC2E5"/>
              <w:left w:val="single" w:sz="6" w:space="0" w:color="9CC2E5"/>
              <w:bottom w:val="single" w:sz="6" w:space="0" w:color="9CC2E5"/>
              <w:right w:val="single" w:sz="6" w:space="0" w:color="9CC2E5"/>
            </w:tcBorders>
          </w:tcPr>
          <w:p w14:paraId="72EFEF8C" w14:textId="362CFE6F" w:rsidR="00130C34" w:rsidRPr="00130C34" w:rsidRDefault="001F1C6F" w:rsidP="001F1C6F">
            <w:pPr>
              <w:suppressAutoHyphens w:val="0"/>
              <w:spacing w:before="0" w:after="0"/>
              <w:jc w:val="center"/>
              <w:textAlignment w:val="auto"/>
              <w:rPr>
                <w:rFonts w:eastAsia="Times New Roman"/>
                <w:lang w:val="es-ES"/>
              </w:rPr>
            </w:pPr>
            <w:r w:rsidRPr="001F1C6F">
              <w:rPr>
                <w:rFonts w:eastAsia="Times New Roman"/>
                <w:lang w:val="es-ES"/>
              </w:rPr>
              <w:t>84</w:t>
            </w:r>
            <w:r>
              <w:rPr>
                <w:rFonts w:eastAsia="Times New Roman"/>
                <w:lang w:val="es-ES"/>
              </w:rPr>
              <w:t>,</w:t>
            </w:r>
            <w:r w:rsidRPr="001F1C6F">
              <w:rPr>
                <w:rFonts w:eastAsia="Times New Roman"/>
                <w:lang w:val="es-ES"/>
              </w:rPr>
              <w:t>2 – 100</w:t>
            </w:r>
            <w:r>
              <w:rPr>
                <w:rFonts w:eastAsia="Times New Roman"/>
                <w:lang w:val="es-ES"/>
              </w:rPr>
              <w:t>,</w:t>
            </w:r>
            <w:r w:rsidRPr="001F1C6F">
              <w:rPr>
                <w:rFonts w:eastAsia="Times New Roman"/>
                <w:lang w:val="es-ES"/>
              </w:rPr>
              <w:t>6</w:t>
            </w:r>
          </w:p>
        </w:tc>
      </w:tr>
      <w:tr w:rsidR="00130C34" w:rsidRPr="001F1C6F" w14:paraId="74CD4B98" w14:textId="77777777" w:rsidTr="001F1C6F">
        <w:trPr>
          <w:jc w:val="center"/>
        </w:trPr>
        <w:tc>
          <w:tcPr>
            <w:tcW w:w="2826"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2AA8291" w14:textId="7C794922" w:rsidR="00130C34" w:rsidRPr="00130C34" w:rsidRDefault="00130C34" w:rsidP="00130C34">
            <w:pPr>
              <w:suppressAutoHyphens w:val="0"/>
              <w:spacing w:before="0" w:after="0"/>
              <w:jc w:val="left"/>
              <w:textAlignment w:val="auto"/>
              <w:rPr>
                <w:rFonts w:eastAsia="Times New Roman"/>
                <w:lang w:val="es-ES"/>
              </w:rPr>
            </w:pPr>
          </w:p>
        </w:tc>
        <w:tc>
          <w:tcPr>
            <w:tcW w:w="226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DA290BC" w14:textId="0D15B184" w:rsidR="00130C34" w:rsidRPr="00130C34" w:rsidRDefault="00130C34" w:rsidP="001F1C6F">
            <w:pPr>
              <w:suppressAutoHyphens w:val="0"/>
              <w:spacing w:before="0" w:after="0"/>
              <w:jc w:val="center"/>
              <w:textAlignment w:val="auto"/>
              <w:rPr>
                <w:rFonts w:eastAsia="Times New Roman"/>
                <w:lang w:val="es-ES"/>
              </w:rPr>
            </w:pPr>
          </w:p>
        </w:tc>
        <w:tc>
          <w:tcPr>
            <w:tcW w:w="141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5DF3045" w14:textId="18ED7069" w:rsidR="00130C34" w:rsidRPr="00130C34" w:rsidRDefault="001F1C6F" w:rsidP="00130C34">
            <w:pPr>
              <w:suppressAutoHyphens w:val="0"/>
              <w:spacing w:before="0" w:after="0"/>
              <w:jc w:val="center"/>
              <w:textAlignment w:val="auto"/>
              <w:rPr>
                <w:rFonts w:eastAsia="Times New Roman"/>
                <w:lang w:val="es-ES"/>
              </w:rPr>
            </w:pPr>
            <w:r>
              <w:rPr>
                <w:rFonts w:eastAsia="Times New Roman"/>
                <w:lang w:val="es-ES"/>
              </w:rPr>
              <w:t>sí</w:t>
            </w:r>
          </w:p>
        </w:tc>
        <w:tc>
          <w:tcPr>
            <w:tcW w:w="1418" w:type="dxa"/>
            <w:tcBorders>
              <w:top w:val="single" w:sz="6" w:space="0" w:color="9CC2E5"/>
              <w:left w:val="single" w:sz="6" w:space="0" w:color="9CC2E5"/>
              <w:bottom w:val="single" w:sz="6" w:space="0" w:color="9CC2E5"/>
              <w:right w:val="single" w:sz="6" w:space="0" w:color="9CC2E5"/>
            </w:tcBorders>
            <w:shd w:val="clear" w:color="auto" w:fill="DEEAF6"/>
          </w:tcPr>
          <w:p w14:paraId="772C2D28" w14:textId="14A2DB4D" w:rsidR="00130C34" w:rsidRPr="00130C34" w:rsidRDefault="001F1C6F" w:rsidP="001F1C6F">
            <w:pPr>
              <w:suppressAutoHyphens w:val="0"/>
              <w:spacing w:before="0" w:after="0"/>
              <w:jc w:val="center"/>
              <w:textAlignment w:val="auto"/>
              <w:rPr>
                <w:rFonts w:eastAsia="Times New Roman"/>
                <w:lang w:val="es-ES"/>
              </w:rPr>
            </w:pPr>
            <w:r w:rsidRPr="001F1C6F">
              <w:rPr>
                <w:rFonts w:eastAsia="Times New Roman"/>
                <w:lang w:val="es-ES"/>
              </w:rPr>
              <w:t>78</w:t>
            </w:r>
            <w:r>
              <w:rPr>
                <w:rFonts w:eastAsia="Times New Roman"/>
                <w:lang w:val="es-ES"/>
              </w:rPr>
              <w:t>,</w:t>
            </w:r>
            <w:r w:rsidRPr="001F1C6F">
              <w:rPr>
                <w:rFonts w:eastAsia="Times New Roman"/>
                <w:lang w:val="es-ES"/>
              </w:rPr>
              <w:t>6 – 95</w:t>
            </w:r>
            <w:r>
              <w:rPr>
                <w:rFonts w:eastAsia="Times New Roman"/>
                <w:lang w:val="es-ES"/>
              </w:rPr>
              <w:t>,</w:t>
            </w:r>
            <w:r w:rsidRPr="001F1C6F">
              <w:rPr>
                <w:rFonts w:eastAsia="Times New Roman"/>
                <w:lang w:val="es-ES"/>
              </w:rPr>
              <w:t>0</w:t>
            </w:r>
          </w:p>
        </w:tc>
      </w:tr>
      <w:tr w:rsidR="00130C34" w:rsidRPr="001F1C6F" w14:paraId="7CE0AD92" w14:textId="77777777" w:rsidTr="001F1C6F">
        <w:trPr>
          <w:trHeight w:val="242"/>
          <w:jc w:val="center"/>
        </w:trPr>
        <w:tc>
          <w:tcPr>
            <w:tcW w:w="2826"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02D9EE00" w14:textId="53F793AA" w:rsidR="00130C34" w:rsidRPr="00130C34" w:rsidRDefault="00130C34" w:rsidP="00130C34">
            <w:pPr>
              <w:suppressAutoHyphens w:val="0"/>
              <w:spacing w:before="0" w:after="0"/>
              <w:jc w:val="left"/>
              <w:textAlignment w:val="auto"/>
              <w:rPr>
                <w:rFonts w:eastAsia="Times New Roman"/>
                <w:lang w:val="es-ES"/>
              </w:rPr>
            </w:pPr>
          </w:p>
        </w:tc>
        <w:tc>
          <w:tcPr>
            <w:tcW w:w="2268"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02AD5B31" w14:textId="31851DB5" w:rsidR="00130C34" w:rsidRPr="00130C34" w:rsidRDefault="001F1C6F" w:rsidP="001F1C6F">
            <w:pPr>
              <w:suppressAutoHyphens w:val="0"/>
              <w:spacing w:before="0" w:after="0"/>
              <w:jc w:val="center"/>
              <w:textAlignment w:val="auto"/>
              <w:rPr>
                <w:rFonts w:eastAsia="Times New Roman"/>
                <w:lang w:val="es-ES"/>
              </w:rPr>
            </w:pPr>
            <w:r w:rsidRPr="001F1C6F">
              <w:rPr>
                <w:rFonts w:eastAsia="Times New Roman"/>
                <w:lang w:val="es-ES"/>
              </w:rPr>
              <w:t>2</w:t>
            </w:r>
            <w:r>
              <w:rPr>
                <w:rFonts w:eastAsia="Times New Roman"/>
                <w:lang w:val="es-ES"/>
              </w:rPr>
              <w:t>.</w:t>
            </w:r>
            <w:r w:rsidRPr="001F1C6F">
              <w:rPr>
                <w:rFonts w:eastAsia="Times New Roman"/>
                <w:lang w:val="es-ES"/>
              </w:rPr>
              <w:t>000 ≤ φ ≤ 2</w:t>
            </w:r>
            <w:r>
              <w:rPr>
                <w:rFonts w:eastAsia="Times New Roman"/>
                <w:lang w:val="es-ES"/>
              </w:rPr>
              <w:t>.</w:t>
            </w:r>
            <w:r w:rsidRPr="001F1C6F">
              <w:rPr>
                <w:rFonts w:eastAsia="Times New Roman"/>
                <w:lang w:val="es-ES"/>
              </w:rPr>
              <w:t>600</w:t>
            </w:r>
          </w:p>
        </w:tc>
        <w:tc>
          <w:tcPr>
            <w:tcW w:w="1418"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665866F3" w14:textId="69B21446" w:rsidR="00130C34" w:rsidRPr="00130C34" w:rsidRDefault="001F1C6F" w:rsidP="00130C34">
            <w:pPr>
              <w:suppressAutoHyphens w:val="0"/>
              <w:spacing w:before="0" w:after="0"/>
              <w:jc w:val="center"/>
              <w:textAlignment w:val="auto"/>
              <w:rPr>
                <w:rFonts w:eastAsia="Times New Roman"/>
                <w:lang w:val="es-ES"/>
              </w:rPr>
            </w:pPr>
            <w:r>
              <w:rPr>
                <w:rFonts w:eastAsia="Times New Roman"/>
                <w:lang w:val="es-ES"/>
              </w:rPr>
              <w:t>no</w:t>
            </w:r>
          </w:p>
        </w:tc>
        <w:tc>
          <w:tcPr>
            <w:tcW w:w="1418" w:type="dxa"/>
            <w:tcBorders>
              <w:top w:val="single" w:sz="6" w:space="0" w:color="9CC2E5"/>
              <w:left w:val="single" w:sz="6" w:space="0" w:color="9CC2E5"/>
              <w:bottom w:val="single" w:sz="6" w:space="0" w:color="9CC2E5"/>
              <w:right w:val="single" w:sz="6" w:space="0" w:color="9CC2E5"/>
            </w:tcBorders>
          </w:tcPr>
          <w:p w14:paraId="05ADF019" w14:textId="0901DC50" w:rsidR="00130C34" w:rsidRPr="00130C34" w:rsidRDefault="001F1C6F" w:rsidP="001F1C6F">
            <w:pPr>
              <w:suppressAutoHyphens w:val="0"/>
              <w:spacing w:before="0" w:after="0"/>
              <w:jc w:val="center"/>
              <w:textAlignment w:val="auto"/>
              <w:rPr>
                <w:rFonts w:eastAsia="Times New Roman"/>
                <w:lang w:val="es-ES"/>
              </w:rPr>
            </w:pPr>
            <w:r w:rsidRPr="001F1C6F">
              <w:rPr>
                <w:rFonts w:eastAsia="Times New Roman"/>
                <w:lang w:val="es-ES"/>
              </w:rPr>
              <w:t>72</w:t>
            </w:r>
            <w:r>
              <w:rPr>
                <w:rFonts w:eastAsia="Times New Roman"/>
                <w:lang w:val="es-ES"/>
              </w:rPr>
              <w:t>,</w:t>
            </w:r>
            <w:r w:rsidRPr="001F1C6F">
              <w:rPr>
                <w:rFonts w:eastAsia="Times New Roman"/>
                <w:lang w:val="es-ES"/>
              </w:rPr>
              <w:t>4 – 73</w:t>
            </w:r>
            <w:r>
              <w:rPr>
                <w:rFonts w:eastAsia="Times New Roman"/>
                <w:lang w:val="es-ES"/>
              </w:rPr>
              <w:t>,</w:t>
            </w:r>
            <w:r w:rsidRPr="001F1C6F">
              <w:rPr>
                <w:rFonts w:eastAsia="Times New Roman"/>
                <w:lang w:val="es-ES"/>
              </w:rPr>
              <w:t>0</w:t>
            </w:r>
          </w:p>
        </w:tc>
      </w:tr>
      <w:tr w:rsidR="00130C34" w:rsidRPr="001F1C6F" w14:paraId="4D9D5CCB" w14:textId="77777777" w:rsidTr="001F1C6F">
        <w:trPr>
          <w:trHeight w:val="276"/>
          <w:jc w:val="center"/>
        </w:trPr>
        <w:tc>
          <w:tcPr>
            <w:tcW w:w="2826"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26FA69C" w14:textId="5BE8B367" w:rsidR="00130C34" w:rsidRPr="00130C34" w:rsidRDefault="00130C34" w:rsidP="00130C34">
            <w:pPr>
              <w:suppressAutoHyphens w:val="0"/>
              <w:spacing w:before="0" w:after="0"/>
              <w:jc w:val="left"/>
              <w:textAlignment w:val="auto"/>
              <w:rPr>
                <w:rFonts w:eastAsia="Times New Roman"/>
                <w:lang w:val="es-ES"/>
              </w:rPr>
            </w:pPr>
          </w:p>
        </w:tc>
        <w:tc>
          <w:tcPr>
            <w:tcW w:w="226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A420E12" w14:textId="22BB404C" w:rsidR="00130C34" w:rsidRPr="00130C34" w:rsidRDefault="00130C34" w:rsidP="001F1C6F">
            <w:pPr>
              <w:suppressAutoHyphens w:val="0"/>
              <w:spacing w:before="0" w:after="0"/>
              <w:jc w:val="center"/>
              <w:textAlignment w:val="auto"/>
              <w:rPr>
                <w:rFonts w:eastAsia="Times New Roman"/>
                <w:lang w:val="es-ES"/>
              </w:rPr>
            </w:pPr>
          </w:p>
        </w:tc>
        <w:tc>
          <w:tcPr>
            <w:tcW w:w="141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2EA32D7" w14:textId="65073B38" w:rsidR="00130C34" w:rsidRPr="00130C34" w:rsidRDefault="001F1C6F" w:rsidP="00130C34">
            <w:pPr>
              <w:suppressAutoHyphens w:val="0"/>
              <w:spacing w:before="0" w:after="0"/>
              <w:jc w:val="center"/>
              <w:textAlignment w:val="auto"/>
              <w:rPr>
                <w:rFonts w:eastAsia="Times New Roman"/>
                <w:lang w:val="es-ES"/>
              </w:rPr>
            </w:pPr>
            <w:r>
              <w:rPr>
                <w:rFonts w:eastAsia="Times New Roman"/>
                <w:lang w:val="es-ES"/>
              </w:rPr>
              <w:t>sí</w:t>
            </w:r>
          </w:p>
        </w:tc>
        <w:tc>
          <w:tcPr>
            <w:tcW w:w="1418" w:type="dxa"/>
            <w:tcBorders>
              <w:top w:val="single" w:sz="6" w:space="0" w:color="9CC2E5"/>
              <w:left w:val="single" w:sz="6" w:space="0" w:color="9CC2E5"/>
              <w:bottom w:val="single" w:sz="6" w:space="0" w:color="9CC2E5"/>
              <w:right w:val="single" w:sz="6" w:space="0" w:color="9CC2E5"/>
            </w:tcBorders>
            <w:shd w:val="clear" w:color="auto" w:fill="DEEAF6"/>
          </w:tcPr>
          <w:p w14:paraId="7B6E32BC" w14:textId="71FB0165" w:rsidR="00130C34" w:rsidRPr="00130C34" w:rsidRDefault="001F1C6F" w:rsidP="001F1C6F">
            <w:pPr>
              <w:suppressAutoHyphens w:val="0"/>
              <w:spacing w:before="0" w:after="0"/>
              <w:jc w:val="center"/>
              <w:textAlignment w:val="auto"/>
              <w:rPr>
                <w:rFonts w:eastAsia="Times New Roman"/>
                <w:lang w:val="es-ES"/>
              </w:rPr>
            </w:pPr>
            <w:r w:rsidRPr="001F1C6F">
              <w:rPr>
                <w:rFonts w:eastAsia="Times New Roman"/>
                <w:lang w:val="es-ES"/>
              </w:rPr>
              <w:t>69</w:t>
            </w:r>
            <w:r>
              <w:rPr>
                <w:rFonts w:eastAsia="Times New Roman"/>
                <w:lang w:val="es-ES"/>
              </w:rPr>
              <w:t>,</w:t>
            </w:r>
            <w:r w:rsidRPr="001F1C6F">
              <w:rPr>
                <w:rFonts w:eastAsia="Times New Roman"/>
                <w:lang w:val="es-ES"/>
              </w:rPr>
              <w:t>5 – 70</w:t>
            </w:r>
            <w:r>
              <w:rPr>
                <w:rFonts w:eastAsia="Times New Roman"/>
                <w:lang w:val="es-ES"/>
              </w:rPr>
              <w:t>,</w:t>
            </w:r>
            <w:r w:rsidRPr="001F1C6F">
              <w:rPr>
                <w:rFonts w:eastAsia="Times New Roman"/>
                <w:lang w:val="es-ES"/>
              </w:rPr>
              <w:t>2</w:t>
            </w:r>
          </w:p>
        </w:tc>
      </w:tr>
      <w:tr w:rsidR="001F1C6F" w:rsidRPr="00130C34" w14:paraId="5B053EDD" w14:textId="77777777" w:rsidTr="001F1C6F">
        <w:trPr>
          <w:trHeight w:val="276"/>
          <w:jc w:val="center"/>
        </w:trPr>
        <w:tc>
          <w:tcPr>
            <w:tcW w:w="2826"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8FDB363" w14:textId="59BB4825" w:rsidR="00130C34" w:rsidRPr="00130C34" w:rsidRDefault="001F1C6F" w:rsidP="001F1C6F">
            <w:pPr>
              <w:suppressAutoHyphens w:val="0"/>
              <w:spacing w:before="0" w:after="0"/>
              <w:jc w:val="left"/>
              <w:textAlignment w:val="auto"/>
              <w:rPr>
                <w:rFonts w:eastAsia="Times New Roman"/>
                <w:lang w:val="es-ES"/>
              </w:rPr>
            </w:pPr>
            <w:r w:rsidRPr="001F1C6F">
              <w:rPr>
                <w:rFonts w:eastAsia="Times New Roman"/>
                <w:lang w:val="es-ES"/>
              </w:rPr>
              <w:t>Todas lámparas para uso general – integradas y no integradas **)</w:t>
            </w:r>
          </w:p>
        </w:tc>
        <w:tc>
          <w:tcPr>
            <w:tcW w:w="226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4A4A707" w14:textId="049E6134" w:rsidR="00130C34" w:rsidRPr="00C220E0" w:rsidRDefault="00130C34" w:rsidP="001F1C6F">
            <w:pPr>
              <w:suppressAutoHyphens w:val="0"/>
              <w:spacing w:before="0" w:after="0"/>
              <w:jc w:val="center"/>
              <w:textAlignment w:val="auto"/>
              <w:rPr>
                <w:rFonts w:eastAsia="Times New Roman"/>
                <w:lang w:val="es-ES"/>
              </w:rPr>
            </w:pPr>
          </w:p>
        </w:tc>
        <w:tc>
          <w:tcPr>
            <w:tcW w:w="141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6B9D503" w14:textId="61318351" w:rsidR="00130C34" w:rsidRPr="00130C34" w:rsidRDefault="001F1C6F" w:rsidP="00130C34">
            <w:pPr>
              <w:suppressAutoHyphens w:val="0"/>
              <w:spacing w:before="0" w:after="0"/>
              <w:jc w:val="center"/>
              <w:textAlignment w:val="auto"/>
              <w:rPr>
                <w:rFonts w:eastAsia="Times New Roman"/>
              </w:rPr>
            </w:pPr>
            <w:r>
              <w:rPr>
                <w:rFonts w:eastAsia="Times New Roman"/>
              </w:rPr>
              <w:t>-</w:t>
            </w:r>
          </w:p>
        </w:tc>
        <w:tc>
          <w:tcPr>
            <w:tcW w:w="1418" w:type="dxa"/>
            <w:tcBorders>
              <w:top w:val="single" w:sz="6" w:space="0" w:color="9CC2E5"/>
              <w:left w:val="single" w:sz="6" w:space="0" w:color="9CC2E5"/>
              <w:bottom w:val="single" w:sz="6" w:space="0" w:color="9CC2E5"/>
              <w:right w:val="single" w:sz="6" w:space="0" w:color="9CC2E5"/>
            </w:tcBorders>
            <w:shd w:val="clear" w:color="auto" w:fill="auto"/>
          </w:tcPr>
          <w:p w14:paraId="21C3439A" w14:textId="54314607" w:rsidR="00130C34" w:rsidRPr="00130C34" w:rsidRDefault="001F1C6F" w:rsidP="001F1C6F">
            <w:pPr>
              <w:suppressAutoHyphens w:val="0"/>
              <w:spacing w:before="0" w:after="0"/>
              <w:jc w:val="center"/>
              <w:textAlignment w:val="auto"/>
              <w:rPr>
                <w:rFonts w:eastAsia="Times New Roman"/>
              </w:rPr>
            </w:pPr>
            <w:r w:rsidRPr="001F1C6F">
              <w:rPr>
                <w:rFonts w:eastAsia="Times New Roman"/>
              </w:rPr>
              <w:t>45</w:t>
            </w:r>
            <w:r>
              <w:rPr>
                <w:rFonts w:eastAsia="Times New Roman"/>
              </w:rPr>
              <w:t>,</w:t>
            </w:r>
            <w:r w:rsidRPr="001F1C6F">
              <w:rPr>
                <w:rFonts w:eastAsia="Times New Roman"/>
              </w:rPr>
              <w:t>0</w:t>
            </w:r>
          </w:p>
        </w:tc>
      </w:tr>
    </w:tbl>
    <w:p w14:paraId="2B45EE7C" w14:textId="0DD6BF89" w:rsidR="00C03774" w:rsidRPr="001F1C6F" w:rsidRDefault="001F1C6F" w:rsidP="001F1C6F">
      <w:pPr>
        <w:pStyle w:val="ListParagraph"/>
        <w:suppressAutoHyphens w:val="0"/>
        <w:spacing w:before="0" w:after="0"/>
        <w:ind w:left="0"/>
        <w:rPr>
          <w:sz w:val="20"/>
          <w:szCs w:val="20"/>
          <w:lang w:val="es-ES"/>
        </w:rPr>
      </w:pPr>
      <w:r>
        <w:rPr>
          <w:sz w:val="20"/>
          <w:szCs w:val="20"/>
          <w:lang w:val="es-ES"/>
        </w:rPr>
        <w:t xml:space="preserve">      </w:t>
      </w:r>
      <w:r w:rsidRPr="001F1C6F">
        <w:rPr>
          <w:sz w:val="20"/>
          <w:szCs w:val="20"/>
          <w:lang w:val="es-ES"/>
        </w:rPr>
        <w:t xml:space="preserve">*) a partir de 3 años después de la publicación de </w:t>
      </w:r>
      <w:r w:rsidRPr="001F1C6F">
        <w:rPr>
          <w:i/>
          <w:sz w:val="20"/>
          <w:szCs w:val="20"/>
          <w:lang w:val="es-ES"/>
        </w:rPr>
        <w:t>final rule</w:t>
      </w:r>
    </w:p>
    <w:p w14:paraId="29BE352B" w14:textId="75F8F1B6" w:rsidR="001F1C6F" w:rsidRPr="001F1C6F" w:rsidRDefault="001F1C6F" w:rsidP="001F1C6F">
      <w:pPr>
        <w:pStyle w:val="ListParagraph"/>
        <w:suppressAutoHyphens w:val="0"/>
        <w:spacing w:before="0" w:after="0"/>
        <w:ind w:left="0"/>
        <w:rPr>
          <w:sz w:val="20"/>
          <w:szCs w:val="20"/>
          <w:lang w:val="es-ES"/>
        </w:rPr>
      </w:pPr>
      <w:r>
        <w:rPr>
          <w:sz w:val="20"/>
          <w:szCs w:val="20"/>
          <w:lang w:val="es-ES"/>
        </w:rPr>
        <w:t xml:space="preserve">      </w:t>
      </w:r>
      <w:r w:rsidRPr="001F1C6F">
        <w:rPr>
          <w:sz w:val="20"/>
          <w:szCs w:val="20"/>
          <w:lang w:val="es-ES"/>
        </w:rPr>
        <w:t>**) a partir de 1 de enero de 2020</w:t>
      </w:r>
    </w:p>
    <w:p w14:paraId="04ED317A" w14:textId="31DE99AA" w:rsidR="00000FC2" w:rsidRDefault="00000FC2">
      <w:pPr>
        <w:suppressAutoHyphens w:val="0"/>
        <w:rPr>
          <w:lang w:val="es-ES"/>
        </w:rPr>
      </w:pPr>
      <w:r>
        <w:rPr>
          <w:lang w:val="es-ES"/>
        </w:rPr>
        <w:br w:type="page"/>
      </w:r>
    </w:p>
    <w:p w14:paraId="34DACD22" w14:textId="7D6D6E19" w:rsidR="00C03774" w:rsidRDefault="00C03774" w:rsidP="00C03774">
      <w:pPr>
        <w:pStyle w:val="Caption"/>
        <w:spacing w:after="0"/>
        <w:rPr>
          <w:lang w:val="es-ES"/>
        </w:rPr>
      </w:pPr>
      <w:r w:rsidRPr="00F87425">
        <w:rPr>
          <w:lang w:val="es-ES"/>
        </w:rPr>
        <w:t>10 CFR 430.32(</w:t>
      </w:r>
      <w:r>
        <w:rPr>
          <w:lang w:val="es-ES"/>
        </w:rPr>
        <w:t>n</w:t>
      </w:r>
      <w:r w:rsidRPr="00F87425">
        <w:rPr>
          <w:lang w:val="es-ES"/>
        </w:rPr>
        <w:t>): L</w:t>
      </w:r>
      <w:r w:rsidRPr="00C03774">
        <w:rPr>
          <w:lang w:val="es-ES"/>
        </w:rPr>
        <w:t>ámparas fluorescentes para uso general</w:t>
      </w:r>
    </w:p>
    <w:p w14:paraId="48FC7322" w14:textId="7DEE680E" w:rsidR="00C03774" w:rsidRPr="00A96F74" w:rsidRDefault="00C03774" w:rsidP="00C03774">
      <w:pPr>
        <w:spacing w:before="0" w:after="140"/>
        <w:jc w:val="center"/>
        <w:rPr>
          <w:color w:val="002B7F"/>
          <w:lang w:val="es-ES"/>
        </w:rPr>
      </w:pPr>
      <w:r w:rsidRPr="00A96F74">
        <w:rPr>
          <w:i/>
          <w:color w:val="002B7F"/>
          <w:sz w:val="18"/>
          <w:lang w:val="es-ES"/>
        </w:rPr>
        <w:t>Fuente:</w:t>
      </w:r>
      <w:r w:rsidRPr="00E2630F">
        <w:rPr>
          <w:lang w:val="es-ES"/>
        </w:rPr>
        <w:t xml:space="preserve"> </w:t>
      </w:r>
      <w:r w:rsidRPr="00E2630F">
        <w:rPr>
          <w:rFonts w:cstheme="minorHAnsi"/>
          <w:color w:val="002B7F"/>
          <w:sz w:val="18"/>
          <w:lang w:val="es-PA"/>
        </w:rPr>
        <w:t>Elaboración propia en base de e-CFR §430.32</w:t>
      </w:r>
      <w:r>
        <w:rPr>
          <w:rFonts w:cstheme="minorHAnsi"/>
          <w:color w:val="002B7F"/>
          <w:sz w:val="18"/>
          <w:lang w:val="es-PA"/>
        </w:rPr>
        <w:t>(n)</w:t>
      </w:r>
    </w:p>
    <w:tbl>
      <w:tblPr>
        <w:tblW w:w="4667" w:type="pct"/>
        <w:jc w:val="center"/>
        <w:tblCellMar>
          <w:left w:w="10" w:type="dxa"/>
          <w:right w:w="10" w:type="dxa"/>
        </w:tblCellMar>
        <w:tblLook w:val="0000" w:firstRow="0" w:lastRow="0" w:firstColumn="0" w:lastColumn="0" w:noHBand="0" w:noVBand="0"/>
      </w:tblPr>
      <w:tblGrid>
        <w:gridCol w:w="2827"/>
        <w:gridCol w:w="2268"/>
        <w:gridCol w:w="1418"/>
        <w:gridCol w:w="1417"/>
      </w:tblGrid>
      <w:tr w:rsidR="00C03774" w:rsidRPr="006C6495" w14:paraId="1AC1B5D1" w14:textId="6B77D0C3" w:rsidTr="00130C34">
        <w:trPr>
          <w:jc w:val="center"/>
        </w:trPr>
        <w:tc>
          <w:tcPr>
            <w:tcW w:w="2827"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17D9BAC4" w14:textId="6B7DB1BE" w:rsidR="00C03774" w:rsidRPr="00F87425" w:rsidRDefault="00C03774" w:rsidP="00130C34">
            <w:pPr>
              <w:suppressAutoHyphens w:val="0"/>
              <w:spacing w:before="0" w:after="0"/>
              <w:jc w:val="left"/>
              <w:textAlignment w:val="auto"/>
              <w:rPr>
                <w:rFonts w:eastAsia="Times New Roman"/>
                <w:b/>
                <w:color w:val="FFFFFF" w:themeColor="background1"/>
                <w:lang w:val="es-ES"/>
              </w:rPr>
            </w:pPr>
            <w:r>
              <w:rPr>
                <w:rFonts w:eastAsia="Times New Roman"/>
                <w:b/>
                <w:color w:val="FFFFFF" w:themeColor="background1"/>
                <w:lang w:val="es-ES"/>
              </w:rPr>
              <w:t>Tipo de lámpara</w:t>
            </w:r>
          </w:p>
        </w:tc>
        <w:tc>
          <w:tcPr>
            <w:tcW w:w="2268" w:type="dxa"/>
            <w:tcBorders>
              <w:top w:val="single" w:sz="6" w:space="0" w:color="5B9BD5"/>
              <w:bottom w:val="single" w:sz="6" w:space="0" w:color="5B9BD5"/>
            </w:tcBorders>
            <w:shd w:val="clear" w:color="auto" w:fill="5B9BD5"/>
            <w:tcMar>
              <w:top w:w="0" w:type="dxa"/>
              <w:left w:w="108" w:type="dxa"/>
              <w:bottom w:w="0" w:type="dxa"/>
              <w:right w:w="108" w:type="dxa"/>
            </w:tcMar>
          </w:tcPr>
          <w:p w14:paraId="16DEBBC2" w14:textId="168579B3" w:rsidR="00C03774" w:rsidRPr="00F87425" w:rsidRDefault="00C03774" w:rsidP="00C03774">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Temperatura de color correlacionada</w:t>
            </w:r>
          </w:p>
        </w:tc>
        <w:tc>
          <w:tcPr>
            <w:tcW w:w="2835" w:type="dxa"/>
            <w:gridSpan w:val="2"/>
            <w:tcBorders>
              <w:top w:val="single" w:sz="6" w:space="0" w:color="5B9BD5"/>
              <w:bottom w:val="single" w:sz="6" w:space="0" w:color="5B9BD5"/>
            </w:tcBorders>
            <w:shd w:val="clear" w:color="auto" w:fill="5B9BD5"/>
            <w:tcMar>
              <w:top w:w="0" w:type="dxa"/>
              <w:left w:w="108" w:type="dxa"/>
              <w:bottom w:w="0" w:type="dxa"/>
              <w:right w:w="108" w:type="dxa"/>
            </w:tcMar>
          </w:tcPr>
          <w:p w14:paraId="6E90AB98" w14:textId="5DA247CB" w:rsidR="00C03774" w:rsidRDefault="00C03774" w:rsidP="00A27331">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Eficacia mínima (lm/W)</w:t>
            </w:r>
          </w:p>
        </w:tc>
      </w:tr>
      <w:tr w:rsidR="00C03774" w:rsidRPr="00F87425" w14:paraId="674AD759" w14:textId="77777777" w:rsidTr="00E76EF0">
        <w:trPr>
          <w:jc w:val="center"/>
        </w:trPr>
        <w:tc>
          <w:tcPr>
            <w:tcW w:w="2827" w:type="dxa"/>
            <w:tcBorders>
              <w:top w:val="single" w:sz="6" w:space="0" w:color="9CC2E5"/>
              <w:left w:val="single" w:sz="6" w:space="0" w:color="9CC2E5"/>
              <w:bottom w:val="single" w:sz="6" w:space="0" w:color="9CC2E5"/>
              <w:right w:val="single" w:sz="6" w:space="0" w:color="9CC2E5"/>
            </w:tcBorders>
            <w:shd w:val="clear" w:color="auto" w:fill="9CC2E5"/>
            <w:tcMar>
              <w:top w:w="0" w:type="dxa"/>
              <w:left w:w="108" w:type="dxa"/>
              <w:bottom w:w="0" w:type="dxa"/>
              <w:right w:w="108" w:type="dxa"/>
            </w:tcMar>
          </w:tcPr>
          <w:p w14:paraId="36255B8E" w14:textId="77777777" w:rsidR="00C03774" w:rsidRPr="00F87425" w:rsidRDefault="00C03774" w:rsidP="00A27331">
            <w:pPr>
              <w:suppressAutoHyphens w:val="0"/>
              <w:spacing w:before="0" w:after="0"/>
              <w:jc w:val="center"/>
              <w:textAlignment w:val="auto"/>
              <w:rPr>
                <w:rFonts w:eastAsia="Times New Roman"/>
                <w:lang w:val="es-ES"/>
              </w:rPr>
            </w:pPr>
          </w:p>
        </w:tc>
        <w:tc>
          <w:tcPr>
            <w:tcW w:w="2268" w:type="dxa"/>
            <w:tcBorders>
              <w:top w:val="single" w:sz="6" w:space="0" w:color="9CC2E5"/>
              <w:left w:val="single" w:sz="6" w:space="0" w:color="9CC2E5"/>
              <w:bottom w:val="single" w:sz="6" w:space="0" w:color="9CC2E5"/>
              <w:right w:val="single" w:sz="6" w:space="0" w:color="9CC2E5"/>
            </w:tcBorders>
            <w:shd w:val="clear" w:color="auto" w:fill="9CC2E5"/>
            <w:tcMar>
              <w:top w:w="0" w:type="dxa"/>
              <w:left w:w="108" w:type="dxa"/>
              <w:bottom w:w="0" w:type="dxa"/>
              <w:right w:w="108" w:type="dxa"/>
            </w:tcMar>
          </w:tcPr>
          <w:p w14:paraId="52363106" w14:textId="77777777" w:rsidR="00C03774" w:rsidRDefault="00C03774" w:rsidP="00A27331">
            <w:pPr>
              <w:suppressAutoHyphens w:val="0"/>
              <w:spacing w:before="0" w:after="0"/>
              <w:jc w:val="center"/>
              <w:textAlignment w:val="auto"/>
              <w:rPr>
                <w:rFonts w:eastAsia="Times New Roman"/>
                <w:lang w:val="es-ES"/>
              </w:rPr>
            </w:pPr>
          </w:p>
        </w:tc>
        <w:tc>
          <w:tcPr>
            <w:tcW w:w="1418" w:type="dxa"/>
            <w:tcBorders>
              <w:top w:val="single" w:sz="6" w:space="0" w:color="9CC2E5"/>
              <w:left w:val="single" w:sz="6" w:space="0" w:color="9CC2E5"/>
              <w:bottom w:val="single" w:sz="6" w:space="0" w:color="9CC2E5"/>
              <w:right w:val="single" w:sz="6" w:space="0" w:color="9CC2E5"/>
            </w:tcBorders>
            <w:shd w:val="clear" w:color="auto" w:fill="9CC2E5" w:themeFill="accent1" w:themeFillTint="99"/>
            <w:tcMar>
              <w:top w:w="0" w:type="dxa"/>
              <w:left w:w="108" w:type="dxa"/>
              <w:bottom w:w="0" w:type="dxa"/>
              <w:right w:w="108" w:type="dxa"/>
            </w:tcMar>
          </w:tcPr>
          <w:p w14:paraId="0403963D" w14:textId="3C295BD7" w:rsidR="00C03774" w:rsidRPr="00C03774" w:rsidRDefault="00C03774" w:rsidP="00A27331">
            <w:pPr>
              <w:suppressAutoHyphens w:val="0"/>
              <w:spacing w:before="0" w:after="0"/>
              <w:jc w:val="center"/>
              <w:textAlignment w:val="auto"/>
              <w:rPr>
                <w:rFonts w:eastAsia="Times New Roman"/>
                <w:b/>
                <w:lang w:val="es-ES"/>
              </w:rPr>
            </w:pPr>
            <w:r w:rsidRPr="00C03774">
              <w:rPr>
                <w:rFonts w:eastAsia="Times New Roman"/>
                <w:b/>
                <w:color w:val="FFFFFF" w:themeColor="background1"/>
                <w:lang w:val="es-ES"/>
              </w:rPr>
              <w:t>2012</w:t>
            </w:r>
          </w:p>
        </w:tc>
        <w:tc>
          <w:tcPr>
            <w:tcW w:w="1417" w:type="dxa"/>
            <w:tcBorders>
              <w:top w:val="single" w:sz="6" w:space="0" w:color="9CC2E5"/>
              <w:left w:val="single" w:sz="6" w:space="0" w:color="9CC2E5"/>
              <w:bottom w:val="single" w:sz="6" w:space="0" w:color="9CC2E5"/>
              <w:right w:val="single" w:sz="6" w:space="0" w:color="9CC2E5"/>
            </w:tcBorders>
            <w:shd w:val="clear" w:color="auto" w:fill="9CC2E5" w:themeFill="accent1" w:themeFillTint="99"/>
          </w:tcPr>
          <w:p w14:paraId="18A75A95" w14:textId="0A36D525" w:rsidR="00C03774" w:rsidRPr="00C03774" w:rsidRDefault="00C03774" w:rsidP="00A27331">
            <w:pPr>
              <w:suppressAutoHyphens w:val="0"/>
              <w:spacing w:before="0" w:after="0"/>
              <w:jc w:val="center"/>
              <w:textAlignment w:val="auto"/>
              <w:rPr>
                <w:rFonts w:eastAsia="Times New Roman"/>
                <w:b/>
                <w:lang w:val="es-ES"/>
              </w:rPr>
            </w:pPr>
            <w:r w:rsidRPr="00C03774">
              <w:rPr>
                <w:rFonts w:eastAsia="Times New Roman"/>
                <w:b/>
                <w:color w:val="FFFFFF" w:themeColor="background1"/>
                <w:lang w:val="es-ES"/>
              </w:rPr>
              <w:t>2018</w:t>
            </w:r>
          </w:p>
        </w:tc>
      </w:tr>
      <w:tr w:rsidR="00C03774" w:rsidRPr="00F87425" w14:paraId="1C07FD04" w14:textId="3F13CFA5" w:rsidTr="00130C34">
        <w:trPr>
          <w:jc w:val="center"/>
        </w:trPr>
        <w:tc>
          <w:tcPr>
            <w:tcW w:w="282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468E187" w14:textId="26DA127A" w:rsidR="00C03774" w:rsidRPr="00F87425" w:rsidRDefault="00C03774" w:rsidP="00C03774">
            <w:pPr>
              <w:suppressAutoHyphens w:val="0"/>
              <w:spacing w:before="0" w:after="0"/>
              <w:jc w:val="left"/>
              <w:textAlignment w:val="auto"/>
              <w:rPr>
                <w:rFonts w:eastAsia="Times New Roman"/>
                <w:lang w:val="es-ES"/>
              </w:rPr>
            </w:pPr>
            <w:r w:rsidRPr="00C03774">
              <w:rPr>
                <w:rFonts w:eastAsia="Times New Roman"/>
                <w:lang w:val="es-ES"/>
              </w:rPr>
              <w:t>4-foot medium bipin</w:t>
            </w:r>
          </w:p>
        </w:tc>
        <w:tc>
          <w:tcPr>
            <w:tcW w:w="226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5A00949" w14:textId="77777777" w:rsidR="00C03774" w:rsidRPr="00C03774" w:rsidRDefault="00C03774" w:rsidP="00C03774">
            <w:pPr>
              <w:suppressAutoHyphens w:val="0"/>
              <w:spacing w:before="0" w:after="0"/>
              <w:jc w:val="left"/>
              <w:textAlignment w:val="auto"/>
              <w:rPr>
                <w:rFonts w:eastAsia="Times New Roman"/>
                <w:lang w:val="es-ES"/>
              </w:rPr>
            </w:pPr>
            <w:r w:rsidRPr="00C03774">
              <w:rPr>
                <w:rFonts w:eastAsia="Times New Roman"/>
                <w:lang w:val="es-ES"/>
              </w:rPr>
              <w:t>≤4,500K</w:t>
            </w:r>
          </w:p>
          <w:p w14:paraId="16A0C047" w14:textId="47912CA8" w:rsidR="00C03774" w:rsidRPr="00F87425" w:rsidRDefault="00C03774" w:rsidP="00C03774">
            <w:pPr>
              <w:suppressAutoHyphens w:val="0"/>
              <w:spacing w:before="0" w:after="0"/>
              <w:jc w:val="left"/>
              <w:textAlignment w:val="auto"/>
              <w:rPr>
                <w:rFonts w:eastAsia="Times New Roman"/>
                <w:lang w:val="es-ES"/>
              </w:rPr>
            </w:pPr>
            <w:r w:rsidRPr="00C03774">
              <w:rPr>
                <w:rFonts w:eastAsia="Times New Roman"/>
                <w:lang w:val="es-ES"/>
              </w:rPr>
              <w:t>&gt;4,500 and ≤7,000K</w:t>
            </w:r>
          </w:p>
        </w:tc>
        <w:tc>
          <w:tcPr>
            <w:tcW w:w="141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DADC690" w14:textId="77777777" w:rsidR="00130C34" w:rsidRPr="00130C34" w:rsidRDefault="00130C34" w:rsidP="00130C34">
            <w:pPr>
              <w:suppressAutoHyphens w:val="0"/>
              <w:spacing w:before="0" w:after="0"/>
              <w:jc w:val="center"/>
              <w:textAlignment w:val="auto"/>
              <w:rPr>
                <w:rFonts w:eastAsia="Times New Roman"/>
                <w:lang w:val="es-ES"/>
              </w:rPr>
            </w:pPr>
            <w:r w:rsidRPr="00130C34">
              <w:rPr>
                <w:rFonts w:eastAsia="Times New Roman"/>
                <w:lang w:val="es-ES"/>
              </w:rPr>
              <w:t>89</w:t>
            </w:r>
          </w:p>
          <w:p w14:paraId="2FFD1B2B" w14:textId="7EA7557B" w:rsidR="00C03774" w:rsidRPr="00F87425" w:rsidRDefault="00130C34" w:rsidP="00130C34">
            <w:pPr>
              <w:suppressAutoHyphens w:val="0"/>
              <w:spacing w:before="0" w:after="0"/>
              <w:jc w:val="center"/>
              <w:textAlignment w:val="auto"/>
              <w:rPr>
                <w:rFonts w:eastAsia="Times New Roman"/>
                <w:lang w:val="es-ES"/>
              </w:rPr>
            </w:pPr>
            <w:r w:rsidRPr="00130C34">
              <w:rPr>
                <w:rFonts w:eastAsia="Times New Roman"/>
                <w:lang w:val="es-ES"/>
              </w:rPr>
              <w:t>88</w:t>
            </w:r>
          </w:p>
        </w:tc>
        <w:tc>
          <w:tcPr>
            <w:tcW w:w="1417" w:type="dxa"/>
            <w:tcBorders>
              <w:top w:val="single" w:sz="6" w:space="0" w:color="9CC2E5"/>
              <w:left w:val="single" w:sz="6" w:space="0" w:color="9CC2E5"/>
              <w:bottom w:val="single" w:sz="6" w:space="0" w:color="9CC2E5"/>
              <w:right w:val="single" w:sz="6" w:space="0" w:color="9CC2E5"/>
            </w:tcBorders>
          </w:tcPr>
          <w:p w14:paraId="64338543" w14:textId="4E26B94C" w:rsidR="00130C34" w:rsidRPr="00130C34" w:rsidRDefault="00130C34" w:rsidP="00130C34">
            <w:pPr>
              <w:suppressAutoHyphens w:val="0"/>
              <w:spacing w:before="0" w:after="0"/>
              <w:jc w:val="center"/>
              <w:textAlignment w:val="auto"/>
              <w:rPr>
                <w:rFonts w:eastAsia="Times New Roman"/>
                <w:lang w:val="es-ES"/>
              </w:rPr>
            </w:pPr>
            <w:r>
              <w:rPr>
                <w:rFonts w:eastAsia="Times New Roman"/>
                <w:lang w:val="es-ES"/>
              </w:rPr>
              <w:t>92,</w:t>
            </w:r>
            <w:r w:rsidRPr="00130C34">
              <w:rPr>
                <w:rFonts w:eastAsia="Times New Roman"/>
                <w:lang w:val="es-ES"/>
              </w:rPr>
              <w:t>4</w:t>
            </w:r>
          </w:p>
          <w:p w14:paraId="7611B64B" w14:textId="17B093A0" w:rsidR="00C03774" w:rsidRPr="00F87425" w:rsidRDefault="00130C34" w:rsidP="00130C34">
            <w:pPr>
              <w:suppressAutoHyphens w:val="0"/>
              <w:spacing w:before="0" w:after="0"/>
              <w:jc w:val="center"/>
              <w:textAlignment w:val="auto"/>
              <w:rPr>
                <w:rFonts w:eastAsia="Times New Roman"/>
                <w:lang w:val="es-ES"/>
              </w:rPr>
            </w:pPr>
            <w:r w:rsidRPr="00130C34">
              <w:rPr>
                <w:rFonts w:eastAsia="Times New Roman"/>
                <w:lang w:val="es-ES"/>
              </w:rPr>
              <w:t>88</w:t>
            </w:r>
            <w:r>
              <w:rPr>
                <w:rFonts w:eastAsia="Times New Roman"/>
                <w:lang w:val="es-ES"/>
              </w:rPr>
              <w:t>,</w:t>
            </w:r>
            <w:r w:rsidRPr="00130C34">
              <w:rPr>
                <w:rFonts w:eastAsia="Times New Roman"/>
                <w:lang w:val="es-ES"/>
              </w:rPr>
              <w:t>7</w:t>
            </w:r>
          </w:p>
        </w:tc>
      </w:tr>
      <w:tr w:rsidR="00C03774" w:rsidRPr="00F87425" w14:paraId="326CC305" w14:textId="208B54C8" w:rsidTr="00130C34">
        <w:trPr>
          <w:jc w:val="center"/>
        </w:trPr>
        <w:tc>
          <w:tcPr>
            <w:tcW w:w="282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982455C" w14:textId="65821B74" w:rsidR="00C03774" w:rsidRPr="00F87425" w:rsidRDefault="00C03774" w:rsidP="00C03774">
            <w:pPr>
              <w:suppressAutoHyphens w:val="0"/>
              <w:spacing w:before="0" w:after="0"/>
              <w:jc w:val="left"/>
              <w:textAlignment w:val="auto"/>
              <w:rPr>
                <w:rFonts w:eastAsia="Times New Roman"/>
                <w:lang w:val="es-ES"/>
              </w:rPr>
            </w:pPr>
            <w:r w:rsidRPr="00C03774">
              <w:rPr>
                <w:rFonts w:eastAsia="Times New Roman"/>
                <w:lang w:val="es-ES"/>
              </w:rPr>
              <w:t>2-foot U-shaped</w:t>
            </w:r>
          </w:p>
        </w:tc>
        <w:tc>
          <w:tcPr>
            <w:tcW w:w="226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6DC8652" w14:textId="77777777" w:rsidR="00C03774" w:rsidRPr="00C03774" w:rsidRDefault="00C03774" w:rsidP="00C03774">
            <w:pPr>
              <w:suppressAutoHyphens w:val="0"/>
              <w:spacing w:before="0" w:after="0"/>
              <w:jc w:val="left"/>
              <w:textAlignment w:val="auto"/>
              <w:rPr>
                <w:rFonts w:eastAsia="Times New Roman"/>
                <w:lang w:val="es-ES"/>
              </w:rPr>
            </w:pPr>
            <w:r w:rsidRPr="00C03774">
              <w:rPr>
                <w:rFonts w:eastAsia="Times New Roman"/>
                <w:lang w:val="es-ES"/>
              </w:rPr>
              <w:t>≤4,500K</w:t>
            </w:r>
          </w:p>
          <w:p w14:paraId="15ABE27F" w14:textId="7519B201" w:rsidR="00C03774" w:rsidRPr="00F87425" w:rsidRDefault="00C03774" w:rsidP="00C03774">
            <w:pPr>
              <w:suppressAutoHyphens w:val="0"/>
              <w:spacing w:before="0" w:after="0"/>
              <w:jc w:val="left"/>
              <w:textAlignment w:val="auto"/>
              <w:rPr>
                <w:rFonts w:eastAsia="Times New Roman"/>
                <w:lang w:val="es-ES"/>
              </w:rPr>
            </w:pPr>
            <w:r w:rsidRPr="00C03774">
              <w:rPr>
                <w:rFonts w:eastAsia="Times New Roman"/>
                <w:lang w:val="es-ES"/>
              </w:rPr>
              <w:t>&gt;4,500 and ≤7,000K</w:t>
            </w:r>
          </w:p>
        </w:tc>
        <w:tc>
          <w:tcPr>
            <w:tcW w:w="141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4A870FB" w14:textId="77777777" w:rsidR="00130C34" w:rsidRPr="00130C34" w:rsidRDefault="00130C34" w:rsidP="00130C34">
            <w:pPr>
              <w:suppressAutoHyphens w:val="0"/>
              <w:spacing w:before="0" w:after="0"/>
              <w:jc w:val="center"/>
              <w:textAlignment w:val="auto"/>
              <w:rPr>
                <w:rFonts w:eastAsia="Times New Roman"/>
                <w:lang w:val="es-ES"/>
              </w:rPr>
            </w:pPr>
            <w:r w:rsidRPr="00130C34">
              <w:rPr>
                <w:rFonts w:eastAsia="Times New Roman"/>
                <w:lang w:val="es-ES"/>
              </w:rPr>
              <w:t>84</w:t>
            </w:r>
          </w:p>
          <w:p w14:paraId="7E1CD037" w14:textId="3D0315B7" w:rsidR="00C03774" w:rsidRPr="00F87425" w:rsidRDefault="00130C34" w:rsidP="00130C34">
            <w:pPr>
              <w:suppressAutoHyphens w:val="0"/>
              <w:spacing w:before="0" w:after="0"/>
              <w:jc w:val="center"/>
              <w:textAlignment w:val="auto"/>
              <w:rPr>
                <w:rFonts w:eastAsia="Times New Roman"/>
                <w:lang w:val="es-ES"/>
              </w:rPr>
            </w:pPr>
            <w:r w:rsidRPr="00130C34">
              <w:rPr>
                <w:rFonts w:eastAsia="Times New Roman"/>
                <w:lang w:val="es-ES"/>
              </w:rPr>
              <w:t>81</w:t>
            </w:r>
          </w:p>
        </w:tc>
        <w:tc>
          <w:tcPr>
            <w:tcW w:w="1417" w:type="dxa"/>
            <w:tcBorders>
              <w:top w:val="single" w:sz="6" w:space="0" w:color="9CC2E5"/>
              <w:left w:val="single" w:sz="6" w:space="0" w:color="9CC2E5"/>
              <w:bottom w:val="single" w:sz="6" w:space="0" w:color="9CC2E5"/>
              <w:right w:val="single" w:sz="6" w:space="0" w:color="9CC2E5"/>
            </w:tcBorders>
            <w:shd w:val="clear" w:color="auto" w:fill="DEEAF6"/>
          </w:tcPr>
          <w:p w14:paraId="46C39D6F" w14:textId="0FE7C93B" w:rsidR="00130C34" w:rsidRPr="00130C34" w:rsidRDefault="00130C34" w:rsidP="00130C34">
            <w:pPr>
              <w:suppressAutoHyphens w:val="0"/>
              <w:spacing w:before="0" w:after="0"/>
              <w:jc w:val="center"/>
              <w:textAlignment w:val="auto"/>
              <w:rPr>
                <w:rFonts w:eastAsia="Times New Roman"/>
                <w:lang w:val="es-ES"/>
              </w:rPr>
            </w:pPr>
            <w:r w:rsidRPr="00130C34">
              <w:rPr>
                <w:rFonts w:eastAsia="Times New Roman"/>
                <w:lang w:val="es-ES"/>
              </w:rPr>
              <w:t>85</w:t>
            </w:r>
            <w:r>
              <w:rPr>
                <w:rFonts w:eastAsia="Times New Roman"/>
                <w:lang w:val="es-ES"/>
              </w:rPr>
              <w:t>,</w:t>
            </w:r>
            <w:r w:rsidRPr="00130C34">
              <w:rPr>
                <w:rFonts w:eastAsia="Times New Roman"/>
                <w:lang w:val="es-ES"/>
              </w:rPr>
              <w:t>0</w:t>
            </w:r>
          </w:p>
          <w:p w14:paraId="1C40481D" w14:textId="484816D1" w:rsidR="00C03774" w:rsidRPr="00F87425" w:rsidRDefault="00130C34" w:rsidP="00130C34">
            <w:pPr>
              <w:suppressAutoHyphens w:val="0"/>
              <w:spacing w:before="0" w:after="0"/>
              <w:jc w:val="center"/>
              <w:textAlignment w:val="auto"/>
              <w:rPr>
                <w:rFonts w:eastAsia="Times New Roman"/>
                <w:lang w:val="es-ES"/>
              </w:rPr>
            </w:pPr>
            <w:r w:rsidRPr="00130C34">
              <w:rPr>
                <w:rFonts w:eastAsia="Times New Roman"/>
                <w:lang w:val="es-ES"/>
              </w:rPr>
              <w:t>83</w:t>
            </w:r>
            <w:r>
              <w:rPr>
                <w:rFonts w:eastAsia="Times New Roman"/>
                <w:lang w:val="es-ES"/>
              </w:rPr>
              <w:t>,</w:t>
            </w:r>
            <w:r w:rsidRPr="00130C34">
              <w:rPr>
                <w:rFonts w:eastAsia="Times New Roman"/>
                <w:lang w:val="es-ES"/>
              </w:rPr>
              <w:t>3</w:t>
            </w:r>
          </w:p>
        </w:tc>
      </w:tr>
      <w:tr w:rsidR="00C03774" w:rsidRPr="00F87425" w14:paraId="0278D280" w14:textId="691B30A3" w:rsidTr="00130C34">
        <w:trPr>
          <w:trHeight w:val="242"/>
          <w:jc w:val="center"/>
        </w:trPr>
        <w:tc>
          <w:tcPr>
            <w:tcW w:w="2827"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1182662B" w14:textId="0AC398DE" w:rsidR="00C03774" w:rsidRPr="00F87425" w:rsidRDefault="00C03774" w:rsidP="00C03774">
            <w:pPr>
              <w:suppressAutoHyphens w:val="0"/>
              <w:spacing w:before="0" w:after="0"/>
              <w:jc w:val="left"/>
              <w:textAlignment w:val="auto"/>
              <w:rPr>
                <w:rFonts w:eastAsia="Times New Roman"/>
                <w:lang w:val="es-ES"/>
              </w:rPr>
            </w:pPr>
            <w:r w:rsidRPr="00C03774">
              <w:rPr>
                <w:rFonts w:eastAsia="Times New Roman"/>
                <w:lang w:val="es-ES"/>
              </w:rPr>
              <w:t>8-foot slimline</w:t>
            </w:r>
          </w:p>
        </w:tc>
        <w:tc>
          <w:tcPr>
            <w:tcW w:w="2268"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5D60F987" w14:textId="77777777" w:rsidR="00C03774" w:rsidRPr="00C03774" w:rsidRDefault="00C03774" w:rsidP="00C03774">
            <w:pPr>
              <w:suppressAutoHyphens w:val="0"/>
              <w:spacing w:before="0" w:after="0"/>
              <w:jc w:val="left"/>
              <w:textAlignment w:val="auto"/>
              <w:rPr>
                <w:rFonts w:eastAsia="Times New Roman"/>
                <w:lang w:val="es-ES"/>
              </w:rPr>
            </w:pPr>
            <w:r w:rsidRPr="00C03774">
              <w:rPr>
                <w:rFonts w:eastAsia="Times New Roman"/>
                <w:lang w:val="es-ES"/>
              </w:rPr>
              <w:t>≤4,500K</w:t>
            </w:r>
          </w:p>
          <w:p w14:paraId="529640CF" w14:textId="6C519AD0" w:rsidR="00C03774" w:rsidRPr="00F87425" w:rsidRDefault="00C03774" w:rsidP="00C03774">
            <w:pPr>
              <w:suppressAutoHyphens w:val="0"/>
              <w:spacing w:before="0" w:after="0"/>
              <w:jc w:val="left"/>
              <w:textAlignment w:val="auto"/>
              <w:rPr>
                <w:rFonts w:eastAsia="Times New Roman"/>
                <w:lang w:val="es-ES"/>
              </w:rPr>
            </w:pPr>
            <w:r w:rsidRPr="00C03774">
              <w:rPr>
                <w:rFonts w:eastAsia="Times New Roman"/>
                <w:lang w:val="es-ES"/>
              </w:rPr>
              <w:t>&gt;4,500 and ≤7,000K</w:t>
            </w:r>
          </w:p>
        </w:tc>
        <w:tc>
          <w:tcPr>
            <w:tcW w:w="1418"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1E6A5498" w14:textId="77777777" w:rsidR="00130C34" w:rsidRPr="00130C34" w:rsidRDefault="00130C34" w:rsidP="00130C34">
            <w:pPr>
              <w:suppressAutoHyphens w:val="0"/>
              <w:spacing w:before="0" w:after="0"/>
              <w:jc w:val="center"/>
              <w:textAlignment w:val="auto"/>
              <w:rPr>
                <w:rFonts w:eastAsia="Times New Roman"/>
                <w:lang w:val="es-ES"/>
              </w:rPr>
            </w:pPr>
            <w:r w:rsidRPr="00130C34">
              <w:rPr>
                <w:rFonts w:eastAsia="Times New Roman"/>
                <w:lang w:val="es-ES"/>
              </w:rPr>
              <w:t>97</w:t>
            </w:r>
          </w:p>
          <w:p w14:paraId="69412016" w14:textId="703C1CF7" w:rsidR="00C03774" w:rsidRPr="00F87425" w:rsidRDefault="00130C34" w:rsidP="00130C34">
            <w:pPr>
              <w:suppressAutoHyphens w:val="0"/>
              <w:spacing w:before="0" w:after="0"/>
              <w:jc w:val="center"/>
              <w:textAlignment w:val="auto"/>
              <w:rPr>
                <w:rFonts w:eastAsia="Times New Roman"/>
                <w:lang w:val="es-ES"/>
              </w:rPr>
            </w:pPr>
            <w:r w:rsidRPr="00130C34">
              <w:rPr>
                <w:rFonts w:eastAsia="Times New Roman"/>
                <w:lang w:val="es-ES"/>
              </w:rPr>
              <w:t>93</w:t>
            </w:r>
          </w:p>
        </w:tc>
        <w:tc>
          <w:tcPr>
            <w:tcW w:w="1417" w:type="dxa"/>
            <w:tcBorders>
              <w:top w:val="single" w:sz="6" w:space="0" w:color="9CC2E5"/>
              <w:left w:val="single" w:sz="6" w:space="0" w:color="9CC2E5"/>
              <w:bottom w:val="single" w:sz="6" w:space="0" w:color="9CC2E5"/>
              <w:right w:val="single" w:sz="6" w:space="0" w:color="9CC2E5"/>
            </w:tcBorders>
          </w:tcPr>
          <w:p w14:paraId="6008A41B" w14:textId="277F0420" w:rsidR="00130C34" w:rsidRPr="00130C34" w:rsidRDefault="00130C34" w:rsidP="00130C34">
            <w:pPr>
              <w:suppressAutoHyphens w:val="0"/>
              <w:spacing w:before="0" w:after="0"/>
              <w:jc w:val="center"/>
              <w:textAlignment w:val="auto"/>
              <w:rPr>
                <w:rFonts w:eastAsia="Times New Roman"/>
                <w:lang w:val="es-ES"/>
              </w:rPr>
            </w:pPr>
            <w:r w:rsidRPr="00130C34">
              <w:rPr>
                <w:rFonts w:eastAsia="Times New Roman"/>
                <w:lang w:val="es-ES"/>
              </w:rPr>
              <w:t>97</w:t>
            </w:r>
            <w:r>
              <w:rPr>
                <w:rFonts w:eastAsia="Times New Roman"/>
                <w:lang w:val="es-ES"/>
              </w:rPr>
              <w:t>,</w:t>
            </w:r>
            <w:r w:rsidRPr="00130C34">
              <w:rPr>
                <w:rFonts w:eastAsia="Times New Roman"/>
                <w:lang w:val="es-ES"/>
              </w:rPr>
              <w:t>0</w:t>
            </w:r>
          </w:p>
          <w:p w14:paraId="5325CE95" w14:textId="29CB1F7B" w:rsidR="00C03774" w:rsidRPr="00F87425" w:rsidRDefault="00130C34" w:rsidP="00130C34">
            <w:pPr>
              <w:suppressAutoHyphens w:val="0"/>
              <w:spacing w:before="0" w:after="0"/>
              <w:jc w:val="center"/>
              <w:textAlignment w:val="auto"/>
              <w:rPr>
                <w:rFonts w:eastAsia="Times New Roman"/>
                <w:lang w:val="es-ES"/>
              </w:rPr>
            </w:pPr>
            <w:r w:rsidRPr="00130C34">
              <w:rPr>
                <w:rFonts w:eastAsia="Times New Roman"/>
                <w:lang w:val="es-ES"/>
              </w:rPr>
              <w:t>93</w:t>
            </w:r>
            <w:r>
              <w:rPr>
                <w:rFonts w:eastAsia="Times New Roman"/>
                <w:lang w:val="es-ES"/>
              </w:rPr>
              <w:t>,</w:t>
            </w:r>
            <w:r w:rsidRPr="00130C34">
              <w:rPr>
                <w:rFonts w:eastAsia="Times New Roman"/>
                <w:lang w:val="es-ES"/>
              </w:rPr>
              <w:t>0</w:t>
            </w:r>
          </w:p>
        </w:tc>
      </w:tr>
      <w:tr w:rsidR="00C03774" w:rsidRPr="00F87425" w14:paraId="3D4A0A1F" w14:textId="6C72FD26" w:rsidTr="00130C34">
        <w:trPr>
          <w:trHeight w:val="276"/>
          <w:jc w:val="center"/>
        </w:trPr>
        <w:tc>
          <w:tcPr>
            <w:tcW w:w="282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0301831" w14:textId="138BB9A5" w:rsidR="00C03774" w:rsidRPr="00F87425" w:rsidRDefault="00C03774" w:rsidP="00C03774">
            <w:pPr>
              <w:suppressAutoHyphens w:val="0"/>
              <w:spacing w:before="0" w:after="0"/>
              <w:jc w:val="left"/>
              <w:textAlignment w:val="auto"/>
              <w:rPr>
                <w:rFonts w:eastAsia="Times New Roman"/>
                <w:lang w:val="es-ES"/>
              </w:rPr>
            </w:pPr>
            <w:r w:rsidRPr="00C03774">
              <w:rPr>
                <w:rFonts w:eastAsia="Times New Roman"/>
                <w:lang w:val="es-ES"/>
              </w:rPr>
              <w:t>8-foot high output</w:t>
            </w:r>
          </w:p>
        </w:tc>
        <w:tc>
          <w:tcPr>
            <w:tcW w:w="226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A12BD7A" w14:textId="77777777" w:rsidR="00C03774" w:rsidRPr="00C03774" w:rsidRDefault="00C03774" w:rsidP="00C03774">
            <w:pPr>
              <w:suppressAutoHyphens w:val="0"/>
              <w:spacing w:before="0" w:after="0"/>
              <w:jc w:val="left"/>
              <w:textAlignment w:val="auto"/>
              <w:rPr>
                <w:rFonts w:eastAsia="Times New Roman"/>
                <w:lang w:val="es-ES"/>
              </w:rPr>
            </w:pPr>
            <w:r w:rsidRPr="00C03774">
              <w:rPr>
                <w:rFonts w:eastAsia="Times New Roman"/>
                <w:lang w:val="es-ES"/>
              </w:rPr>
              <w:t>≤4,500K</w:t>
            </w:r>
          </w:p>
          <w:p w14:paraId="001D09A4" w14:textId="3BFBD7BF" w:rsidR="00C03774" w:rsidRPr="00F87425" w:rsidRDefault="00C03774" w:rsidP="00C03774">
            <w:pPr>
              <w:suppressAutoHyphens w:val="0"/>
              <w:spacing w:before="0" w:after="0"/>
              <w:jc w:val="left"/>
              <w:textAlignment w:val="auto"/>
              <w:rPr>
                <w:rFonts w:eastAsia="Times New Roman"/>
                <w:lang w:val="es-ES"/>
              </w:rPr>
            </w:pPr>
            <w:r w:rsidRPr="00C03774">
              <w:rPr>
                <w:rFonts w:eastAsia="Times New Roman"/>
                <w:lang w:val="es-ES"/>
              </w:rPr>
              <w:t>&gt;4,500 and ≤7,000K</w:t>
            </w:r>
          </w:p>
        </w:tc>
        <w:tc>
          <w:tcPr>
            <w:tcW w:w="141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658D698" w14:textId="77777777" w:rsidR="00130C34" w:rsidRPr="00130C34" w:rsidRDefault="00130C34" w:rsidP="00130C34">
            <w:pPr>
              <w:suppressAutoHyphens w:val="0"/>
              <w:spacing w:before="0" w:after="0"/>
              <w:jc w:val="center"/>
              <w:textAlignment w:val="auto"/>
              <w:rPr>
                <w:rFonts w:eastAsia="Times New Roman"/>
                <w:lang w:val="es-ES"/>
              </w:rPr>
            </w:pPr>
            <w:r w:rsidRPr="00130C34">
              <w:rPr>
                <w:rFonts w:eastAsia="Times New Roman"/>
                <w:lang w:val="es-ES"/>
              </w:rPr>
              <w:t>92</w:t>
            </w:r>
          </w:p>
          <w:p w14:paraId="75078A1A" w14:textId="592D5CF5" w:rsidR="00C03774" w:rsidRPr="00F87425" w:rsidRDefault="00130C34" w:rsidP="00130C34">
            <w:pPr>
              <w:suppressAutoHyphens w:val="0"/>
              <w:spacing w:before="0" w:after="0"/>
              <w:jc w:val="center"/>
              <w:textAlignment w:val="auto"/>
              <w:rPr>
                <w:rFonts w:eastAsia="Times New Roman"/>
                <w:lang w:val="es-ES"/>
              </w:rPr>
            </w:pPr>
            <w:r w:rsidRPr="00130C34">
              <w:rPr>
                <w:rFonts w:eastAsia="Times New Roman"/>
                <w:lang w:val="es-ES"/>
              </w:rPr>
              <w:t>88</w:t>
            </w:r>
          </w:p>
        </w:tc>
        <w:tc>
          <w:tcPr>
            <w:tcW w:w="1417" w:type="dxa"/>
            <w:tcBorders>
              <w:top w:val="single" w:sz="6" w:space="0" w:color="9CC2E5"/>
              <w:left w:val="single" w:sz="6" w:space="0" w:color="9CC2E5"/>
              <w:bottom w:val="single" w:sz="6" w:space="0" w:color="9CC2E5"/>
              <w:right w:val="single" w:sz="6" w:space="0" w:color="9CC2E5"/>
            </w:tcBorders>
            <w:shd w:val="clear" w:color="auto" w:fill="DEEAF6"/>
          </w:tcPr>
          <w:p w14:paraId="58657B7B" w14:textId="1B998BC5" w:rsidR="00130C34" w:rsidRPr="00130C34" w:rsidRDefault="00130C34" w:rsidP="00130C34">
            <w:pPr>
              <w:suppressAutoHyphens w:val="0"/>
              <w:spacing w:before="0" w:after="0"/>
              <w:jc w:val="center"/>
              <w:textAlignment w:val="auto"/>
              <w:rPr>
                <w:rFonts w:eastAsia="Times New Roman"/>
                <w:lang w:val="es-ES"/>
              </w:rPr>
            </w:pPr>
            <w:r w:rsidRPr="00130C34">
              <w:rPr>
                <w:rFonts w:eastAsia="Times New Roman"/>
                <w:lang w:val="es-ES"/>
              </w:rPr>
              <w:t>92</w:t>
            </w:r>
            <w:r>
              <w:rPr>
                <w:rFonts w:eastAsia="Times New Roman"/>
                <w:lang w:val="es-ES"/>
              </w:rPr>
              <w:t>,</w:t>
            </w:r>
            <w:r w:rsidRPr="00130C34">
              <w:rPr>
                <w:rFonts w:eastAsia="Times New Roman"/>
                <w:lang w:val="es-ES"/>
              </w:rPr>
              <w:t>0</w:t>
            </w:r>
          </w:p>
          <w:p w14:paraId="12667E8A" w14:textId="63AD7C19" w:rsidR="00C03774" w:rsidRPr="00F87425" w:rsidRDefault="00130C34" w:rsidP="00130C34">
            <w:pPr>
              <w:suppressAutoHyphens w:val="0"/>
              <w:spacing w:before="0" w:after="0"/>
              <w:jc w:val="center"/>
              <w:textAlignment w:val="auto"/>
              <w:rPr>
                <w:rFonts w:eastAsia="Times New Roman"/>
                <w:lang w:val="es-ES"/>
              </w:rPr>
            </w:pPr>
            <w:r w:rsidRPr="00130C34">
              <w:rPr>
                <w:rFonts w:eastAsia="Times New Roman"/>
                <w:lang w:val="es-ES"/>
              </w:rPr>
              <w:t>88</w:t>
            </w:r>
            <w:r>
              <w:rPr>
                <w:rFonts w:eastAsia="Times New Roman"/>
                <w:lang w:val="es-ES"/>
              </w:rPr>
              <w:t>,</w:t>
            </w:r>
            <w:r w:rsidRPr="00130C34">
              <w:rPr>
                <w:rFonts w:eastAsia="Times New Roman"/>
                <w:lang w:val="es-ES"/>
              </w:rPr>
              <w:t>0</w:t>
            </w:r>
          </w:p>
        </w:tc>
      </w:tr>
      <w:tr w:rsidR="00C03774" w:rsidRPr="00F87425" w14:paraId="55A93CC3" w14:textId="77777777" w:rsidTr="00130C34">
        <w:trPr>
          <w:trHeight w:val="276"/>
          <w:jc w:val="center"/>
        </w:trPr>
        <w:tc>
          <w:tcPr>
            <w:tcW w:w="282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334F7D9" w14:textId="7E508DCF" w:rsidR="00C03774" w:rsidRPr="00C03774" w:rsidRDefault="00C03774" w:rsidP="00C03774">
            <w:pPr>
              <w:suppressAutoHyphens w:val="0"/>
              <w:spacing w:before="0" w:after="0"/>
              <w:jc w:val="left"/>
              <w:textAlignment w:val="auto"/>
              <w:rPr>
                <w:rFonts w:eastAsia="Times New Roman"/>
              </w:rPr>
            </w:pPr>
            <w:r w:rsidRPr="00C03774">
              <w:rPr>
                <w:rFonts w:eastAsia="Times New Roman"/>
              </w:rPr>
              <w:t>4-foot miniature bipin standard output</w:t>
            </w:r>
          </w:p>
        </w:tc>
        <w:tc>
          <w:tcPr>
            <w:tcW w:w="226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0D175A6" w14:textId="77777777" w:rsidR="00C03774" w:rsidRPr="00C03774" w:rsidRDefault="00C03774" w:rsidP="00C03774">
            <w:pPr>
              <w:suppressAutoHyphens w:val="0"/>
              <w:spacing w:before="0" w:after="0"/>
              <w:jc w:val="left"/>
              <w:textAlignment w:val="auto"/>
              <w:rPr>
                <w:rFonts w:eastAsia="Times New Roman"/>
              </w:rPr>
            </w:pPr>
            <w:r w:rsidRPr="00C03774">
              <w:rPr>
                <w:rFonts w:eastAsia="Times New Roman"/>
              </w:rPr>
              <w:t>≤4,500K</w:t>
            </w:r>
          </w:p>
          <w:p w14:paraId="1214FDBA" w14:textId="5E9B5511" w:rsidR="00C03774" w:rsidRPr="00C03774" w:rsidRDefault="00C03774" w:rsidP="00C03774">
            <w:pPr>
              <w:suppressAutoHyphens w:val="0"/>
              <w:spacing w:before="0" w:after="0"/>
              <w:jc w:val="left"/>
              <w:textAlignment w:val="auto"/>
              <w:rPr>
                <w:rFonts w:eastAsia="Times New Roman"/>
              </w:rPr>
            </w:pPr>
            <w:r w:rsidRPr="00C03774">
              <w:rPr>
                <w:rFonts w:eastAsia="Times New Roman"/>
              </w:rPr>
              <w:t>&gt;4,500 and ≤7,000K</w:t>
            </w:r>
          </w:p>
        </w:tc>
        <w:tc>
          <w:tcPr>
            <w:tcW w:w="141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C6EAA52" w14:textId="77777777" w:rsidR="00130C34" w:rsidRPr="00130C34" w:rsidRDefault="00130C34" w:rsidP="00130C34">
            <w:pPr>
              <w:suppressAutoHyphens w:val="0"/>
              <w:spacing w:before="0" w:after="0"/>
              <w:jc w:val="center"/>
              <w:textAlignment w:val="auto"/>
              <w:rPr>
                <w:rFonts w:eastAsia="Times New Roman"/>
              </w:rPr>
            </w:pPr>
            <w:r w:rsidRPr="00130C34">
              <w:rPr>
                <w:rFonts w:eastAsia="Times New Roman"/>
              </w:rPr>
              <w:t>86</w:t>
            </w:r>
          </w:p>
          <w:p w14:paraId="4A569466" w14:textId="7C88D298" w:rsidR="00C03774" w:rsidRPr="00C03774" w:rsidRDefault="00130C34" w:rsidP="00130C34">
            <w:pPr>
              <w:suppressAutoHyphens w:val="0"/>
              <w:spacing w:before="0" w:after="0"/>
              <w:jc w:val="center"/>
              <w:textAlignment w:val="auto"/>
              <w:rPr>
                <w:rFonts w:eastAsia="Times New Roman"/>
              </w:rPr>
            </w:pPr>
            <w:r w:rsidRPr="00130C34">
              <w:rPr>
                <w:rFonts w:eastAsia="Times New Roman"/>
              </w:rPr>
              <w:t>81</w:t>
            </w:r>
          </w:p>
        </w:tc>
        <w:tc>
          <w:tcPr>
            <w:tcW w:w="1417" w:type="dxa"/>
            <w:tcBorders>
              <w:top w:val="single" w:sz="6" w:space="0" w:color="9CC2E5"/>
              <w:left w:val="single" w:sz="6" w:space="0" w:color="9CC2E5"/>
              <w:bottom w:val="single" w:sz="6" w:space="0" w:color="9CC2E5"/>
              <w:right w:val="single" w:sz="6" w:space="0" w:color="9CC2E5"/>
            </w:tcBorders>
            <w:shd w:val="clear" w:color="auto" w:fill="auto"/>
          </w:tcPr>
          <w:p w14:paraId="71C71228" w14:textId="54098B59" w:rsidR="00130C34" w:rsidRPr="00130C34" w:rsidRDefault="00130C34" w:rsidP="00130C34">
            <w:pPr>
              <w:suppressAutoHyphens w:val="0"/>
              <w:spacing w:before="0" w:after="0"/>
              <w:jc w:val="center"/>
              <w:textAlignment w:val="auto"/>
              <w:rPr>
                <w:rFonts w:eastAsia="Times New Roman"/>
              </w:rPr>
            </w:pPr>
            <w:r w:rsidRPr="00130C34">
              <w:rPr>
                <w:rFonts w:eastAsia="Times New Roman"/>
              </w:rPr>
              <w:t>95</w:t>
            </w:r>
            <w:r>
              <w:rPr>
                <w:rFonts w:eastAsia="Times New Roman"/>
              </w:rPr>
              <w:t>,</w:t>
            </w:r>
            <w:r w:rsidRPr="00130C34">
              <w:rPr>
                <w:rFonts w:eastAsia="Times New Roman"/>
              </w:rPr>
              <w:t>0</w:t>
            </w:r>
          </w:p>
          <w:p w14:paraId="7687DFFF" w14:textId="40D9D054" w:rsidR="00C03774" w:rsidRPr="00C03774" w:rsidRDefault="00130C34" w:rsidP="00130C34">
            <w:pPr>
              <w:suppressAutoHyphens w:val="0"/>
              <w:spacing w:before="0" w:after="0"/>
              <w:jc w:val="center"/>
              <w:textAlignment w:val="auto"/>
              <w:rPr>
                <w:rFonts w:eastAsia="Times New Roman"/>
              </w:rPr>
            </w:pPr>
            <w:r w:rsidRPr="00130C34">
              <w:rPr>
                <w:rFonts w:eastAsia="Times New Roman"/>
              </w:rPr>
              <w:t>89</w:t>
            </w:r>
            <w:r>
              <w:rPr>
                <w:rFonts w:eastAsia="Times New Roman"/>
              </w:rPr>
              <w:t>,</w:t>
            </w:r>
            <w:r w:rsidRPr="00130C34">
              <w:rPr>
                <w:rFonts w:eastAsia="Times New Roman"/>
              </w:rPr>
              <w:t>3</w:t>
            </w:r>
          </w:p>
        </w:tc>
      </w:tr>
      <w:tr w:rsidR="00C03774" w:rsidRPr="00F87425" w14:paraId="6777980C" w14:textId="77777777" w:rsidTr="00130C34">
        <w:trPr>
          <w:trHeight w:val="276"/>
          <w:jc w:val="center"/>
        </w:trPr>
        <w:tc>
          <w:tcPr>
            <w:tcW w:w="282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4D129FC" w14:textId="0784162D" w:rsidR="00C03774" w:rsidRPr="00C03774" w:rsidRDefault="00C03774" w:rsidP="00C03774">
            <w:pPr>
              <w:suppressAutoHyphens w:val="0"/>
              <w:spacing w:before="0" w:after="0"/>
              <w:jc w:val="left"/>
              <w:textAlignment w:val="auto"/>
              <w:rPr>
                <w:rFonts w:eastAsia="Times New Roman"/>
              </w:rPr>
            </w:pPr>
            <w:r w:rsidRPr="00C03774">
              <w:rPr>
                <w:rFonts w:eastAsia="Times New Roman"/>
              </w:rPr>
              <w:t>4-foor miniature bipin high output</w:t>
            </w:r>
          </w:p>
        </w:tc>
        <w:tc>
          <w:tcPr>
            <w:tcW w:w="226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35DEA38" w14:textId="77777777" w:rsidR="00C03774" w:rsidRPr="00C03774" w:rsidRDefault="00C03774" w:rsidP="00C03774">
            <w:pPr>
              <w:suppressAutoHyphens w:val="0"/>
              <w:spacing w:before="0" w:after="0"/>
              <w:jc w:val="left"/>
              <w:textAlignment w:val="auto"/>
              <w:rPr>
                <w:rFonts w:eastAsia="Times New Roman"/>
              </w:rPr>
            </w:pPr>
            <w:r w:rsidRPr="00C03774">
              <w:rPr>
                <w:rFonts w:eastAsia="Times New Roman"/>
              </w:rPr>
              <w:t>≤4,500K</w:t>
            </w:r>
          </w:p>
          <w:p w14:paraId="7744975D" w14:textId="44EF1865" w:rsidR="00C03774" w:rsidRPr="00C03774" w:rsidRDefault="00C03774" w:rsidP="00C03774">
            <w:pPr>
              <w:suppressAutoHyphens w:val="0"/>
              <w:spacing w:before="0" w:after="0"/>
              <w:jc w:val="left"/>
              <w:textAlignment w:val="auto"/>
              <w:rPr>
                <w:rFonts w:eastAsia="Times New Roman"/>
              </w:rPr>
            </w:pPr>
            <w:r w:rsidRPr="00C03774">
              <w:rPr>
                <w:rFonts w:eastAsia="Times New Roman"/>
              </w:rPr>
              <w:t>&gt;4,500 and ≤7,000K</w:t>
            </w:r>
          </w:p>
        </w:tc>
        <w:tc>
          <w:tcPr>
            <w:tcW w:w="141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DA9BF4E" w14:textId="77777777" w:rsidR="00130C34" w:rsidRPr="00130C34" w:rsidRDefault="00130C34" w:rsidP="00130C34">
            <w:pPr>
              <w:suppressAutoHyphens w:val="0"/>
              <w:spacing w:before="0" w:after="0"/>
              <w:jc w:val="center"/>
              <w:textAlignment w:val="auto"/>
              <w:rPr>
                <w:rFonts w:eastAsia="Times New Roman"/>
              </w:rPr>
            </w:pPr>
            <w:r w:rsidRPr="00130C34">
              <w:rPr>
                <w:rFonts w:eastAsia="Times New Roman"/>
              </w:rPr>
              <w:t>76</w:t>
            </w:r>
          </w:p>
          <w:p w14:paraId="1D6FBD6E" w14:textId="741D1E06" w:rsidR="00C03774" w:rsidRPr="00C03774" w:rsidRDefault="00130C34" w:rsidP="00130C34">
            <w:pPr>
              <w:suppressAutoHyphens w:val="0"/>
              <w:spacing w:before="0" w:after="0"/>
              <w:jc w:val="center"/>
              <w:textAlignment w:val="auto"/>
              <w:rPr>
                <w:rFonts w:eastAsia="Times New Roman"/>
              </w:rPr>
            </w:pPr>
            <w:r w:rsidRPr="00130C34">
              <w:rPr>
                <w:rFonts w:eastAsia="Times New Roman"/>
              </w:rPr>
              <w:t>72</w:t>
            </w:r>
          </w:p>
        </w:tc>
        <w:tc>
          <w:tcPr>
            <w:tcW w:w="1417" w:type="dxa"/>
            <w:tcBorders>
              <w:top w:val="single" w:sz="6" w:space="0" w:color="9CC2E5"/>
              <w:left w:val="single" w:sz="6" w:space="0" w:color="9CC2E5"/>
              <w:bottom w:val="single" w:sz="6" w:space="0" w:color="9CC2E5"/>
              <w:right w:val="single" w:sz="6" w:space="0" w:color="9CC2E5"/>
            </w:tcBorders>
            <w:shd w:val="clear" w:color="auto" w:fill="DEEAF6"/>
          </w:tcPr>
          <w:p w14:paraId="7347F78B" w14:textId="56B0C995" w:rsidR="00130C34" w:rsidRPr="00130C34" w:rsidRDefault="00130C34" w:rsidP="00130C34">
            <w:pPr>
              <w:suppressAutoHyphens w:val="0"/>
              <w:spacing w:before="0" w:after="0"/>
              <w:jc w:val="center"/>
              <w:textAlignment w:val="auto"/>
              <w:rPr>
                <w:rFonts w:eastAsia="Times New Roman"/>
              </w:rPr>
            </w:pPr>
            <w:r w:rsidRPr="00130C34">
              <w:rPr>
                <w:rFonts w:eastAsia="Times New Roman"/>
              </w:rPr>
              <w:t>82</w:t>
            </w:r>
            <w:r>
              <w:rPr>
                <w:rFonts w:eastAsia="Times New Roman"/>
              </w:rPr>
              <w:t>,</w:t>
            </w:r>
            <w:r w:rsidRPr="00130C34">
              <w:rPr>
                <w:rFonts w:eastAsia="Times New Roman"/>
              </w:rPr>
              <w:t>7</w:t>
            </w:r>
          </w:p>
          <w:p w14:paraId="62C2D523" w14:textId="7667CF98" w:rsidR="00C03774" w:rsidRPr="00C03774" w:rsidRDefault="00130C34" w:rsidP="00130C34">
            <w:pPr>
              <w:suppressAutoHyphens w:val="0"/>
              <w:spacing w:before="0" w:after="0"/>
              <w:jc w:val="center"/>
              <w:textAlignment w:val="auto"/>
              <w:rPr>
                <w:rFonts w:eastAsia="Times New Roman"/>
              </w:rPr>
            </w:pPr>
            <w:r w:rsidRPr="00130C34">
              <w:rPr>
                <w:rFonts w:eastAsia="Times New Roman"/>
              </w:rPr>
              <w:t>76</w:t>
            </w:r>
            <w:r>
              <w:rPr>
                <w:rFonts w:eastAsia="Times New Roman"/>
              </w:rPr>
              <w:t>,</w:t>
            </w:r>
            <w:r w:rsidRPr="00130C34">
              <w:rPr>
                <w:rFonts w:eastAsia="Times New Roman"/>
              </w:rPr>
              <w:t>9</w:t>
            </w:r>
          </w:p>
        </w:tc>
      </w:tr>
    </w:tbl>
    <w:p w14:paraId="5C732718" w14:textId="77777777" w:rsidR="00C03774" w:rsidRPr="00C03774" w:rsidRDefault="00C03774" w:rsidP="00C03774">
      <w:pPr>
        <w:pStyle w:val="ListParagraph"/>
        <w:suppressAutoHyphens w:val="0"/>
        <w:ind w:left="0"/>
      </w:pPr>
    </w:p>
    <w:p w14:paraId="63C07E4F" w14:textId="28EC92B2" w:rsidR="001A1865" w:rsidRPr="001A1865" w:rsidRDefault="001A1865" w:rsidP="001A1865">
      <w:pPr>
        <w:pStyle w:val="Caption"/>
        <w:spacing w:after="0"/>
      </w:pPr>
      <w:r w:rsidRPr="001A1865">
        <w:t>Energy Star</w:t>
      </w:r>
      <w:r>
        <w:rPr>
          <w:rFonts w:cs="Calibri"/>
        </w:rPr>
        <w:t>®</w:t>
      </w:r>
      <w:r w:rsidRPr="001A1865">
        <w:t xml:space="preserve"> Program Requirements –</w:t>
      </w:r>
      <w:r>
        <w:t xml:space="preserve"> Product Specification for </w:t>
      </w:r>
      <w:r w:rsidRPr="001A1865">
        <w:t>Lamps (Light Bulbs)</w:t>
      </w:r>
    </w:p>
    <w:p w14:paraId="0FCF6D62" w14:textId="696C8863" w:rsidR="001A1865" w:rsidRDefault="001A1865" w:rsidP="001A1865">
      <w:pPr>
        <w:pStyle w:val="Caption"/>
        <w:spacing w:after="0"/>
        <w:rPr>
          <w:lang w:val="es-ES"/>
        </w:rPr>
      </w:pPr>
      <w:r>
        <w:rPr>
          <w:lang w:val="es-ES"/>
        </w:rPr>
        <w:t>Eligibility Criteria Version 2.1 (December 31, 2015)</w:t>
      </w:r>
    </w:p>
    <w:p w14:paraId="23A40957" w14:textId="038F1775" w:rsidR="001A1865" w:rsidRDefault="001A1865" w:rsidP="001A1865">
      <w:pPr>
        <w:spacing w:before="0" w:after="140"/>
        <w:jc w:val="center"/>
        <w:rPr>
          <w:rFonts w:cstheme="minorHAnsi"/>
          <w:color w:val="002B7F"/>
          <w:sz w:val="18"/>
          <w:lang w:val="es-PA"/>
        </w:rPr>
      </w:pPr>
      <w:r w:rsidRPr="00A96F74">
        <w:rPr>
          <w:i/>
          <w:color w:val="002B7F"/>
          <w:sz w:val="18"/>
          <w:lang w:val="es-ES"/>
        </w:rPr>
        <w:t>Fuente:</w:t>
      </w:r>
      <w:r w:rsidRPr="00E2630F">
        <w:rPr>
          <w:lang w:val="es-ES"/>
        </w:rPr>
        <w:t xml:space="preserve"> </w:t>
      </w:r>
      <w:r w:rsidRPr="00E2630F">
        <w:rPr>
          <w:rFonts w:cstheme="minorHAnsi"/>
          <w:color w:val="002B7F"/>
          <w:sz w:val="18"/>
          <w:lang w:val="es-PA"/>
        </w:rPr>
        <w:t xml:space="preserve">Elaboración propia en base de </w:t>
      </w:r>
      <w:r>
        <w:rPr>
          <w:rFonts w:cstheme="minorHAnsi"/>
          <w:color w:val="002B7F"/>
          <w:sz w:val="18"/>
          <w:lang w:val="es-PA"/>
        </w:rPr>
        <w:t>Energy Star</w:t>
      </w:r>
      <w:r>
        <w:rPr>
          <w:rFonts w:cs="Calibri"/>
          <w:color w:val="002B7F"/>
          <w:sz w:val="18"/>
          <w:lang w:val="es-PA"/>
        </w:rPr>
        <w:t>®</w:t>
      </w:r>
      <w:r>
        <w:rPr>
          <w:rFonts w:cstheme="minorHAnsi"/>
          <w:color w:val="002B7F"/>
          <w:sz w:val="18"/>
          <w:lang w:val="es-PA"/>
        </w:rPr>
        <w:t xml:space="preserve"> Product Specification for Lamps Version 2.1</w:t>
      </w:r>
    </w:p>
    <w:tbl>
      <w:tblPr>
        <w:tblW w:w="5084" w:type="pct"/>
        <w:jc w:val="center"/>
        <w:tblCellMar>
          <w:left w:w="10" w:type="dxa"/>
          <w:right w:w="10" w:type="dxa"/>
        </w:tblCellMar>
        <w:tblLook w:val="0000" w:firstRow="0" w:lastRow="0" w:firstColumn="0" w:lastColumn="0" w:noHBand="0" w:noVBand="0"/>
      </w:tblPr>
      <w:tblGrid>
        <w:gridCol w:w="2969"/>
        <w:gridCol w:w="2693"/>
        <w:gridCol w:w="2977"/>
      </w:tblGrid>
      <w:tr w:rsidR="001A1865" w:rsidRPr="00914127" w14:paraId="21903BE2" w14:textId="77777777" w:rsidTr="00E2467A">
        <w:trPr>
          <w:jc w:val="center"/>
        </w:trPr>
        <w:tc>
          <w:tcPr>
            <w:tcW w:w="2969"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6707260B" w14:textId="02ADB278" w:rsidR="001A1865" w:rsidRPr="00F87425" w:rsidRDefault="001A1865" w:rsidP="001A1865">
            <w:pPr>
              <w:suppressAutoHyphens w:val="0"/>
              <w:spacing w:before="0" w:after="0"/>
              <w:jc w:val="center"/>
              <w:textAlignment w:val="auto"/>
              <w:rPr>
                <w:rFonts w:eastAsia="Times New Roman"/>
                <w:b/>
                <w:color w:val="FFFFFF" w:themeColor="background1"/>
                <w:lang w:val="es-ES"/>
              </w:rPr>
            </w:pPr>
            <w:r>
              <w:rPr>
                <w:rFonts w:eastAsia="Times New Roman"/>
                <w:b/>
                <w:color w:val="FFFFFF" w:themeColor="background1"/>
                <w:lang w:val="es-ES"/>
              </w:rPr>
              <w:t>Tipo de lámpara</w:t>
            </w:r>
          </w:p>
        </w:tc>
        <w:tc>
          <w:tcPr>
            <w:tcW w:w="5670" w:type="dxa"/>
            <w:gridSpan w:val="2"/>
            <w:tcBorders>
              <w:top w:val="single" w:sz="6" w:space="0" w:color="5B9BD5"/>
              <w:bottom w:val="single" w:sz="6" w:space="0" w:color="5B9BD5"/>
            </w:tcBorders>
            <w:shd w:val="clear" w:color="auto" w:fill="5B9BD5"/>
            <w:tcMar>
              <w:top w:w="0" w:type="dxa"/>
              <w:left w:w="108" w:type="dxa"/>
              <w:bottom w:w="0" w:type="dxa"/>
              <w:right w:w="108" w:type="dxa"/>
            </w:tcMar>
          </w:tcPr>
          <w:p w14:paraId="184B733A" w14:textId="59C3AB79" w:rsidR="001A1865" w:rsidRPr="00F87425" w:rsidRDefault="001A1865" w:rsidP="00E2467A">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Eficacia mínima inicial (lm/W)</w:t>
            </w:r>
          </w:p>
        </w:tc>
      </w:tr>
      <w:tr w:rsidR="001A1865" w:rsidRPr="00F63609" w14:paraId="05049671" w14:textId="77777777" w:rsidTr="00E2467A">
        <w:trPr>
          <w:jc w:val="center"/>
        </w:trPr>
        <w:tc>
          <w:tcPr>
            <w:tcW w:w="2969" w:type="dxa"/>
            <w:tcBorders>
              <w:top w:val="single" w:sz="6" w:space="0" w:color="5B9BD5"/>
              <w:left w:val="single" w:sz="6" w:space="0" w:color="5B9BD5"/>
              <w:bottom w:val="single" w:sz="6" w:space="0" w:color="5B9BD5"/>
            </w:tcBorders>
            <w:shd w:val="clear" w:color="auto" w:fill="9CC2E5"/>
            <w:tcMar>
              <w:top w:w="0" w:type="dxa"/>
              <w:left w:w="108" w:type="dxa"/>
              <w:bottom w:w="0" w:type="dxa"/>
              <w:right w:w="108" w:type="dxa"/>
            </w:tcMar>
          </w:tcPr>
          <w:p w14:paraId="35560F57" w14:textId="77777777" w:rsidR="001A1865" w:rsidRDefault="001A1865" w:rsidP="00E2467A">
            <w:pPr>
              <w:suppressAutoHyphens w:val="0"/>
              <w:spacing w:before="0" w:after="0"/>
              <w:jc w:val="center"/>
              <w:textAlignment w:val="auto"/>
              <w:rPr>
                <w:rFonts w:eastAsia="Times New Roman"/>
                <w:b/>
                <w:color w:val="FFFFFF" w:themeColor="background1"/>
                <w:lang w:val="es-ES"/>
              </w:rPr>
            </w:pPr>
          </w:p>
        </w:tc>
        <w:tc>
          <w:tcPr>
            <w:tcW w:w="2693" w:type="dxa"/>
            <w:tcBorders>
              <w:top w:val="single" w:sz="6" w:space="0" w:color="5B9BD5"/>
              <w:bottom w:val="single" w:sz="6" w:space="0" w:color="5B9BD5"/>
            </w:tcBorders>
            <w:shd w:val="clear" w:color="auto" w:fill="9CC2E5"/>
            <w:tcMar>
              <w:top w:w="0" w:type="dxa"/>
              <w:left w:w="108" w:type="dxa"/>
              <w:bottom w:w="0" w:type="dxa"/>
              <w:right w:w="108" w:type="dxa"/>
            </w:tcMar>
          </w:tcPr>
          <w:p w14:paraId="419745F6" w14:textId="135F6E1B" w:rsidR="001A1865" w:rsidRDefault="001A1865" w:rsidP="001A1865">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CRI ≥ 90</w:t>
            </w:r>
          </w:p>
        </w:tc>
        <w:tc>
          <w:tcPr>
            <w:tcW w:w="2977" w:type="dxa"/>
            <w:tcBorders>
              <w:top w:val="single" w:sz="6" w:space="0" w:color="5B9BD5"/>
              <w:bottom w:val="single" w:sz="6" w:space="0" w:color="5B9BD5"/>
            </w:tcBorders>
            <w:shd w:val="clear" w:color="auto" w:fill="9CC2E5"/>
            <w:tcMar>
              <w:top w:w="0" w:type="dxa"/>
              <w:left w:w="108" w:type="dxa"/>
              <w:bottom w:w="0" w:type="dxa"/>
              <w:right w:w="108" w:type="dxa"/>
            </w:tcMar>
          </w:tcPr>
          <w:p w14:paraId="6363C189" w14:textId="24E9CDBC" w:rsidR="001A1865" w:rsidRPr="00F87425" w:rsidRDefault="001A1865" w:rsidP="001A1865">
            <w:pPr>
              <w:suppressAutoHyphens w:val="0"/>
              <w:spacing w:before="0" w:after="0"/>
              <w:jc w:val="center"/>
              <w:textAlignment w:val="auto"/>
              <w:rPr>
                <w:rFonts w:eastAsia="Times New Roman"/>
                <w:color w:val="FFFFFF" w:themeColor="background1"/>
                <w:lang w:val="es-ES"/>
              </w:rPr>
            </w:pPr>
            <w:r>
              <w:rPr>
                <w:rFonts w:eastAsia="Times New Roman"/>
                <w:color w:val="FFFFFF" w:themeColor="background1"/>
                <w:lang w:val="es-ES"/>
              </w:rPr>
              <w:t>CRSI &lt; 90</w:t>
            </w:r>
          </w:p>
        </w:tc>
      </w:tr>
      <w:tr w:rsidR="001A1865" w:rsidRPr="00F87425" w14:paraId="053BF767" w14:textId="77777777" w:rsidTr="00E2467A">
        <w:trPr>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C0C0F38" w14:textId="686C476C" w:rsidR="001A1865" w:rsidRPr="00F87425" w:rsidRDefault="001A1865" w:rsidP="001A1865">
            <w:pPr>
              <w:suppressAutoHyphens w:val="0"/>
              <w:spacing w:before="0" w:after="0"/>
              <w:jc w:val="center"/>
              <w:textAlignment w:val="auto"/>
              <w:rPr>
                <w:rFonts w:eastAsia="Times New Roman"/>
                <w:lang w:val="es-ES"/>
              </w:rPr>
            </w:pPr>
            <w:r>
              <w:rPr>
                <w:rFonts w:eastAsia="Times New Roman"/>
                <w:lang w:val="es-ES"/>
              </w:rPr>
              <w:t>Omnidireccional</w:t>
            </w:r>
          </w:p>
        </w:tc>
        <w:tc>
          <w:tcPr>
            <w:tcW w:w="269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5B0AA98" w14:textId="41BDD097" w:rsidR="001A1865" w:rsidRPr="00F87425" w:rsidRDefault="001A1865" w:rsidP="001A1865">
            <w:pPr>
              <w:suppressAutoHyphens w:val="0"/>
              <w:spacing w:before="0" w:after="0"/>
              <w:jc w:val="center"/>
              <w:textAlignment w:val="auto"/>
              <w:rPr>
                <w:rFonts w:eastAsia="Times New Roman"/>
                <w:lang w:val="es-ES"/>
              </w:rPr>
            </w:pPr>
            <w:r>
              <w:rPr>
                <w:rFonts w:eastAsia="Times New Roman"/>
                <w:lang w:val="es-ES"/>
              </w:rPr>
              <w:t>70</w:t>
            </w:r>
          </w:p>
        </w:tc>
        <w:tc>
          <w:tcPr>
            <w:tcW w:w="297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58D3521" w14:textId="1A8B6BCA" w:rsidR="001A1865" w:rsidRPr="00F87425" w:rsidRDefault="001A1865" w:rsidP="001A1865">
            <w:pPr>
              <w:suppressAutoHyphens w:val="0"/>
              <w:spacing w:before="0" w:after="0"/>
              <w:jc w:val="center"/>
              <w:textAlignment w:val="auto"/>
              <w:rPr>
                <w:rFonts w:eastAsia="Times New Roman"/>
                <w:lang w:val="es-ES"/>
              </w:rPr>
            </w:pPr>
            <w:r>
              <w:rPr>
                <w:rFonts w:eastAsia="Times New Roman"/>
                <w:lang w:val="es-ES"/>
              </w:rPr>
              <w:t>80</w:t>
            </w:r>
          </w:p>
        </w:tc>
      </w:tr>
      <w:tr w:rsidR="001A1865" w:rsidRPr="00F87425" w14:paraId="0C53783F" w14:textId="77777777" w:rsidTr="00E2467A">
        <w:trPr>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88ED7AC" w14:textId="269565BF" w:rsidR="001A1865" w:rsidRPr="00F87425" w:rsidRDefault="001A1865" w:rsidP="001A1865">
            <w:pPr>
              <w:suppressAutoHyphens w:val="0"/>
              <w:spacing w:before="0" w:after="0"/>
              <w:jc w:val="center"/>
              <w:textAlignment w:val="auto"/>
              <w:rPr>
                <w:rFonts w:eastAsia="Times New Roman"/>
                <w:lang w:val="es-ES"/>
              </w:rPr>
            </w:pPr>
            <w:r>
              <w:rPr>
                <w:rFonts w:eastAsia="Times New Roman"/>
                <w:lang w:val="es-ES"/>
              </w:rPr>
              <w:t>Direccional</w:t>
            </w:r>
          </w:p>
        </w:tc>
        <w:tc>
          <w:tcPr>
            <w:tcW w:w="2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AF4D699" w14:textId="1EFE750F" w:rsidR="001A1865" w:rsidRPr="00F87425" w:rsidRDefault="001A1865" w:rsidP="001A1865">
            <w:pPr>
              <w:tabs>
                <w:tab w:val="center" w:pos="1238"/>
              </w:tabs>
              <w:suppressAutoHyphens w:val="0"/>
              <w:spacing w:before="0" w:after="0"/>
              <w:jc w:val="center"/>
              <w:textAlignment w:val="auto"/>
              <w:rPr>
                <w:rFonts w:eastAsia="Times New Roman"/>
                <w:lang w:val="es-ES"/>
              </w:rPr>
            </w:pPr>
            <w:r>
              <w:rPr>
                <w:rFonts w:eastAsia="Times New Roman"/>
                <w:lang w:val="es-ES"/>
              </w:rPr>
              <w:t>61</w:t>
            </w:r>
          </w:p>
        </w:tc>
        <w:tc>
          <w:tcPr>
            <w:tcW w:w="297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DD981C0" w14:textId="58DAEA38" w:rsidR="001A1865" w:rsidRPr="00F87425" w:rsidRDefault="001A1865" w:rsidP="001A1865">
            <w:pPr>
              <w:suppressAutoHyphens w:val="0"/>
              <w:spacing w:before="0" w:after="0"/>
              <w:jc w:val="center"/>
              <w:textAlignment w:val="auto"/>
              <w:rPr>
                <w:rFonts w:eastAsia="Times New Roman"/>
                <w:lang w:val="es-ES"/>
              </w:rPr>
            </w:pPr>
            <w:r>
              <w:rPr>
                <w:rFonts w:eastAsia="Times New Roman"/>
                <w:lang w:val="es-ES"/>
              </w:rPr>
              <w:t>70</w:t>
            </w:r>
          </w:p>
        </w:tc>
      </w:tr>
      <w:tr w:rsidR="001A1865" w:rsidRPr="00F87425" w14:paraId="4D8FDB72" w14:textId="77777777" w:rsidTr="00E2467A">
        <w:trPr>
          <w:trHeight w:val="242"/>
          <w:jc w:val="center"/>
        </w:trPr>
        <w:tc>
          <w:tcPr>
            <w:tcW w:w="2969"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7938C606" w14:textId="1E56DD28" w:rsidR="001A1865" w:rsidRPr="00F87425" w:rsidRDefault="001A1865" w:rsidP="001A1865">
            <w:pPr>
              <w:suppressAutoHyphens w:val="0"/>
              <w:spacing w:before="0" w:after="0"/>
              <w:jc w:val="center"/>
              <w:textAlignment w:val="auto"/>
              <w:rPr>
                <w:rFonts w:eastAsia="Times New Roman"/>
                <w:lang w:val="es-ES"/>
              </w:rPr>
            </w:pPr>
            <w:r>
              <w:rPr>
                <w:rFonts w:eastAsia="Times New Roman"/>
                <w:lang w:val="es-ES"/>
              </w:rPr>
              <w:t>Decorativa</w:t>
            </w:r>
          </w:p>
        </w:tc>
        <w:tc>
          <w:tcPr>
            <w:tcW w:w="2693"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1211DCC7" w14:textId="770B1B17" w:rsidR="001A1865" w:rsidRPr="00F87425" w:rsidRDefault="001A1865" w:rsidP="001A1865">
            <w:pPr>
              <w:suppressAutoHyphens w:val="0"/>
              <w:spacing w:before="0" w:after="0"/>
              <w:jc w:val="center"/>
              <w:textAlignment w:val="auto"/>
              <w:rPr>
                <w:rFonts w:eastAsia="Times New Roman"/>
                <w:lang w:val="es-ES"/>
              </w:rPr>
            </w:pPr>
            <w:r>
              <w:rPr>
                <w:rFonts w:eastAsia="Times New Roman"/>
                <w:lang w:val="es-ES"/>
              </w:rPr>
              <w:t>65</w:t>
            </w:r>
          </w:p>
        </w:tc>
        <w:tc>
          <w:tcPr>
            <w:tcW w:w="2977"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524F76DD" w14:textId="6A13AACB" w:rsidR="001A1865" w:rsidRPr="00F87425" w:rsidRDefault="001A1865" w:rsidP="001A1865">
            <w:pPr>
              <w:suppressAutoHyphens w:val="0"/>
              <w:spacing w:before="0" w:after="0"/>
              <w:jc w:val="center"/>
              <w:textAlignment w:val="auto"/>
              <w:rPr>
                <w:rFonts w:eastAsia="Times New Roman"/>
                <w:lang w:val="es-ES"/>
              </w:rPr>
            </w:pPr>
            <w:r>
              <w:rPr>
                <w:rFonts w:eastAsia="Times New Roman"/>
                <w:lang w:val="es-ES"/>
              </w:rPr>
              <w:t>65</w:t>
            </w:r>
          </w:p>
        </w:tc>
      </w:tr>
    </w:tbl>
    <w:p w14:paraId="20943DD8" w14:textId="77777777" w:rsidR="001A1865" w:rsidRDefault="001A1865" w:rsidP="001A1865">
      <w:pPr>
        <w:pStyle w:val="ListParagraph"/>
        <w:suppressAutoHyphens w:val="0"/>
        <w:ind w:left="0"/>
        <w:rPr>
          <w:lang w:val="es-ES"/>
        </w:rPr>
      </w:pPr>
    </w:p>
    <w:p w14:paraId="5C65A8AA" w14:textId="77777777" w:rsidR="00DF3C76" w:rsidRDefault="00DF3C76">
      <w:pPr>
        <w:suppressAutoHyphens w:val="0"/>
      </w:pPr>
      <w:r>
        <w:br w:type="page"/>
      </w:r>
    </w:p>
    <w:p w14:paraId="73D1A8DD" w14:textId="0E59E332" w:rsidR="00DF3C76" w:rsidRPr="00702A31" w:rsidRDefault="00DF3C76" w:rsidP="00DF3C76">
      <w:pPr>
        <w:keepNext/>
        <w:keepLines/>
        <w:pageBreakBefore/>
        <w:spacing w:before="440" w:after="200"/>
        <w:outlineLvl w:val="0"/>
        <w:rPr>
          <w:rFonts w:eastAsia="Times New Roman"/>
          <w:smallCaps/>
          <w:color w:val="002B7F"/>
          <w:sz w:val="34"/>
          <w:szCs w:val="32"/>
          <w:lang w:val="es-ES"/>
        </w:rPr>
      </w:pPr>
      <w:bookmarkStart w:id="76" w:name="_Toc516146040"/>
      <w:r w:rsidRPr="00702A31">
        <w:rPr>
          <w:rFonts w:eastAsia="Times New Roman"/>
          <w:smallCaps/>
          <w:color w:val="002B7F"/>
          <w:sz w:val="34"/>
          <w:szCs w:val="32"/>
          <w:lang w:val="es-ES"/>
        </w:rPr>
        <w:t>Anexo 4</w:t>
      </w:r>
      <w:r w:rsidR="00702A31" w:rsidRPr="00702A31">
        <w:rPr>
          <w:rFonts w:eastAsia="Times New Roman"/>
          <w:smallCaps/>
          <w:color w:val="002B7F"/>
          <w:sz w:val="34"/>
          <w:szCs w:val="32"/>
          <w:lang w:val="es-ES"/>
        </w:rPr>
        <w:t xml:space="preserve"> – Etiquetas "</w:t>
      </w:r>
      <w:r w:rsidR="00702A31" w:rsidRPr="00F16FBA">
        <w:rPr>
          <w:rFonts w:eastAsia="Times New Roman"/>
          <w:i/>
          <w:smallCaps/>
          <w:color w:val="002B7F"/>
          <w:sz w:val="34"/>
          <w:szCs w:val="32"/>
          <w:lang w:val="es-ES"/>
        </w:rPr>
        <w:t>Lighting facts</w:t>
      </w:r>
      <w:r w:rsidR="00702A31" w:rsidRPr="00702A31">
        <w:rPr>
          <w:rFonts w:eastAsia="Times New Roman"/>
          <w:smallCaps/>
          <w:color w:val="002B7F"/>
          <w:sz w:val="34"/>
          <w:szCs w:val="32"/>
          <w:lang w:val="es-ES"/>
        </w:rPr>
        <w:t>" de EE.UU.</w:t>
      </w:r>
      <w:r w:rsidRPr="00702A31">
        <w:rPr>
          <w:rFonts w:eastAsia="Times New Roman"/>
          <w:smallCaps/>
          <w:color w:val="002B7F"/>
          <w:sz w:val="34"/>
          <w:szCs w:val="32"/>
          <w:lang w:val="es-ES"/>
        </w:rPr>
        <w:t xml:space="preserve"> – </w:t>
      </w:r>
      <w:r w:rsidR="00702A31" w:rsidRPr="00702A31">
        <w:rPr>
          <w:rFonts w:eastAsia="Times New Roman"/>
          <w:smallCaps/>
          <w:color w:val="002B7F"/>
          <w:sz w:val="34"/>
          <w:szCs w:val="32"/>
          <w:lang w:val="es-ES"/>
        </w:rPr>
        <w:t>Diseños permitidos</w:t>
      </w:r>
      <w:bookmarkEnd w:id="76"/>
    </w:p>
    <w:p w14:paraId="15EEECA2" w14:textId="0A4664CA" w:rsidR="004F0EF9" w:rsidRPr="004F0EF9" w:rsidRDefault="004F0EF9" w:rsidP="004F0EF9">
      <w:pPr>
        <w:suppressAutoHyphens w:val="0"/>
        <w:spacing w:after="0"/>
        <w:rPr>
          <w:color w:val="002B7F"/>
          <w:sz w:val="20"/>
          <w:szCs w:val="20"/>
        </w:rPr>
      </w:pPr>
      <w:r w:rsidRPr="004F0EF9">
        <w:rPr>
          <w:i/>
          <w:color w:val="002B7F"/>
          <w:sz w:val="20"/>
          <w:szCs w:val="20"/>
        </w:rPr>
        <w:t>Fuente</w:t>
      </w:r>
      <w:r w:rsidRPr="004F0EF9">
        <w:rPr>
          <w:color w:val="002B7F"/>
          <w:sz w:val="20"/>
          <w:szCs w:val="20"/>
        </w:rPr>
        <w:t>: Electronic Code of Federal Regulations (e-CFR), Title 16, Chapter 1, Subchapter C, Subpart PART 305—Energy and Water Use Labeling for Consumer Products under the Energy Policy and Conservation Act (“Energy Labeling Rule”), Appendix L</w:t>
      </w:r>
    </w:p>
    <w:p w14:paraId="51E6DBA0" w14:textId="633790A2" w:rsidR="00DF3C76" w:rsidRPr="004F0EF9" w:rsidRDefault="004F0EF9" w:rsidP="004F0EF9">
      <w:pPr>
        <w:suppressAutoHyphens w:val="0"/>
        <w:spacing w:before="0"/>
        <w:rPr>
          <w:color w:val="002B7F"/>
          <w:sz w:val="20"/>
          <w:szCs w:val="20"/>
        </w:rPr>
      </w:pPr>
      <w:r w:rsidRPr="004F0EF9">
        <w:rPr>
          <w:color w:val="002B7F"/>
          <w:sz w:val="20"/>
          <w:szCs w:val="20"/>
        </w:rPr>
        <w:t>https://www.ecfr.gov/cgi-bin/text-idx?SID=ab72ada968fad7ddeec166e4b9f76f79&amp;mc=true&amp;node=pt16.1.305&amp;rgn=div5#ap16.1.305_125.l</w:t>
      </w:r>
    </w:p>
    <w:p w14:paraId="03249DEB" w14:textId="3994A2A4" w:rsidR="00DF3C76" w:rsidRDefault="00DF3C76">
      <w:pPr>
        <w:suppressAutoHyphens w:val="0"/>
      </w:pPr>
    </w:p>
    <w:p w14:paraId="16304EC3" w14:textId="0B5DD7AB" w:rsidR="004F0EF9" w:rsidRPr="004F0EF9" w:rsidRDefault="0067325C">
      <w:pPr>
        <w:suppressAutoHyphens w:val="0"/>
      </w:pPr>
      <w:r>
        <w:object w:dxaOrig="1311" w:dyaOrig="849" w14:anchorId="59B447D1">
          <v:shape id="_x0000_i1028" type="#_x0000_t75" style="width:65.1pt;height:43.8pt" o:ole="">
            <v:imagedata r:id="rId40" o:title=""/>
          </v:shape>
          <o:OLEObject Type="Embed" ProgID="AcroExch.Document.2015" ShapeID="_x0000_i1028" DrawAspect="Icon" ObjectID="_1606116738" r:id="rId41"/>
        </w:object>
      </w:r>
    </w:p>
    <w:p w14:paraId="21CDCCB0" w14:textId="77777777" w:rsidR="00DF3C76" w:rsidRPr="004F0EF9" w:rsidRDefault="00DF3C76">
      <w:pPr>
        <w:suppressAutoHyphens w:val="0"/>
      </w:pPr>
    </w:p>
    <w:p w14:paraId="06F45DD9" w14:textId="77777777" w:rsidR="00DF3C76" w:rsidRPr="004F0EF9" w:rsidRDefault="00DF3C76">
      <w:pPr>
        <w:suppressAutoHyphens w:val="0"/>
      </w:pPr>
    </w:p>
    <w:p w14:paraId="439CBA74" w14:textId="1F186C02" w:rsidR="00771797" w:rsidRPr="004F0EF9" w:rsidRDefault="00771797">
      <w:pPr>
        <w:suppressAutoHyphens w:val="0"/>
      </w:pPr>
      <w:r w:rsidRPr="004F0EF9">
        <w:br w:type="page"/>
      </w:r>
    </w:p>
    <w:p w14:paraId="67BB6417" w14:textId="1383F3D8" w:rsidR="00771797" w:rsidRDefault="00771797" w:rsidP="00771797">
      <w:pPr>
        <w:pStyle w:val="Heading1"/>
        <w:numPr>
          <w:ilvl w:val="0"/>
          <w:numId w:val="0"/>
        </w:numPr>
        <w:rPr>
          <w:lang w:val="es-ES"/>
        </w:rPr>
      </w:pPr>
      <w:bookmarkStart w:id="77" w:name="_Toc516146041"/>
      <w:r w:rsidRPr="00316DB7">
        <w:rPr>
          <w:lang w:val="es-ES"/>
        </w:rPr>
        <w:t xml:space="preserve">Anexo </w:t>
      </w:r>
      <w:r w:rsidR="004F0EF9">
        <w:rPr>
          <w:lang w:val="es-ES"/>
        </w:rPr>
        <w:t>5</w:t>
      </w:r>
      <w:r w:rsidRPr="00316DB7">
        <w:rPr>
          <w:lang w:val="es-ES"/>
        </w:rPr>
        <w:t xml:space="preserve"> – </w:t>
      </w:r>
      <w:r>
        <w:rPr>
          <w:lang w:val="es-ES"/>
        </w:rPr>
        <w:t xml:space="preserve">Requisitos de desempeño energético para varios tipos de lámparas </w:t>
      </w:r>
      <w:r w:rsidRPr="00954769">
        <w:rPr>
          <w:lang w:val="es-ES"/>
        </w:rPr>
        <w:t>–</w:t>
      </w:r>
      <w:r>
        <w:rPr>
          <w:lang w:val="es-ES"/>
        </w:rPr>
        <w:t xml:space="preserve"> Unión Europea</w:t>
      </w:r>
      <w:bookmarkEnd w:id="77"/>
    </w:p>
    <w:p w14:paraId="1AFBB5A0" w14:textId="77777777" w:rsidR="00771797" w:rsidRDefault="00771797" w:rsidP="00771797">
      <w:pPr>
        <w:pStyle w:val="BodyText"/>
        <w:rPr>
          <w:lang w:val="es-ES"/>
        </w:rPr>
      </w:pPr>
    </w:p>
    <w:p w14:paraId="45738AD9" w14:textId="7679739C" w:rsidR="00771797" w:rsidRPr="00130C34" w:rsidRDefault="00685009" w:rsidP="00771797">
      <w:pPr>
        <w:keepNext/>
        <w:keepLines/>
        <w:spacing w:before="0" w:after="0"/>
        <w:jc w:val="center"/>
        <w:rPr>
          <w:iCs/>
          <w:color w:val="002B7F"/>
          <w:szCs w:val="18"/>
          <w:lang w:val="es-ES"/>
        </w:rPr>
      </w:pPr>
      <w:r>
        <w:rPr>
          <w:iCs/>
          <w:color w:val="002B7F"/>
          <w:szCs w:val="18"/>
          <w:lang w:val="es-ES"/>
        </w:rPr>
        <w:t>Límites de eficacia luminosa mínima para varios tipos de lámparas de acuerdo a los reglamentos de diseño energético (CE) 244/2009 y (CE) 245/2009</w:t>
      </w:r>
    </w:p>
    <w:p w14:paraId="7CA28ADC" w14:textId="7496AE48" w:rsidR="00771797" w:rsidRDefault="00771797" w:rsidP="00771797">
      <w:pPr>
        <w:pStyle w:val="BodyText"/>
        <w:jc w:val="center"/>
        <w:rPr>
          <w:rFonts w:cstheme="minorHAnsi"/>
          <w:color w:val="002B7F"/>
          <w:sz w:val="18"/>
        </w:rPr>
      </w:pPr>
      <w:r w:rsidRPr="00287165">
        <w:rPr>
          <w:i/>
          <w:color w:val="002B7F"/>
          <w:sz w:val="18"/>
        </w:rPr>
        <w:t>Fuente:</w:t>
      </w:r>
      <w:r w:rsidRPr="00287165">
        <w:t xml:space="preserve"> </w:t>
      </w:r>
      <w:r w:rsidRPr="00287165">
        <w:rPr>
          <w:rFonts w:cstheme="minorHAnsi"/>
          <w:color w:val="002B7F"/>
          <w:sz w:val="18"/>
        </w:rPr>
        <w:t>E</w:t>
      </w:r>
      <w:r w:rsidR="00287165" w:rsidRPr="00287165">
        <w:rPr>
          <w:rFonts w:cstheme="minorHAnsi"/>
          <w:color w:val="002B7F"/>
          <w:sz w:val="18"/>
        </w:rPr>
        <w:t>uropean Commission (</w:t>
      </w:r>
      <w:r w:rsidR="00287165">
        <w:rPr>
          <w:rFonts w:cstheme="minorHAnsi"/>
          <w:color w:val="002B7F"/>
          <w:sz w:val="18"/>
        </w:rPr>
        <w:t>2015</w:t>
      </w:r>
      <w:r w:rsidR="00287165" w:rsidRPr="00287165">
        <w:rPr>
          <w:rFonts w:cstheme="minorHAnsi"/>
          <w:color w:val="002B7F"/>
          <w:sz w:val="18"/>
        </w:rPr>
        <w:t>) Preparatory Study on Light Sources for Ecodesign and/or Energy Labelling Requirements</w:t>
      </w:r>
      <w:r w:rsidR="00287165">
        <w:rPr>
          <w:rFonts w:cstheme="minorHAnsi"/>
          <w:color w:val="002B7F"/>
          <w:sz w:val="18"/>
        </w:rPr>
        <w:t xml:space="preserve"> ('Lot 8/9/19'), Final Report, Task 7 Scenarios</w:t>
      </w:r>
      <w:r w:rsidRPr="00287165">
        <w:rPr>
          <w:rFonts w:cstheme="minorHAnsi"/>
          <w:color w:val="002B7F"/>
          <w:sz w:val="18"/>
        </w:rPr>
        <w:t xml:space="preserve"> CE (2017)</w:t>
      </w:r>
    </w:p>
    <w:p w14:paraId="36A77313" w14:textId="47E2A317" w:rsidR="00287165" w:rsidRPr="00287165" w:rsidRDefault="00F06F99" w:rsidP="00287165">
      <w:pPr>
        <w:suppressAutoHyphens w:val="0"/>
        <w:jc w:val="center"/>
        <w:rPr>
          <w:color w:val="002B7F"/>
          <w:lang w:val="es-ES"/>
        </w:rPr>
      </w:pPr>
      <w:r w:rsidRPr="00287165">
        <w:rPr>
          <w:color w:val="002B7F"/>
          <w:lang w:val="es-ES"/>
        </w:rPr>
        <w:t>Límites</w:t>
      </w:r>
      <w:r w:rsidR="00287165" w:rsidRPr="00287165">
        <w:rPr>
          <w:color w:val="002B7F"/>
          <w:lang w:val="es-ES"/>
        </w:rPr>
        <w:t xml:space="preserve"> de eficacia mínim</w:t>
      </w:r>
      <w:r w:rsidR="00287165">
        <w:rPr>
          <w:color w:val="002B7F"/>
          <w:lang w:val="es-ES"/>
        </w:rPr>
        <w:t>a</w:t>
      </w:r>
      <w:r w:rsidR="00287165" w:rsidRPr="00287165">
        <w:rPr>
          <w:color w:val="002B7F"/>
          <w:lang w:val="es-ES"/>
        </w:rPr>
        <w:t xml:space="preserve"> para lámparas no direccionales </w:t>
      </w:r>
      <w:r w:rsidR="00685009" w:rsidRPr="00685009">
        <w:rPr>
          <w:color w:val="002B7F"/>
          <w:lang w:val="es-ES"/>
        </w:rPr>
        <w:t xml:space="preserve">– </w:t>
      </w:r>
      <w:r w:rsidR="00287165" w:rsidRPr="00287165">
        <w:rPr>
          <w:color w:val="002B7F"/>
          <w:lang w:val="es-ES"/>
        </w:rPr>
        <w:t>(CE) 244/2009</w:t>
      </w:r>
    </w:p>
    <w:p w14:paraId="3549EB0C" w14:textId="319EDD95" w:rsidR="00287165" w:rsidRDefault="00287165" w:rsidP="00287165">
      <w:pPr>
        <w:suppressAutoHyphens w:val="0"/>
        <w:jc w:val="center"/>
      </w:pPr>
      <w:r w:rsidRPr="00287165">
        <w:rPr>
          <w:noProof/>
          <w:lang w:val="en-US"/>
        </w:rPr>
        <w:drawing>
          <wp:inline distT="0" distB="0" distL="0" distR="0" wp14:anchorId="3779CA91" wp14:editId="057B1EC7">
            <wp:extent cx="4638675" cy="3181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38675" cy="3181350"/>
                    </a:xfrm>
                    <a:prstGeom prst="rect">
                      <a:avLst/>
                    </a:prstGeom>
                    <a:noFill/>
                    <a:ln>
                      <a:noFill/>
                    </a:ln>
                  </pic:spPr>
                </pic:pic>
              </a:graphicData>
            </a:graphic>
          </wp:inline>
        </w:drawing>
      </w:r>
    </w:p>
    <w:p w14:paraId="25AB7426" w14:textId="1BBD3370" w:rsidR="00685009" w:rsidRPr="00287165" w:rsidRDefault="00685009" w:rsidP="00685009">
      <w:pPr>
        <w:suppressAutoHyphens w:val="0"/>
        <w:jc w:val="center"/>
        <w:rPr>
          <w:color w:val="002B7F"/>
          <w:lang w:val="es-ES"/>
        </w:rPr>
      </w:pPr>
      <w:r w:rsidRPr="00287165">
        <w:rPr>
          <w:color w:val="002B7F"/>
          <w:lang w:val="es-ES"/>
        </w:rPr>
        <w:t>Limites de eficacia mínim</w:t>
      </w:r>
      <w:r>
        <w:rPr>
          <w:color w:val="002B7F"/>
          <w:lang w:val="es-ES"/>
        </w:rPr>
        <w:t>a</w:t>
      </w:r>
      <w:r w:rsidRPr="00287165">
        <w:rPr>
          <w:color w:val="002B7F"/>
          <w:lang w:val="es-ES"/>
        </w:rPr>
        <w:t xml:space="preserve"> para lámparas </w:t>
      </w:r>
      <w:r>
        <w:rPr>
          <w:color w:val="002B7F"/>
          <w:lang w:val="es-ES"/>
        </w:rPr>
        <w:t>fluorescentes</w:t>
      </w:r>
      <w:r w:rsidRPr="00287165">
        <w:rPr>
          <w:color w:val="002B7F"/>
          <w:lang w:val="es-ES"/>
        </w:rPr>
        <w:t xml:space="preserve"> </w:t>
      </w:r>
      <w:r w:rsidRPr="00685009">
        <w:rPr>
          <w:color w:val="002B7F"/>
          <w:lang w:val="es-ES"/>
        </w:rPr>
        <w:t xml:space="preserve">– </w:t>
      </w:r>
      <w:r w:rsidRPr="00287165">
        <w:rPr>
          <w:color w:val="002B7F"/>
          <w:lang w:val="es-ES"/>
        </w:rPr>
        <w:t>(CE) 24</w:t>
      </w:r>
      <w:r>
        <w:rPr>
          <w:color w:val="002B7F"/>
          <w:lang w:val="es-ES"/>
        </w:rPr>
        <w:t>5</w:t>
      </w:r>
      <w:r w:rsidRPr="00287165">
        <w:rPr>
          <w:color w:val="002B7F"/>
          <w:lang w:val="es-ES"/>
        </w:rPr>
        <w:t>/2009</w:t>
      </w:r>
    </w:p>
    <w:p w14:paraId="4028F010" w14:textId="4611B5B7" w:rsidR="00287165" w:rsidRDefault="00287165" w:rsidP="00287165">
      <w:pPr>
        <w:suppressAutoHyphens w:val="0"/>
        <w:jc w:val="center"/>
      </w:pPr>
      <w:r w:rsidRPr="00287165">
        <w:rPr>
          <w:noProof/>
          <w:lang w:val="en-US"/>
        </w:rPr>
        <w:drawing>
          <wp:inline distT="0" distB="0" distL="0" distR="0" wp14:anchorId="40B6F8E7" wp14:editId="2156D2D1">
            <wp:extent cx="4943475" cy="3524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43475" cy="3524250"/>
                    </a:xfrm>
                    <a:prstGeom prst="rect">
                      <a:avLst/>
                    </a:prstGeom>
                    <a:noFill/>
                    <a:ln>
                      <a:noFill/>
                    </a:ln>
                  </pic:spPr>
                </pic:pic>
              </a:graphicData>
            </a:graphic>
          </wp:inline>
        </w:drawing>
      </w:r>
    </w:p>
    <w:p w14:paraId="3074F689" w14:textId="0FC49C89" w:rsidR="00287165" w:rsidRDefault="00287165">
      <w:pPr>
        <w:suppressAutoHyphens w:val="0"/>
      </w:pPr>
    </w:p>
    <w:p w14:paraId="04B5F14A" w14:textId="273FAE25" w:rsidR="00685009" w:rsidRDefault="00685009">
      <w:pPr>
        <w:suppressAutoHyphens w:val="0"/>
      </w:pPr>
    </w:p>
    <w:p w14:paraId="44293F2E" w14:textId="43512485" w:rsidR="00685009" w:rsidRPr="00287165" w:rsidRDefault="00F06F99" w:rsidP="00685009">
      <w:pPr>
        <w:suppressAutoHyphens w:val="0"/>
        <w:jc w:val="center"/>
        <w:rPr>
          <w:color w:val="002B7F"/>
          <w:lang w:val="es-ES"/>
        </w:rPr>
      </w:pPr>
      <w:r w:rsidRPr="00287165">
        <w:rPr>
          <w:color w:val="002B7F"/>
          <w:lang w:val="es-ES"/>
        </w:rPr>
        <w:t>Límites</w:t>
      </w:r>
      <w:r w:rsidR="00685009" w:rsidRPr="00287165">
        <w:rPr>
          <w:color w:val="002B7F"/>
          <w:lang w:val="es-ES"/>
        </w:rPr>
        <w:t xml:space="preserve"> de eficacia mínim</w:t>
      </w:r>
      <w:r w:rsidR="00685009">
        <w:rPr>
          <w:color w:val="002B7F"/>
          <w:lang w:val="es-ES"/>
        </w:rPr>
        <w:t>a</w:t>
      </w:r>
      <w:r w:rsidR="00685009" w:rsidRPr="00287165">
        <w:rPr>
          <w:color w:val="002B7F"/>
          <w:lang w:val="es-ES"/>
        </w:rPr>
        <w:t xml:space="preserve"> para lámparas </w:t>
      </w:r>
      <w:r w:rsidR="00685009">
        <w:rPr>
          <w:color w:val="002B7F"/>
          <w:lang w:val="es-ES"/>
        </w:rPr>
        <w:t>de descarga de alta intensidad</w:t>
      </w:r>
      <w:r w:rsidR="00685009" w:rsidRPr="00287165">
        <w:rPr>
          <w:color w:val="002B7F"/>
          <w:lang w:val="es-ES"/>
        </w:rPr>
        <w:t xml:space="preserve"> </w:t>
      </w:r>
      <w:r w:rsidR="00685009" w:rsidRPr="00685009">
        <w:rPr>
          <w:color w:val="002B7F"/>
          <w:lang w:val="es-ES"/>
        </w:rPr>
        <w:t xml:space="preserve">– </w:t>
      </w:r>
      <w:r w:rsidR="00685009" w:rsidRPr="00287165">
        <w:rPr>
          <w:color w:val="002B7F"/>
          <w:lang w:val="es-ES"/>
        </w:rPr>
        <w:t>(CE) 24</w:t>
      </w:r>
      <w:r w:rsidR="00685009">
        <w:rPr>
          <w:color w:val="002B7F"/>
          <w:lang w:val="es-ES"/>
        </w:rPr>
        <w:t>5</w:t>
      </w:r>
      <w:r w:rsidR="00685009" w:rsidRPr="00287165">
        <w:rPr>
          <w:color w:val="002B7F"/>
          <w:lang w:val="es-ES"/>
        </w:rPr>
        <w:t>/2009</w:t>
      </w:r>
    </w:p>
    <w:p w14:paraId="05D14624" w14:textId="60D5EB13" w:rsidR="00287165" w:rsidRDefault="00287165" w:rsidP="00287165">
      <w:pPr>
        <w:suppressAutoHyphens w:val="0"/>
        <w:jc w:val="center"/>
      </w:pPr>
      <w:r w:rsidRPr="00287165">
        <w:rPr>
          <w:noProof/>
          <w:lang w:val="en-US"/>
        </w:rPr>
        <w:drawing>
          <wp:inline distT="0" distB="0" distL="0" distR="0" wp14:anchorId="2B8B8083" wp14:editId="6A33D096">
            <wp:extent cx="4943475" cy="3457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43475" cy="3457575"/>
                    </a:xfrm>
                    <a:prstGeom prst="rect">
                      <a:avLst/>
                    </a:prstGeom>
                    <a:noFill/>
                    <a:ln>
                      <a:noFill/>
                    </a:ln>
                  </pic:spPr>
                </pic:pic>
              </a:graphicData>
            </a:graphic>
          </wp:inline>
        </w:drawing>
      </w:r>
    </w:p>
    <w:p w14:paraId="7AAE6164" w14:textId="2B7EF27A" w:rsidR="007A29BB" w:rsidRPr="00287165" w:rsidRDefault="007A29BB">
      <w:pPr>
        <w:suppressAutoHyphens w:val="0"/>
      </w:pPr>
      <w:r w:rsidRPr="00287165">
        <w:br w:type="page"/>
      </w:r>
    </w:p>
    <w:p w14:paraId="0B6A6B37" w14:textId="1E849D79" w:rsidR="007A29BB" w:rsidRDefault="007A29BB" w:rsidP="007A29BB">
      <w:pPr>
        <w:pStyle w:val="Heading1"/>
        <w:numPr>
          <w:ilvl w:val="0"/>
          <w:numId w:val="0"/>
        </w:numPr>
        <w:rPr>
          <w:lang w:val="es-ES"/>
        </w:rPr>
      </w:pPr>
      <w:bookmarkStart w:id="78" w:name="_Toc516146042"/>
      <w:r w:rsidRPr="00316DB7">
        <w:rPr>
          <w:lang w:val="es-ES"/>
        </w:rPr>
        <w:t xml:space="preserve">Anexo </w:t>
      </w:r>
      <w:r w:rsidR="004F0EF9">
        <w:rPr>
          <w:lang w:val="es-ES"/>
        </w:rPr>
        <w:t>6</w:t>
      </w:r>
      <w:r w:rsidRPr="00316DB7">
        <w:rPr>
          <w:lang w:val="es-ES"/>
        </w:rPr>
        <w:t xml:space="preserve"> – </w:t>
      </w:r>
      <w:r w:rsidR="00954769">
        <w:rPr>
          <w:lang w:val="es-ES"/>
        </w:rPr>
        <w:t xml:space="preserve">Requisitos de </w:t>
      </w:r>
      <w:r w:rsidR="00771797">
        <w:rPr>
          <w:lang w:val="es-ES"/>
        </w:rPr>
        <w:t xml:space="preserve">desempeño </w:t>
      </w:r>
      <w:r w:rsidR="00954769">
        <w:rPr>
          <w:lang w:val="es-ES"/>
        </w:rPr>
        <w:t>energétic</w:t>
      </w:r>
      <w:r w:rsidR="00771797">
        <w:rPr>
          <w:lang w:val="es-ES"/>
        </w:rPr>
        <w:t>o</w:t>
      </w:r>
      <w:r w:rsidR="00954769">
        <w:rPr>
          <w:lang w:val="es-ES"/>
        </w:rPr>
        <w:t xml:space="preserve"> para fuentes de luz </w:t>
      </w:r>
      <w:r w:rsidR="00954769" w:rsidRPr="00954769">
        <w:rPr>
          <w:lang w:val="es-ES"/>
        </w:rPr>
        <w:t>–</w:t>
      </w:r>
      <w:r w:rsidR="00954769">
        <w:rPr>
          <w:lang w:val="es-ES"/>
        </w:rPr>
        <w:t xml:space="preserve"> propuesta de la Comisión Europea, </w:t>
      </w:r>
      <w:r w:rsidR="005540D1">
        <w:rPr>
          <w:lang w:val="es-ES"/>
        </w:rPr>
        <w:t>noviembre</w:t>
      </w:r>
      <w:r w:rsidR="00954769">
        <w:rPr>
          <w:lang w:val="es-ES"/>
        </w:rPr>
        <w:t xml:space="preserve"> de 2017</w:t>
      </w:r>
      <w:bookmarkEnd w:id="78"/>
    </w:p>
    <w:p w14:paraId="6E93BBDB" w14:textId="022E928D" w:rsidR="00954769" w:rsidRDefault="00954769" w:rsidP="00954769">
      <w:pPr>
        <w:pStyle w:val="BodyText"/>
        <w:rPr>
          <w:lang w:val="es-ES"/>
        </w:rPr>
      </w:pPr>
    </w:p>
    <w:p w14:paraId="12620D59" w14:textId="3773CFD9" w:rsidR="00954769" w:rsidRPr="00130C34" w:rsidRDefault="00954769" w:rsidP="00954769">
      <w:pPr>
        <w:keepNext/>
        <w:keepLines/>
        <w:spacing w:before="0" w:after="0"/>
        <w:jc w:val="center"/>
        <w:rPr>
          <w:iCs/>
          <w:color w:val="002B7F"/>
          <w:szCs w:val="18"/>
          <w:lang w:val="es-ES"/>
        </w:rPr>
      </w:pPr>
      <w:r>
        <w:rPr>
          <w:iCs/>
          <w:color w:val="002B7F"/>
          <w:szCs w:val="18"/>
          <w:lang w:val="es-ES"/>
        </w:rPr>
        <w:t>Potencia máxima declarada de una fuente de luz a carga máxima</w:t>
      </w:r>
    </w:p>
    <w:p w14:paraId="20D09FCB" w14:textId="780C4E66" w:rsidR="00954769" w:rsidRPr="00954769" w:rsidRDefault="00954769" w:rsidP="00954769">
      <w:pPr>
        <w:pStyle w:val="BodyText"/>
        <w:jc w:val="center"/>
        <w:rPr>
          <w:lang w:val="es-ES"/>
        </w:rPr>
      </w:pPr>
      <w:r w:rsidRPr="00130C34">
        <w:rPr>
          <w:i/>
          <w:color w:val="002B7F"/>
          <w:sz w:val="18"/>
          <w:lang w:val="es-ES"/>
        </w:rPr>
        <w:t>Fuente:</w:t>
      </w:r>
      <w:r w:rsidRPr="00130C34">
        <w:rPr>
          <w:lang w:val="es-ES"/>
        </w:rPr>
        <w:t xml:space="preserve"> </w:t>
      </w:r>
      <w:r w:rsidRPr="00130C34">
        <w:rPr>
          <w:rFonts w:cstheme="minorHAnsi"/>
          <w:color w:val="002B7F"/>
          <w:sz w:val="18"/>
          <w:lang w:val="es-PA"/>
        </w:rPr>
        <w:t>Elaboración propia en base de</w:t>
      </w:r>
      <w:r>
        <w:rPr>
          <w:rFonts w:cstheme="minorHAnsi"/>
          <w:color w:val="002B7F"/>
          <w:sz w:val="18"/>
          <w:lang w:val="es-PA"/>
        </w:rPr>
        <w:t xml:space="preserve"> CE (2017)</w:t>
      </w:r>
      <w:r>
        <w:rPr>
          <w:rStyle w:val="FootnoteReference"/>
          <w:rFonts w:cstheme="minorHAnsi"/>
          <w:color w:val="002B7F"/>
        </w:rPr>
        <w:footnoteReference w:id="113"/>
      </w:r>
    </w:p>
    <w:p w14:paraId="0B883DAE" w14:textId="101E6594" w:rsidR="004E0F7B" w:rsidRDefault="004E0F7B" w:rsidP="00C46A63">
      <w:pPr>
        <w:spacing w:before="0" w:after="140"/>
        <w:rPr>
          <w:lang w:val="es-ES"/>
        </w:rPr>
      </w:pPr>
      <w:r w:rsidRPr="00657EB1">
        <w:rPr>
          <w:lang w:val="es-ES"/>
        </w:rPr>
        <w:t>El consumo de potencia declarado de una fuente de luz a plena carga P</w:t>
      </w:r>
      <w:r w:rsidRPr="00407789">
        <w:rPr>
          <w:vertAlign w:val="subscript"/>
          <w:lang w:val="es-ES"/>
        </w:rPr>
        <w:t>on</w:t>
      </w:r>
      <w:r w:rsidRPr="00657EB1">
        <w:rPr>
          <w:lang w:val="es-ES"/>
        </w:rPr>
        <w:t xml:space="preserve"> no deberá exceder la potencia máxima permitida P</w:t>
      </w:r>
      <w:r w:rsidRPr="00657EB1">
        <w:rPr>
          <w:vertAlign w:val="subscript"/>
          <w:lang w:val="es-ES"/>
        </w:rPr>
        <w:t>onmax</w:t>
      </w:r>
      <w:r w:rsidRPr="00657EB1">
        <w:rPr>
          <w:lang w:val="es-ES"/>
        </w:rPr>
        <w:t xml:space="preserve"> (en W), definida en función del flujo luminoso útil declarado </w:t>
      </w:r>
      <w:r w:rsidRPr="00657EB1">
        <w:t>Φ</w:t>
      </w:r>
      <w:r w:rsidRPr="00407789">
        <w:rPr>
          <w:vertAlign w:val="subscript"/>
          <w:lang w:val="es-ES"/>
        </w:rPr>
        <w:t>uso</w:t>
      </w:r>
      <w:r w:rsidRPr="00657EB1">
        <w:rPr>
          <w:lang w:val="es-ES"/>
        </w:rPr>
        <w:t xml:space="preserve"> (en lm) y el </w:t>
      </w:r>
      <w:r w:rsidRPr="00407789">
        <w:rPr>
          <w:lang w:val="es-ES"/>
        </w:rPr>
        <w:t>Índice de rendimiento de color</w:t>
      </w:r>
      <w:r w:rsidRPr="00657EB1">
        <w:rPr>
          <w:lang w:val="es-ES"/>
        </w:rPr>
        <w:t xml:space="preserve"> declarado CRI (en Ra) como sigue:</w:t>
      </w:r>
    </w:p>
    <w:p w14:paraId="04B2F54F" w14:textId="77777777" w:rsidR="004E0F7B" w:rsidRPr="0099760A" w:rsidRDefault="004E0F7B" w:rsidP="00C46A63">
      <w:pPr>
        <w:spacing w:before="0" w:after="140"/>
        <w:jc w:val="center"/>
        <w:rPr>
          <w:b/>
          <w:lang w:val="es-ES"/>
        </w:rPr>
      </w:pPr>
      <w:r w:rsidRPr="0099760A">
        <w:rPr>
          <w:b/>
          <w:lang w:val="es-ES"/>
        </w:rPr>
        <w:t>P</w:t>
      </w:r>
      <w:r w:rsidRPr="0099760A">
        <w:rPr>
          <w:b/>
          <w:vertAlign w:val="subscript"/>
          <w:lang w:val="es-ES"/>
        </w:rPr>
        <w:t>onmax</w:t>
      </w:r>
      <w:r w:rsidRPr="0099760A">
        <w:rPr>
          <w:b/>
          <w:lang w:val="es-ES"/>
        </w:rPr>
        <w:t xml:space="preserve"> = C * (L + </w:t>
      </w:r>
      <w:r w:rsidRPr="004E0F7B">
        <w:rPr>
          <w:b/>
          <w:lang w:val="es-ES"/>
        </w:rPr>
        <w:t>Φ</w:t>
      </w:r>
      <w:r w:rsidRPr="0099760A">
        <w:rPr>
          <w:b/>
          <w:vertAlign w:val="subscript"/>
          <w:lang w:val="es-ES"/>
        </w:rPr>
        <w:t>use</w:t>
      </w:r>
      <w:r w:rsidRPr="0099760A">
        <w:rPr>
          <w:b/>
          <w:lang w:val="es-ES"/>
        </w:rPr>
        <w:t xml:space="preserve"> / (F*</w:t>
      </w:r>
      <w:r w:rsidRPr="004E0F7B">
        <w:rPr>
          <w:b/>
          <w:lang w:val="es-ES"/>
        </w:rPr>
        <w:t>η</w:t>
      </w:r>
      <w:r w:rsidRPr="0099760A">
        <w:rPr>
          <w:b/>
          <w:lang w:val="es-ES"/>
        </w:rPr>
        <w:t>)) * R</w:t>
      </w:r>
    </w:p>
    <w:p w14:paraId="60799AE9" w14:textId="77777777" w:rsidR="004E0F7B" w:rsidRPr="004E0F7B" w:rsidRDefault="004E0F7B" w:rsidP="00C46A63">
      <w:pPr>
        <w:spacing w:before="0" w:after="140"/>
        <w:rPr>
          <w:lang w:val="es-ES"/>
        </w:rPr>
      </w:pPr>
      <w:r w:rsidRPr="004E0F7B">
        <w:rPr>
          <w:lang w:val="es-ES"/>
        </w:rPr>
        <w:t>Dónde:</w:t>
      </w:r>
    </w:p>
    <w:p w14:paraId="3438B3DD" w14:textId="77777777" w:rsidR="004E0F7B" w:rsidRDefault="004E0F7B" w:rsidP="00C46A63">
      <w:pPr>
        <w:spacing w:before="0" w:after="140"/>
        <w:rPr>
          <w:lang w:val="es-ES"/>
        </w:rPr>
      </w:pPr>
      <w:r w:rsidRPr="00862052">
        <w:rPr>
          <w:lang w:val="es-ES"/>
        </w:rPr>
        <w:t>- Los valores de eficacia umbral (</w:t>
      </w:r>
      <w:r w:rsidRPr="00862052">
        <w:t>η</w:t>
      </w:r>
      <w:r w:rsidRPr="00862052">
        <w:rPr>
          <w:lang w:val="es-ES"/>
        </w:rPr>
        <w:t xml:space="preserve"> en lm/W) y factor de pérdida </w:t>
      </w:r>
      <w:r>
        <w:rPr>
          <w:lang w:val="es-ES"/>
        </w:rPr>
        <w:t xml:space="preserve">de </w:t>
      </w:r>
      <w:r w:rsidRPr="00862052">
        <w:rPr>
          <w:lang w:val="es-ES"/>
        </w:rPr>
        <w:t>final (L en W) se especifican en la Tabla 1, dependiendo del tipo de fuente de luz.</w:t>
      </w:r>
    </w:p>
    <w:p w14:paraId="7E58E93E" w14:textId="77777777" w:rsidR="004E0F7B" w:rsidRDefault="004E0F7B" w:rsidP="00C46A63">
      <w:pPr>
        <w:spacing w:before="0" w:after="140"/>
        <w:rPr>
          <w:lang w:val="es-ES"/>
        </w:rPr>
      </w:pPr>
      <w:r>
        <w:rPr>
          <w:lang w:val="es-ES"/>
        </w:rPr>
        <w:t xml:space="preserve">- </w:t>
      </w:r>
      <w:r w:rsidRPr="00862052">
        <w:rPr>
          <w:lang w:val="es-ES"/>
        </w:rPr>
        <w:t>Los valores básicos para el factor de corrección (C) dependiendo del tipo de fuente de luz, y las adiciones a C para las características especiales de la fuente de luz se especifican en la Tabla 2.</w:t>
      </w:r>
    </w:p>
    <w:p w14:paraId="33F8E610" w14:textId="77777777" w:rsidR="004E0F7B" w:rsidRDefault="004E0F7B" w:rsidP="00C46A63">
      <w:pPr>
        <w:spacing w:before="0" w:after="140"/>
        <w:rPr>
          <w:lang w:val="es-ES"/>
        </w:rPr>
      </w:pPr>
      <w:r>
        <w:rPr>
          <w:lang w:val="es-ES"/>
        </w:rPr>
        <w:t>-</w:t>
      </w:r>
      <w:r w:rsidRPr="00F5478E">
        <w:rPr>
          <w:lang w:val="es-ES"/>
        </w:rPr>
        <w:t xml:space="preserve"> El factor de eficacia (F) es:</w:t>
      </w:r>
      <w:r>
        <w:rPr>
          <w:lang w:val="es-ES"/>
        </w:rPr>
        <w:t xml:space="preserve"> </w:t>
      </w:r>
    </w:p>
    <w:p w14:paraId="6E9EB513" w14:textId="77777777" w:rsidR="004E0F7B" w:rsidRDefault="004E0F7B" w:rsidP="00C46A63">
      <w:pPr>
        <w:spacing w:before="0" w:after="140"/>
        <w:rPr>
          <w:lang w:val="es-ES"/>
        </w:rPr>
      </w:pPr>
      <w:r>
        <w:rPr>
          <w:lang w:val="es-ES"/>
        </w:rPr>
        <w:tab/>
      </w:r>
      <w:r w:rsidRPr="00F5478E">
        <w:rPr>
          <w:lang w:val="es-ES"/>
        </w:rPr>
        <w:t>1</w:t>
      </w:r>
      <w:r>
        <w:rPr>
          <w:lang w:val="es-ES"/>
        </w:rPr>
        <w:t>,</w:t>
      </w:r>
      <w:r w:rsidRPr="00F5478E">
        <w:rPr>
          <w:lang w:val="es-ES"/>
        </w:rPr>
        <w:t xml:space="preserve">00 para fuentes de luz no direccionales (NDLS, </w:t>
      </w:r>
      <w:r>
        <w:rPr>
          <w:lang w:val="es-ES"/>
        </w:rPr>
        <w:t xml:space="preserve">usando </w:t>
      </w:r>
      <w:r w:rsidRPr="00F5478E">
        <w:rPr>
          <w:lang w:val="es-ES"/>
        </w:rPr>
        <w:t>flujo total)</w:t>
      </w:r>
    </w:p>
    <w:p w14:paraId="59957BC2" w14:textId="77777777" w:rsidR="004E0F7B" w:rsidRDefault="004E0F7B" w:rsidP="00C46A63">
      <w:pPr>
        <w:spacing w:before="0" w:after="140"/>
        <w:rPr>
          <w:lang w:val="es-ES"/>
        </w:rPr>
      </w:pPr>
      <w:r>
        <w:rPr>
          <w:lang w:val="es-ES"/>
        </w:rPr>
        <w:tab/>
      </w:r>
      <w:r w:rsidRPr="00F5478E">
        <w:rPr>
          <w:lang w:val="es-ES"/>
        </w:rPr>
        <w:t>0,85 para fuentes de luz direccional (DLS, usando flujo en un cono)</w:t>
      </w:r>
    </w:p>
    <w:p w14:paraId="56B9A402" w14:textId="77777777" w:rsidR="004E0F7B" w:rsidRDefault="004E0F7B" w:rsidP="00C46A63">
      <w:pPr>
        <w:spacing w:before="0" w:after="140"/>
        <w:rPr>
          <w:lang w:val="es-ES"/>
        </w:rPr>
      </w:pPr>
      <w:r>
        <w:rPr>
          <w:lang w:val="es-ES"/>
        </w:rPr>
        <w:t xml:space="preserve">- El factor </w:t>
      </w:r>
      <w:r w:rsidRPr="004E0F7B">
        <w:rPr>
          <w:lang w:val="es-ES"/>
        </w:rPr>
        <w:t>CRI (R) es:</w:t>
      </w:r>
    </w:p>
    <w:p w14:paraId="2AD5B519" w14:textId="77777777" w:rsidR="004E0F7B" w:rsidRDefault="004E0F7B" w:rsidP="00C46A63">
      <w:pPr>
        <w:spacing w:before="0" w:after="140"/>
        <w:rPr>
          <w:lang w:val="es-ES"/>
        </w:rPr>
      </w:pPr>
      <w:r>
        <w:rPr>
          <w:lang w:val="es-ES"/>
        </w:rPr>
        <w:tab/>
      </w:r>
      <w:r w:rsidRPr="004E0F7B">
        <w:rPr>
          <w:lang w:val="es-ES"/>
        </w:rPr>
        <w:t>0,65 para CRI ≤ 25</w:t>
      </w:r>
    </w:p>
    <w:p w14:paraId="639147C9" w14:textId="4FC3BA55" w:rsidR="004E0F7B" w:rsidRDefault="004E0F7B" w:rsidP="00C46A63">
      <w:pPr>
        <w:spacing w:before="0" w:after="140"/>
        <w:rPr>
          <w:lang w:val="es-ES"/>
        </w:rPr>
      </w:pPr>
      <w:r>
        <w:rPr>
          <w:lang w:val="es-ES"/>
        </w:rPr>
        <w:tab/>
      </w:r>
      <w:r w:rsidRPr="004E0F7B">
        <w:rPr>
          <w:lang w:val="es-ES"/>
        </w:rPr>
        <w:t>(CRI + 80)/160 para CRI</w:t>
      </w:r>
      <w:r w:rsidR="00597343">
        <w:rPr>
          <w:lang w:val="es-ES"/>
        </w:rPr>
        <w:t xml:space="preserve"> </w:t>
      </w:r>
      <w:r w:rsidRPr="004E0F7B">
        <w:rPr>
          <w:lang w:val="es-ES"/>
        </w:rPr>
        <w:t>&gt; 25</w:t>
      </w:r>
      <w:r>
        <w:rPr>
          <w:lang w:val="es-ES"/>
        </w:rPr>
        <w:tab/>
      </w:r>
    </w:p>
    <w:p w14:paraId="3BB8D5C0" w14:textId="39E12C18" w:rsidR="004B400A" w:rsidRDefault="004B400A">
      <w:pPr>
        <w:suppressAutoHyphens w:val="0"/>
        <w:rPr>
          <w:color w:val="002B7F"/>
          <w:lang w:val="es-ES"/>
        </w:rPr>
      </w:pPr>
      <w:r>
        <w:rPr>
          <w:color w:val="002B7F"/>
          <w:lang w:val="es-ES"/>
        </w:rPr>
        <w:br w:type="page"/>
      </w:r>
    </w:p>
    <w:p w14:paraId="1385267B" w14:textId="02BD858B" w:rsidR="004E0F7B" w:rsidRPr="00387BD7" w:rsidRDefault="004E0F7B" w:rsidP="00387BD7">
      <w:pPr>
        <w:pStyle w:val="ListParagraph"/>
        <w:suppressAutoHyphens w:val="0"/>
        <w:ind w:left="0"/>
        <w:jc w:val="center"/>
        <w:rPr>
          <w:color w:val="auto"/>
          <w:lang w:val="es-ES"/>
        </w:rPr>
      </w:pPr>
      <w:r w:rsidRPr="00387BD7">
        <w:rPr>
          <w:color w:val="002B7F"/>
          <w:lang w:val="es-ES"/>
        </w:rPr>
        <w:t>Tabla 1</w:t>
      </w:r>
      <w:r w:rsidR="00387BD7" w:rsidRPr="00387BD7">
        <w:rPr>
          <w:color w:val="002B7F"/>
          <w:lang w:val="es-ES"/>
        </w:rPr>
        <w:t>: Eficacia umbral (η) y factor de pérdida final (L)</w:t>
      </w:r>
    </w:p>
    <w:tbl>
      <w:tblPr>
        <w:tblW w:w="5084" w:type="pct"/>
        <w:jc w:val="center"/>
        <w:tblCellMar>
          <w:left w:w="10" w:type="dxa"/>
          <w:right w:w="10" w:type="dxa"/>
        </w:tblCellMar>
        <w:tblLook w:val="0000" w:firstRow="0" w:lastRow="0" w:firstColumn="0" w:lastColumn="0" w:noHBand="0" w:noVBand="0"/>
      </w:tblPr>
      <w:tblGrid>
        <w:gridCol w:w="6655"/>
        <w:gridCol w:w="992"/>
        <w:gridCol w:w="992"/>
      </w:tblGrid>
      <w:tr w:rsidR="004E0F7B" w:rsidRPr="00882CE3" w14:paraId="1AA8BFD0" w14:textId="77777777" w:rsidTr="004F3E9B">
        <w:trPr>
          <w:jc w:val="center"/>
        </w:trPr>
        <w:tc>
          <w:tcPr>
            <w:tcW w:w="6655"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16E725CF" w14:textId="58DEE1E2" w:rsidR="004E0F7B" w:rsidRPr="00F87425" w:rsidRDefault="00387BD7" w:rsidP="007B75B7">
            <w:pPr>
              <w:suppressAutoHyphens w:val="0"/>
              <w:spacing w:before="0" w:after="0"/>
              <w:jc w:val="left"/>
              <w:textAlignment w:val="auto"/>
              <w:rPr>
                <w:rFonts w:eastAsia="Times New Roman"/>
                <w:b/>
                <w:color w:val="FFFFFF" w:themeColor="background1"/>
                <w:lang w:val="es-ES"/>
              </w:rPr>
            </w:pPr>
            <w:r>
              <w:rPr>
                <w:rFonts w:eastAsia="Times New Roman"/>
                <w:b/>
                <w:color w:val="FFFFFF" w:themeColor="background1"/>
                <w:lang w:val="es-ES"/>
              </w:rPr>
              <w:t>Descripción de la fuente de luz</w:t>
            </w:r>
          </w:p>
        </w:tc>
        <w:tc>
          <w:tcPr>
            <w:tcW w:w="992" w:type="dxa"/>
            <w:tcBorders>
              <w:top w:val="single" w:sz="6" w:space="0" w:color="5B9BD5"/>
              <w:bottom w:val="single" w:sz="6" w:space="0" w:color="5B9BD5"/>
            </w:tcBorders>
            <w:shd w:val="clear" w:color="auto" w:fill="5B9BD5"/>
            <w:tcMar>
              <w:top w:w="0" w:type="dxa"/>
              <w:left w:w="108" w:type="dxa"/>
              <w:bottom w:w="0" w:type="dxa"/>
              <w:right w:w="108" w:type="dxa"/>
            </w:tcMar>
          </w:tcPr>
          <w:p w14:paraId="3CA23C1C" w14:textId="15151971" w:rsidR="004E0F7B" w:rsidRPr="00F87425" w:rsidRDefault="00387BD7" w:rsidP="00387BD7">
            <w:pPr>
              <w:suppressAutoHyphens w:val="0"/>
              <w:spacing w:before="0" w:after="0"/>
              <w:jc w:val="center"/>
              <w:textAlignment w:val="auto"/>
              <w:rPr>
                <w:rFonts w:eastAsia="Times New Roman"/>
                <w:color w:val="FFFFFF" w:themeColor="background1"/>
                <w:lang w:val="es-ES"/>
              </w:rPr>
            </w:pPr>
            <w:r w:rsidRPr="00387BD7">
              <w:rPr>
                <w:rFonts w:cs="Calibri"/>
                <w:b/>
                <w:bCs/>
                <w:color w:val="FFFFFF" w:themeColor="background1"/>
                <w:lang w:val="es-ES"/>
              </w:rPr>
              <w:t>η</w:t>
            </w:r>
            <w:r w:rsidRPr="00387BD7">
              <w:rPr>
                <w:rFonts w:cs="Calibri"/>
                <w:b/>
                <w:bCs/>
                <w:color w:val="FFFFFF" w:themeColor="background1"/>
                <w:lang w:val="es-PA"/>
              </w:rPr>
              <w:t xml:space="preserve"> </w:t>
            </w:r>
            <w:r>
              <w:rPr>
                <w:rFonts w:cs="Calibri"/>
                <w:b/>
                <w:bCs/>
                <w:color w:val="FFFFFF" w:themeColor="background1"/>
                <w:lang w:val="es-PA"/>
              </w:rPr>
              <w:t>[lm/W]</w:t>
            </w:r>
          </w:p>
        </w:tc>
        <w:tc>
          <w:tcPr>
            <w:tcW w:w="992" w:type="dxa"/>
            <w:tcBorders>
              <w:top w:val="single" w:sz="6" w:space="0" w:color="5B9BD5"/>
              <w:bottom w:val="single" w:sz="6" w:space="0" w:color="5B9BD5"/>
            </w:tcBorders>
            <w:shd w:val="clear" w:color="auto" w:fill="5B9BD5"/>
            <w:tcMar>
              <w:top w:w="0" w:type="dxa"/>
              <w:left w:w="108" w:type="dxa"/>
              <w:bottom w:w="0" w:type="dxa"/>
              <w:right w:w="108" w:type="dxa"/>
            </w:tcMar>
          </w:tcPr>
          <w:p w14:paraId="36E8C3B5" w14:textId="3EB555AB" w:rsidR="004E0F7B" w:rsidRPr="00F87425" w:rsidRDefault="00387BD7" w:rsidP="00387BD7">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L [</w:t>
            </w:r>
            <w:r w:rsidR="004E0F7B">
              <w:rPr>
                <w:rFonts w:cs="Calibri"/>
                <w:b/>
                <w:bCs/>
                <w:color w:val="FFFFFF" w:themeColor="background1"/>
                <w:lang w:val="es-PA"/>
              </w:rPr>
              <w:t>W</w:t>
            </w:r>
            <w:r>
              <w:rPr>
                <w:rFonts w:cs="Calibri"/>
                <w:b/>
                <w:bCs/>
                <w:color w:val="FFFFFF" w:themeColor="background1"/>
                <w:lang w:val="es-PA"/>
              </w:rPr>
              <w:t>]</w:t>
            </w:r>
          </w:p>
        </w:tc>
      </w:tr>
      <w:tr w:rsidR="004E0F7B" w:rsidRPr="00F87425" w14:paraId="22575024" w14:textId="77777777" w:rsidTr="004F3E9B">
        <w:trPr>
          <w:jc w:val="center"/>
        </w:trPr>
        <w:tc>
          <w:tcPr>
            <w:tcW w:w="665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6D345DC" w14:textId="73DDB8D8" w:rsidR="004E0F7B" w:rsidRPr="00F87425" w:rsidRDefault="00387BD7" w:rsidP="00502964">
            <w:pPr>
              <w:suppressAutoHyphens w:val="0"/>
              <w:spacing w:before="0" w:after="0"/>
              <w:jc w:val="left"/>
              <w:textAlignment w:val="auto"/>
              <w:rPr>
                <w:rFonts w:eastAsia="Times New Roman"/>
                <w:lang w:val="es-ES"/>
              </w:rPr>
            </w:pPr>
            <w:r>
              <w:rPr>
                <w:rFonts w:eastAsia="Times New Roman"/>
                <w:lang w:val="es-ES"/>
              </w:rPr>
              <w:t>LFL T5-HE</w:t>
            </w:r>
          </w:p>
        </w:tc>
        <w:tc>
          <w:tcPr>
            <w:tcW w:w="99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22BE4B7" w14:textId="551533E4" w:rsidR="004E0F7B" w:rsidRPr="00F87425" w:rsidRDefault="007B75B7" w:rsidP="00263A41">
            <w:pPr>
              <w:suppressAutoHyphens w:val="0"/>
              <w:spacing w:before="0" w:after="0"/>
              <w:jc w:val="center"/>
              <w:textAlignment w:val="auto"/>
              <w:rPr>
                <w:rFonts w:eastAsia="Times New Roman"/>
                <w:lang w:val="es-ES"/>
              </w:rPr>
            </w:pPr>
            <w:r>
              <w:rPr>
                <w:rFonts w:eastAsia="Times New Roman"/>
                <w:lang w:val="es-ES"/>
              </w:rPr>
              <w:t>98,8</w:t>
            </w:r>
          </w:p>
        </w:tc>
        <w:tc>
          <w:tcPr>
            <w:tcW w:w="99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8F1E126" w14:textId="4C628BD5" w:rsidR="004E0F7B" w:rsidRPr="00F87425" w:rsidRDefault="007B75B7" w:rsidP="00263A41">
            <w:pPr>
              <w:suppressAutoHyphens w:val="0"/>
              <w:spacing w:before="0" w:after="0"/>
              <w:jc w:val="center"/>
              <w:textAlignment w:val="auto"/>
              <w:rPr>
                <w:rFonts w:eastAsia="Times New Roman"/>
                <w:lang w:val="es-ES"/>
              </w:rPr>
            </w:pPr>
            <w:r>
              <w:rPr>
                <w:rFonts w:eastAsia="Times New Roman"/>
                <w:lang w:val="es-ES"/>
              </w:rPr>
              <w:t>1,9</w:t>
            </w:r>
          </w:p>
        </w:tc>
      </w:tr>
      <w:tr w:rsidR="004E0F7B" w:rsidRPr="00F87425" w14:paraId="32494F8E" w14:textId="77777777" w:rsidTr="004F3E9B">
        <w:trPr>
          <w:jc w:val="center"/>
        </w:trPr>
        <w:tc>
          <w:tcPr>
            <w:tcW w:w="665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AAA3DB0" w14:textId="28426F1C" w:rsidR="004E0F7B" w:rsidRPr="00F87425" w:rsidRDefault="00387BD7" w:rsidP="00502964">
            <w:pPr>
              <w:suppressAutoHyphens w:val="0"/>
              <w:spacing w:before="0" w:after="0"/>
              <w:jc w:val="left"/>
              <w:textAlignment w:val="auto"/>
              <w:rPr>
                <w:rFonts w:eastAsia="Times New Roman"/>
                <w:lang w:val="es-ES"/>
              </w:rPr>
            </w:pPr>
            <w:r w:rsidRPr="00387BD7">
              <w:rPr>
                <w:rFonts w:eastAsia="Times New Roman"/>
                <w:lang w:val="es-ES"/>
              </w:rPr>
              <w:t>LFL T5-HO, 4000</w:t>
            </w:r>
            <w:r>
              <w:rPr>
                <w:rFonts w:eastAsia="Times New Roman"/>
                <w:lang w:val="es-ES"/>
              </w:rPr>
              <w:t xml:space="preserve"> </w:t>
            </w:r>
            <w:r w:rsidRPr="00387BD7">
              <w:rPr>
                <w:rFonts w:eastAsia="Times New Roman"/>
                <w:lang w:val="es-ES"/>
              </w:rPr>
              <w:t>≤</w:t>
            </w:r>
            <w:r>
              <w:rPr>
                <w:rFonts w:eastAsia="Times New Roman"/>
                <w:lang w:val="es-ES"/>
              </w:rPr>
              <w:t xml:space="preserve"> </w:t>
            </w:r>
            <w:r w:rsidRPr="00387BD7">
              <w:rPr>
                <w:rFonts w:eastAsia="Times New Roman"/>
                <w:lang w:val="es-ES"/>
              </w:rPr>
              <w:t>Φ</w:t>
            </w:r>
            <w:r>
              <w:rPr>
                <w:rFonts w:eastAsia="Times New Roman"/>
                <w:lang w:val="es-ES"/>
              </w:rPr>
              <w:t xml:space="preserve"> </w:t>
            </w:r>
            <w:r w:rsidRPr="00387BD7">
              <w:rPr>
                <w:rFonts w:eastAsia="Times New Roman"/>
                <w:lang w:val="es-ES"/>
              </w:rPr>
              <w:t>≤</w:t>
            </w:r>
            <w:r>
              <w:rPr>
                <w:rFonts w:eastAsia="Times New Roman"/>
                <w:lang w:val="es-ES"/>
              </w:rPr>
              <w:t xml:space="preserve"> </w:t>
            </w:r>
            <w:r w:rsidRPr="00387BD7">
              <w:rPr>
                <w:rFonts w:eastAsia="Times New Roman"/>
                <w:lang w:val="es-ES"/>
              </w:rPr>
              <w:t>5000 lm</w:t>
            </w:r>
          </w:p>
        </w:tc>
        <w:tc>
          <w:tcPr>
            <w:tcW w:w="992"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00D3CCA" w14:textId="57915F2C" w:rsidR="004E0F7B" w:rsidRPr="00F87425" w:rsidRDefault="007B75B7" w:rsidP="00263A41">
            <w:pPr>
              <w:suppressAutoHyphens w:val="0"/>
              <w:spacing w:before="0" w:after="0"/>
              <w:jc w:val="center"/>
              <w:textAlignment w:val="auto"/>
              <w:rPr>
                <w:rFonts w:eastAsia="Times New Roman"/>
                <w:lang w:val="es-ES"/>
              </w:rPr>
            </w:pPr>
            <w:r>
              <w:rPr>
                <w:rFonts w:eastAsia="Times New Roman"/>
                <w:lang w:val="es-ES"/>
              </w:rPr>
              <w:t>83</w:t>
            </w:r>
          </w:p>
        </w:tc>
        <w:tc>
          <w:tcPr>
            <w:tcW w:w="992"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6E1DF88" w14:textId="7D7707A2" w:rsidR="004E0F7B" w:rsidRPr="00F87425" w:rsidRDefault="007B75B7" w:rsidP="00263A41">
            <w:pPr>
              <w:suppressAutoHyphens w:val="0"/>
              <w:spacing w:before="0" w:after="0"/>
              <w:jc w:val="center"/>
              <w:textAlignment w:val="auto"/>
              <w:rPr>
                <w:rFonts w:eastAsia="Times New Roman"/>
                <w:lang w:val="es-ES"/>
              </w:rPr>
            </w:pPr>
            <w:r>
              <w:rPr>
                <w:rFonts w:eastAsia="Times New Roman"/>
                <w:lang w:val="es-ES"/>
              </w:rPr>
              <w:t>1,9</w:t>
            </w:r>
          </w:p>
        </w:tc>
      </w:tr>
      <w:tr w:rsidR="004E0F7B" w:rsidRPr="00387BD7" w14:paraId="70ADCF5E" w14:textId="77777777" w:rsidTr="004F3E9B">
        <w:trPr>
          <w:trHeight w:val="242"/>
          <w:jc w:val="center"/>
        </w:trPr>
        <w:tc>
          <w:tcPr>
            <w:tcW w:w="6655"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417DCAAF" w14:textId="16537DA8" w:rsidR="004E0F7B" w:rsidRPr="00F87425" w:rsidRDefault="00387BD7" w:rsidP="00502964">
            <w:pPr>
              <w:suppressAutoHyphens w:val="0"/>
              <w:spacing w:before="0" w:after="0"/>
              <w:jc w:val="left"/>
              <w:textAlignment w:val="auto"/>
              <w:rPr>
                <w:rFonts w:eastAsia="Times New Roman"/>
                <w:lang w:val="es-ES"/>
              </w:rPr>
            </w:pPr>
            <w:r w:rsidRPr="00387BD7">
              <w:rPr>
                <w:rFonts w:eastAsia="Times New Roman"/>
                <w:lang w:val="es-ES"/>
              </w:rPr>
              <w:t>LFL T5-HO, otra salida de lm</w:t>
            </w:r>
          </w:p>
        </w:tc>
        <w:tc>
          <w:tcPr>
            <w:tcW w:w="992"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11D57C16" w14:textId="538A13E4" w:rsidR="004E0F7B" w:rsidRPr="00F87425" w:rsidRDefault="007B75B7" w:rsidP="00263A41">
            <w:pPr>
              <w:suppressAutoHyphens w:val="0"/>
              <w:spacing w:before="0" w:after="0"/>
              <w:jc w:val="center"/>
              <w:textAlignment w:val="auto"/>
              <w:rPr>
                <w:rFonts w:eastAsia="Times New Roman"/>
                <w:lang w:val="es-ES"/>
              </w:rPr>
            </w:pPr>
            <w:r>
              <w:rPr>
                <w:rFonts w:eastAsia="Times New Roman"/>
                <w:lang w:val="es-ES"/>
              </w:rPr>
              <w:t>79</w:t>
            </w:r>
          </w:p>
        </w:tc>
        <w:tc>
          <w:tcPr>
            <w:tcW w:w="992"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460609AB" w14:textId="6B3897C3" w:rsidR="004E0F7B" w:rsidRPr="00F87425" w:rsidRDefault="007B75B7" w:rsidP="00263A41">
            <w:pPr>
              <w:suppressAutoHyphens w:val="0"/>
              <w:spacing w:before="0" w:after="0"/>
              <w:jc w:val="center"/>
              <w:textAlignment w:val="auto"/>
              <w:rPr>
                <w:rFonts w:eastAsia="Times New Roman"/>
                <w:lang w:val="es-ES"/>
              </w:rPr>
            </w:pPr>
            <w:r>
              <w:rPr>
                <w:rFonts w:eastAsia="Times New Roman"/>
                <w:lang w:val="es-ES"/>
              </w:rPr>
              <w:t>1,9</w:t>
            </w:r>
          </w:p>
        </w:tc>
      </w:tr>
      <w:tr w:rsidR="004E0F7B" w:rsidRPr="00387BD7" w14:paraId="09A0D73D" w14:textId="77777777" w:rsidTr="004F3E9B">
        <w:trPr>
          <w:trHeight w:val="276"/>
          <w:jc w:val="center"/>
        </w:trPr>
        <w:tc>
          <w:tcPr>
            <w:tcW w:w="665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6F938B7" w14:textId="171F0DDD" w:rsidR="004E0F7B" w:rsidRPr="00F87425" w:rsidRDefault="00387BD7" w:rsidP="00502964">
            <w:pPr>
              <w:suppressAutoHyphens w:val="0"/>
              <w:spacing w:before="0" w:after="0"/>
              <w:jc w:val="left"/>
              <w:textAlignment w:val="auto"/>
              <w:rPr>
                <w:rFonts w:eastAsia="Times New Roman"/>
                <w:lang w:val="es-ES"/>
              </w:rPr>
            </w:pPr>
            <w:r w:rsidRPr="00387BD7">
              <w:rPr>
                <w:rFonts w:eastAsia="Times New Roman"/>
                <w:lang w:val="es-ES"/>
              </w:rPr>
              <w:t>FL T5 circular</w:t>
            </w:r>
          </w:p>
        </w:tc>
        <w:tc>
          <w:tcPr>
            <w:tcW w:w="992"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201B027" w14:textId="7002A4DF" w:rsidR="004E0F7B" w:rsidRPr="00F87425" w:rsidRDefault="007B75B7" w:rsidP="00263A41">
            <w:pPr>
              <w:suppressAutoHyphens w:val="0"/>
              <w:spacing w:before="0" w:after="0"/>
              <w:jc w:val="center"/>
              <w:textAlignment w:val="auto"/>
              <w:rPr>
                <w:rFonts w:eastAsia="Times New Roman"/>
                <w:lang w:val="es-ES"/>
              </w:rPr>
            </w:pPr>
            <w:r>
              <w:rPr>
                <w:rFonts w:eastAsia="Times New Roman"/>
                <w:lang w:val="es-ES"/>
              </w:rPr>
              <w:t>79</w:t>
            </w:r>
          </w:p>
        </w:tc>
        <w:tc>
          <w:tcPr>
            <w:tcW w:w="992"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5CFA2AF" w14:textId="1C6FAE38" w:rsidR="004E0F7B" w:rsidRPr="00F87425" w:rsidRDefault="007B75B7" w:rsidP="00263A41">
            <w:pPr>
              <w:suppressAutoHyphens w:val="0"/>
              <w:spacing w:before="0" w:after="0"/>
              <w:jc w:val="center"/>
              <w:textAlignment w:val="auto"/>
              <w:rPr>
                <w:rFonts w:eastAsia="Times New Roman"/>
                <w:lang w:val="es-ES"/>
              </w:rPr>
            </w:pPr>
            <w:r>
              <w:rPr>
                <w:rFonts w:eastAsia="Times New Roman"/>
                <w:lang w:val="es-ES"/>
              </w:rPr>
              <w:t>1,9</w:t>
            </w:r>
          </w:p>
        </w:tc>
      </w:tr>
      <w:tr w:rsidR="00387BD7" w:rsidRPr="00387BD7" w14:paraId="5FF8B2C1" w14:textId="77777777" w:rsidTr="004F3E9B">
        <w:trPr>
          <w:trHeight w:val="276"/>
          <w:jc w:val="center"/>
        </w:trPr>
        <w:tc>
          <w:tcPr>
            <w:tcW w:w="665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BA6821D" w14:textId="73B74F68" w:rsidR="00387BD7" w:rsidRPr="00387BD7" w:rsidRDefault="00502964" w:rsidP="00502964">
            <w:pPr>
              <w:suppressAutoHyphens w:val="0"/>
              <w:spacing w:before="0" w:after="0"/>
              <w:jc w:val="left"/>
              <w:textAlignment w:val="auto"/>
              <w:rPr>
                <w:rFonts w:eastAsia="Times New Roman"/>
                <w:lang w:val="es-ES"/>
              </w:rPr>
            </w:pPr>
            <w:r w:rsidRPr="00502964">
              <w:rPr>
                <w:rFonts w:eastAsia="Times New Roman"/>
                <w:lang w:val="es-ES"/>
              </w:rPr>
              <w:t>FL T8 que no sea LFL de 2, 4 y 5 pies</w:t>
            </w:r>
            <w:r>
              <w:rPr>
                <w:rFonts w:eastAsia="Times New Roman"/>
                <w:lang w:val="es-ES"/>
              </w:rPr>
              <w:t xml:space="preserve"> </w:t>
            </w:r>
            <w:r w:rsidRPr="00502964">
              <w:rPr>
                <w:rFonts w:eastAsia="Times New Roman"/>
                <w:lang w:val="es-ES"/>
              </w:rPr>
              <w:t>(incluye FL T8 en forma de U)</w:t>
            </w:r>
          </w:p>
        </w:tc>
        <w:tc>
          <w:tcPr>
            <w:tcW w:w="99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DDA785D" w14:textId="15AA106D" w:rsidR="00387BD7" w:rsidRPr="00F87425" w:rsidRDefault="007B75B7" w:rsidP="00263A41">
            <w:pPr>
              <w:suppressAutoHyphens w:val="0"/>
              <w:spacing w:before="0" w:after="0"/>
              <w:jc w:val="center"/>
              <w:textAlignment w:val="auto"/>
              <w:rPr>
                <w:rFonts w:eastAsia="Times New Roman"/>
                <w:lang w:val="es-ES"/>
              </w:rPr>
            </w:pPr>
            <w:r>
              <w:rPr>
                <w:rFonts w:eastAsia="Times New Roman"/>
                <w:lang w:val="es-ES"/>
              </w:rPr>
              <w:t>89,7</w:t>
            </w:r>
          </w:p>
        </w:tc>
        <w:tc>
          <w:tcPr>
            <w:tcW w:w="99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1485BDB" w14:textId="5F037744" w:rsidR="00387BD7" w:rsidRPr="00F87425" w:rsidRDefault="007B75B7" w:rsidP="00263A41">
            <w:pPr>
              <w:suppressAutoHyphens w:val="0"/>
              <w:spacing w:before="0" w:after="0"/>
              <w:jc w:val="center"/>
              <w:textAlignment w:val="auto"/>
              <w:rPr>
                <w:rFonts w:eastAsia="Times New Roman"/>
                <w:lang w:val="es-ES"/>
              </w:rPr>
            </w:pPr>
            <w:r>
              <w:rPr>
                <w:rFonts w:eastAsia="Times New Roman"/>
                <w:lang w:val="es-ES"/>
              </w:rPr>
              <w:t>4,5</w:t>
            </w:r>
          </w:p>
        </w:tc>
      </w:tr>
      <w:tr w:rsidR="00387BD7" w:rsidRPr="00387BD7" w14:paraId="17E4AF5F" w14:textId="77777777" w:rsidTr="004F3E9B">
        <w:trPr>
          <w:trHeight w:val="276"/>
          <w:jc w:val="center"/>
        </w:trPr>
        <w:tc>
          <w:tcPr>
            <w:tcW w:w="665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329A078" w14:textId="3ADC5BED" w:rsidR="00387BD7" w:rsidRPr="00387BD7" w:rsidRDefault="00502964" w:rsidP="00502964">
            <w:pPr>
              <w:suppressAutoHyphens w:val="0"/>
              <w:spacing w:before="0" w:after="0"/>
              <w:jc w:val="left"/>
              <w:textAlignment w:val="auto"/>
              <w:rPr>
                <w:rFonts w:eastAsia="Times New Roman"/>
                <w:lang w:val="es-ES"/>
              </w:rPr>
            </w:pPr>
            <w:r w:rsidRPr="00502964">
              <w:rPr>
                <w:rFonts w:eastAsia="Times New Roman"/>
                <w:lang w:val="es-ES"/>
              </w:rPr>
              <w:t>FL con inducción magnética, cualquier longitud / flujo</w:t>
            </w:r>
          </w:p>
        </w:tc>
        <w:tc>
          <w:tcPr>
            <w:tcW w:w="992"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EFDF5E2" w14:textId="49B4F566" w:rsidR="00387BD7" w:rsidRPr="00F87425" w:rsidRDefault="007B75B7" w:rsidP="00263A41">
            <w:pPr>
              <w:suppressAutoHyphens w:val="0"/>
              <w:spacing w:before="0" w:after="0"/>
              <w:jc w:val="center"/>
              <w:textAlignment w:val="auto"/>
              <w:rPr>
                <w:rFonts w:eastAsia="Times New Roman"/>
                <w:lang w:val="es-ES"/>
              </w:rPr>
            </w:pPr>
            <w:r>
              <w:rPr>
                <w:rFonts w:eastAsia="Times New Roman"/>
                <w:lang w:val="es-ES"/>
              </w:rPr>
              <w:t>70,2</w:t>
            </w:r>
          </w:p>
        </w:tc>
        <w:tc>
          <w:tcPr>
            <w:tcW w:w="992"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FCEB438" w14:textId="7C0277CE" w:rsidR="00387BD7" w:rsidRPr="00F87425" w:rsidRDefault="007B75B7" w:rsidP="00263A41">
            <w:pPr>
              <w:suppressAutoHyphens w:val="0"/>
              <w:spacing w:before="0" w:after="0"/>
              <w:jc w:val="center"/>
              <w:textAlignment w:val="auto"/>
              <w:rPr>
                <w:rFonts w:eastAsia="Times New Roman"/>
                <w:lang w:val="es-ES"/>
              </w:rPr>
            </w:pPr>
            <w:r>
              <w:rPr>
                <w:rFonts w:eastAsia="Times New Roman"/>
                <w:lang w:val="es-ES"/>
              </w:rPr>
              <w:t>2,3</w:t>
            </w:r>
          </w:p>
        </w:tc>
      </w:tr>
      <w:tr w:rsidR="00387BD7" w:rsidRPr="00387BD7" w14:paraId="5A80CE93" w14:textId="77777777" w:rsidTr="004F3E9B">
        <w:trPr>
          <w:trHeight w:val="276"/>
          <w:jc w:val="center"/>
        </w:trPr>
        <w:tc>
          <w:tcPr>
            <w:tcW w:w="665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0B960CD" w14:textId="07490169" w:rsidR="00387BD7" w:rsidRPr="00CD0594" w:rsidRDefault="00A27A5E" w:rsidP="00A27A5E">
            <w:pPr>
              <w:suppressAutoHyphens w:val="0"/>
              <w:spacing w:before="0" w:after="0"/>
              <w:jc w:val="left"/>
              <w:textAlignment w:val="auto"/>
              <w:rPr>
                <w:rFonts w:eastAsia="Times New Roman"/>
                <w:lang w:val="es-ES"/>
              </w:rPr>
            </w:pPr>
            <w:r>
              <w:rPr>
                <w:rFonts w:eastAsia="Times New Roman"/>
                <w:lang w:val="es-ES"/>
              </w:rPr>
              <w:t>CFL</w:t>
            </w:r>
            <w:r w:rsidR="00263A41" w:rsidRPr="00CD0594">
              <w:rPr>
                <w:rFonts w:eastAsia="Times New Roman"/>
                <w:lang w:val="es-ES"/>
              </w:rPr>
              <w:t xml:space="preserve"> </w:t>
            </w:r>
            <w:r w:rsidR="0006379D" w:rsidRPr="00CD0594">
              <w:rPr>
                <w:rFonts w:eastAsia="Times New Roman"/>
                <w:lang w:val="es-ES"/>
              </w:rPr>
              <w:t xml:space="preserve">sin </w:t>
            </w:r>
            <w:r w:rsidR="00CD0594" w:rsidRPr="00CD0594">
              <w:rPr>
                <w:rFonts w:eastAsia="Times New Roman"/>
                <w:lang w:val="es-ES"/>
              </w:rPr>
              <w:t>di</w:t>
            </w:r>
            <w:r w:rsidR="00CD0594">
              <w:rPr>
                <w:rFonts w:eastAsia="Times New Roman"/>
                <w:lang w:val="es-ES"/>
              </w:rPr>
              <w:t>s</w:t>
            </w:r>
            <w:r w:rsidR="00CD0594" w:rsidRPr="00CD0594">
              <w:rPr>
                <w:rFonts w:eastAsia="Times New Roman"/>
                <w:lang w:val="es-ES"/>
              </w:rPr>
              <w:t xml:space="preserve">positivos </w:t>
            </w:r>
            <w:r w:rsidR="0006379D" w:rsidRPr="00CD0594">
              <w:rPr>
                <w:rFonts w:eastAsia="Times New Roman"/>
                <w:lang w:val="es-ES"/>
              </w:rPr>
              <w:t>de control integrado</w:t>
            </w:r>
            <w:r w:rsidR="00CD0594">
              <w:rPr>
                <w:rFonts w:eastAsia="Times New Roman"/>
                <w:lang w:val="es-ES"/>
              </w:rPr>
              <w:t>s</w:t>
            </w:r>
          </w:p>
        </w:tc>
        <w:tc>
          <w:tcPr>
            <w:tcW w:w="99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2C33924" w14:textId="1F697ADE" w:rsidR="00387BD7" w:rsidRPr="00F87425" w:rsidRDefault="007B75B7" w:rsidP="00263A41">
            <w:pPr>
              <w:suppressAutoHyphens w:val="0"/>
              <w:spacing w:before="0" w:after="0"/>
              <w:jc w:val="center"/>
              <w:textAlignment w:val="auto"/>
              <w:rPr>
                <w:rFonts w:eastAsia="Times New Roman"/>
                <w:lang w:val="es-ES"/>
              </w:rPr>
            </w:pPr>
            <w:r>
              <w:rPr>
                <w:rFonts w:eastAsia="Times New Roman"/>
                <w:lang w:val="es-ES"/>
              </w:rPr>
              <w:t>70,2</w:t>
            </w:r>
          </w:p>
        </w:tc>
        <w:tc>
          <w:tcPr>
            <w:tcW w:w="99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673FB68" w14:textId="7D3E82D1" w:rsidR="00387BD7" w:rsidRPr="00F87425" w:rsidRDefault="007B75B7" w:rsidP="00263A41">
            <w:pPr>
              <w:suppressAutoHyphens w:val="0"/>
              <w:spacing w:before="0" w:after="0"/>
              <w:jc w:val="center"/>
              <w:textAlignment w:val="auto"/>
              <w:rPr>
                <w:rFonts w:eastAsia="Times New Roman"/>
                <w:lang w:val="es-ES"/>
              </w:rPr>
            </w:pPr>
            <w:r>
              <w:rPr>
                <w:rFonts w:eastAsia="Times New Roman"/>
                <w:lang w:val="es-ES"/>
              </w:rPr>
              <w:t>2,3</w:t>
            </w:r>
          </w:p>
        </w:tc>
      </w:tr>
      <w:tr w:rsidR="00387BD7" w:rsidRPr="00387BD7" w14:paraId="1D30C7BA" w14:textId="77777777" w:rsidTr="004F3E9B">
        <w:trPr>
          <w:trHeight w:val="276"/>
          <w:jc w:val="center"/>
        </w:trPr>
        <w:tc>
          <w:tcPr>
            <w:tcW w:w="665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E13B46F" w14:textId="461CA461" w:rsidR="00387BD7" w:rsidRPr="00387BD7" w:rsidRDefault="00502964" w:rsidP="00502964">
            <w:pPr>
              <w:suppressAutoHyphens w:val="0"/>
              <w:spacing w:before="0" w:after="0"/>
              <w:jc w:val="left"/>
              <w:textAlignment w:val="auto"/>
              <w:rPr>
                <w:rFonts w:eastAsia="Times New Roman"/>
                <w:lang w:val="es-ES"/>
              </w:rPr>
            </w:pPr>
            <w:r w:rsidRPr="00502964">
              <w:rPr>
                <w:rFonts w:eastAsia="Times New Roman"/>
                <w:lang w:val="es-ES"/>
              </w:rPr>
              <w:t>FL T9 circular</w:t>
            </w:r>
          </w:p>
        </w:tc>
        <w:tc>
          <w:tcPr>
            <w:tcW w:w="992"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4FDDAC4" w14:textId="5D90DDFD" w:rsidR="00387BD7" w:rsidRPr="00F87425" w:rsidRDefault="007B75B7" w:rsidP="00263A41">
            <w:pPr>
              <w:suppressAutoHyphens w:val="0"/>
              <w:spacing w:before="0" w:after="0"/>
              <w:jc w:val="center"/>
              <w:textAlignment w:val="auto"/>
              <w:rPr>
                <w:rFonts w:eastAsia="Times New Roman"/>
                <w:lang w:val="es-ES"/>
              </w:rPr>
            </w:pPr>
            <w:r>
              <w:rPr>
                <w:rFonts w:eastAsia="Times New Roman"/>
                <w:lang w:val="es-ES"/>
              </w:rPr>
              <w:t>71,5</w:t>
            </w:r>
          </w:p>
        </w:tc>
        <w:tc>
          <w:tcPr>
            <w:tcW w:w="992"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9BE863D" w14:textId="12C8C1F2" w:rsidR="00387BD7" w:rsidRPr="00F87425" w:rsidRDefault="007B75B7" w:rsidP="00263A41">
            <w:pPr>
              <w:suppressAutoHyphens w:val="0"/>
              <w:spacing w:before="0" w:after="0"/>
              <w:jc w:val="center"/>
              <w:textAlignment w:val="auto"/>
              <w:rPr>
                <w:rFonts w:eastAsia="Times New Roman"/>
                <w:lang w:val="es-ES"/>
              </w:rPr>
            </w:pPr>
            <w:r>
              <w:rPr>
                <w:rFonts w:eastAsia="Times New Roman"/>
                <w:lang w:val="es-ES"/>
              </w:rPr>
              <w:t>6,2</w:t>
            </w:r>
          </w:p>
        </w:tc>
      </w:tr>
      <w:tr w:rsidR="00387BD7" w:rsidRPr="00387BD7" w14:paraId="1F26E46E" w14:textId="77777777" w:rsidTr="004F3E9B">
        <w:trPr>
          <w:trHeight w:val="276"/>
          <w:jc w:val="center"/>
        </w:trPr>
        <w:tc>
          <w:tcPr>
            <w:tcW w:w="665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4099945" w14:textId="40F51959" w:rsidR="00387BD7" w:rsidRPr="00387BD7" w:rsidRDefault="00502964" w:rsidP="00192728">
            <w:pPr>
              <w:suppressAutoHyphens w:val="0"/>
              <w:spacing w:before="0" w:after="0"/>
              <w:jc w:val="left"/>
              <w:textAlignment w:val="auto"/>
              <w:rPr>
                <w:rFonts w:eastAsia="Times New Roman"/>
                <w:lang w:val="es-ES"/>
              </w:rPr>
            </w:pPr>
            <w:r w:rsidRPr="00502964">
              <w:rPr>
                <w:rFonts w:eastAsia="Times New Roman"/>
                <w:lang w:val="es-ES"/>
              </w:rPr>
              <w:t xml:space="preserve">HPS </w:t>
            </w:r>
            <w:r>
              <w:rPr>
                <w:rFonts w:eastAsia="Times New Roman"/>
                <w:lang w:val="es-ES"/>
              </w:rPr>
              <w:t xml:space="preserve">con </w:t>
            </w:r>
            <w:r w:rsidR="00192728">
              <w:rPr>
                <w:rFonts w:eastAsia="Times New Roman"/>
                <w:lang w:val="es-ES"/>
              </w:rPr>
              <w:t>conexión</w:t>
            </w:r>
            <w:r>
              <w:rPr>
                <w:rFonts w:eastAsia="Times New Roman"/>
                <w:lang w:val="es-ES"/>
              </w:rPr>
              <w:t xml:space="preserve"> </w:t>
            </w:r>
            <w:r w:rsidR="00192728">
              <w:rPr>
                <w:rFonts w:eastAsia="Times New Roman"/>
                <w:lang w:val="es-ES"/>
              </w:rPr>
              <w:t>única</w:t>
            </w:r>
          </w:p>
        </w:tc>
        <w:tc>
          <w:tcPr>
            <w:tcW w:w="99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F49BD83" w14:textId="67224E6F" w:rsidR="00387BD7" w:rsidRPr="00F87425" w:rsidRDefault="007B75B7" w:rsidP="00263A41">
            <w:pPr>
              <w:suppressAutoHyphens w:val="0"/>
              <w:spacing w:before="0" w:after="0"/>
              <w:jc w:val="center"/>
              <w:textAlignment w:val="auto"/>
              <w:rPr>
                <w:rFonts w:eastAsia="Times New Roman"/>
                <w:lang w:val="es-ES"/>
              </w:rPr>
            </w:pPr>
            <w:r>
              <w:rPr>
                <w:rFonts w:eastAsia="Times New Roman"/>
                <w:lang w:val="es-ES"/>
              </w:rPr>
              <w:t>88</w:t>
            </w:r>
          </w:p>
        </w:tc>
        <w:tc>
          <w:tcPr>
            <w:tcW w:w="99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AF8356F" w14:textId="6C1874B5" w:rsidR="00387BD7" w:rsidRPr="00F87425" w:rsidRDefault="007B75B7" w:rsidP="00263A41">
            <w:pPr>
              <w:suppressAutoHyphens w:val="0"/>
              <w:spacing w:before="0" w:after="0"/>
              <w:jc w:val="center"/>
              <w:textAlignment w:val="auto"/>
              <w:rPr>
                <w:rFonts w:eastAsia="Times New Roman"/>
                <w:lang w:val="es-ES"/>
              </w:rPr>
            </w:pPr>
            <w:r>
              <w:rPr>
                <w:rFonts w:eastAsia="Times New Roman"/>
                <w:lang w:val="es-ES"/>
              </w:rPr>
              <w:t>50</w:t>
            </w:r>
          </w:p>
        </w:tc>
      </w:tr>
      <w:tr w:rsidR="00387BD7" w:rsidRPr="00387BD7" w14:paraId="4319B4B9" w14:textId="77777777" w:rsidTr="004F3E9B">
        <w:trPr>
          <w:trHeight w:val="276"/>
          <w:jc w:val="center"/>
        </w:trPr>
        <w:tc>
          <w:tcPr>
            <w:tcW w:w="665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358DE64" w14:textId="7383E422" w:rsidR="00387BD7" w:rsidRPr="00387BD7" w:rsidRDefault="00502964" w:rsidP="00192728">
            <w:pPr>
              <w:suppressAutoHyphens w:val="0"/>
              <w:spacing w:before="0" w:after="0"/>
              <w:jc w:val="left"/>
              <w:textAlignment w:val="auto"/>
              <w:rPr>
                <w:rFonts w:eastAsia="Times New Roman"/>
                <w:lang w:val="es-ES"/>
              </w:rPr>
            </w:pPr>
            <w:r w:rsidRPr="00502964">
              <w:rPr>
                <w:rFonts w:eastAsia="Times New Roman"/>
                <w:lang w:val="es-ES"/>
              </w:rPr>
              <w:t xml:space="preserve">HPS </w:t>
            </w:r>
            <w:r>
              <w:rPr>
                <w:rFonts w:eastAsia="Times New Roman"/>
                <w:lang w:val="es-ES"/>
              </w:rPr>
              <w:t xml:space="preserve">con </w:t>
            </w:r>
            <w:r w:rsidR="00192728">
              <w:rPr>
                <w:rFonts w:eastAsia="Times New Roman"/>
                <w:lang w:val="es-ES"/>
              </w:rPr>
              <w:t xml:space="preserve">conexión </w:t>
            </w:r>
            <w:r w:rsidRPr="00502964">
              <w:rPr>
                <w:rFonts w:eastAsia="Times New Roman"/>
                <w:lang w:val="es-ES"/>
              </w:rPr>
              <w:t>doble</w:t>
            </w:r>
          </w:p>
        </w:tc>
        <w:tc>
          <w:tcPr>
            <w:tcW w:w="992"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35871D3" w14:textId="0129CA30" w:rsidR="00387BD7" w:rsidRPr="00F87425" w:rsidRDefault="007B75B7" w:rsidP="00263A41">
            <w:pPr>
              <w:suppressAutoHyphens w:val="0"/>
              <w:spacing w:before="0" w:after="0"/>
              <w:jc w:val="center"/>
              <w:textAlignment w:val="auto"/>
              <w:rPr>
                <w:rFonts w:eastAsia="Times New Roman"/>
                <w:lang w:val="es-ES"/>
              </w:rPr>
            </w:pPr>
            <w:r>
              <w:rPr>
                <w:rFonts w:eastAsia="Times New Roman"/>
                <w:lang w:val="es-ES"/>
              </w:rPr>
              <w:t>78</w:t>
            </w:r>
          </w:p>
        </w:tc>
        <w:tc>
          <w:tcPr>
            <w:tcW w:w="992"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313A124" w14:textId="197A2BC3" w:rsidR="00387BD7" w:rsidRPr="00F87425" w:rsidRDefault="007B75B7" w:rsidP="00263A41">
            <w:pPr>
              <w:suppressAutoHyphens w:val="0"/>
              <w:spacing w:before="0" w:after="0"/>
              <w:jc w:val="center"/>
              <w:textAlignment w:val="auto"/>
              <w:rPr>
                <w:rFonts w:eastAsia="Times New Roman"/>
                <w:lang w:val="es-ES"/>
              </w:rPr>
            </w:pPr>
            <w:r>
              <w:rPr>
                <w:rFonts w:eastAsia="Times New Roman"/>
                <w:lang w:val="es-ES"/>
              </w:rPr>
              <w:t>47,7</w:t>
            </w:r>
          </w:p>
        </w:tc>
      </w:tr>
      <w:tr w:rsidR="00502964" w:rsidRPr="00387BD7" w14:paraId="57A2612F" w14:textId="77777777" w:rsidTr="004F3E9B">
        <w:trPr>
          <w:trHeight w:val="276"/>
          <w:jc w:val="center"/>
        </w:trPr>
        <w:tc>
          <w:tcPr>
            <w:tcW w:w="665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D290AED" w14:textId="01B35295" w:rsidR="00502964" w:rsidRPr="00502964" w:rsidRDefault="00502964" w:rsidP="00192728">
            <w:pPr>
              <w:suppressAutoHyphens w:val="0"/>
              <w:spacing w:before="0" w:after="0"/>
              <w:jc w:val="left"/>
              <w:textAlignment w:val="auto"/>
              <w:rPr>
                <w:rFonts w:eastAsia="Times New Roman"/>
                <w:lang w:val="es-ES"/>
              </w:rPr>
            </w:pPr>
            <w:r w:rsidRPr="00502964">
              <w:rPr>
                <w:rFonts w:eastAsia="Times New Roman"/>
                <w:lang w:val="es-ES"/>
              </w:rPr>
              <w:t xml:space="preserve">MH ≤ 405 W </w:t>
            </w:r>
            <w:r w:rsidR="00192728">
              <w:rPr>
                <w:rFonts w:eastAsia="Times New Roman"/>
                <w:lang w:val="es-ES"/>
              </w:rPr>
              <w:t>con conexión única</w:t>
            </w:r>
          </w:p>
        </w:tc>
        <w:tc>
          <w:tcPr>
            <w:tcW w:w="99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A94FF57" w14:textId="3D52FFDA" w:rsidR="00502964" w:rsidRPr="00F87425" w:rsidRDefault="007B75B7" w:rsidP="00263A41">
            <w:pPr>
              <w:suppressAutoHyphens w:val="0"/>
              <w:spacing w:before="0" w:after="0"/>
              <w:jc w:val="center"/>
              <w:textAlignment w:val="auto"/>
              <w:rPr>
                <w:rFonts w:eastAsia="Times New Roman"/>
                <w:lang w:val="es-ES"/>
              </w:rPr>
            </w:pPr>
            <w:r>
              <w:rPr>
                <w:rFonts w:eastAsia="Times New Roman"/>
                <w:lang w:val="es-ES"/>
              </w:rPr>
              <w:t>84,5</w:t>
            </w:r>
          </w:p>
        </w:tc>
        <w:tc>
          <w:tcPr>
            <w:tcW w:w="99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1146CE6" w14:textId="3BE2708D" w:rsidR="00502964" w:rsidRPr="00F87425" w:rsidRDefault="007B75B7" w:rsidP="00263A41">
            <w:pPr>
              <w:suppressAutoHyphens w:val="0"/>
              <w:spacing w:before="0" w:after="0"/>
              <w:jc w:val="center"/>
              <w:textAlignment w:val="auto"/>
              <w:rPr>
                <w:rFonts w:eastAsia="Times New Roman"/>
                <w:lang w:val="es-ES"/>
              </w:rPr>
            </w:pPr>
            <w:r>
              <w:rPr>
                <w:rFonts w:eastAsia="Times New Roman"/>
                <w:lang w:val="es-ES"/>
              </w:rPr>
              <w:t>7,7</w:t>
            </w:r>
          </w:p>
        </w:tc>
      </w:tr>
      <w:tr w:rsidR="00502964" w:rsidRPr="00387BD7" w14:paraId="19E1EDD0" w14:textId="77777777" w:rsidTr="004F3E9B">
        <w:trPr>
          <w:trHeight w:val="276"/>
          <w:jc w:val="center"/>
        </w:trPr>
        <w:tc>
          <w:tcPr>
            <w:tcW w:w="665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2659BA5" w14:textId="26545EAB" w:rsidR="00502964" w:rsidRPr="00502964" w:rsidRDefault="00502964" w:rsidP="00192728">
            <w:pPr>
              <w:suppressAutoHyphens w:val="0"/>
              <w:spacing w:before="0" w:after="0"/>
              <w:jc w:val="left"/>
              <w:textAlignment w:val="auto"/>
              <w:rPr>
                <w:rFonts w:eastAsia="Times New Roman"/>
                <w:lang w:val="es-ES"/>
              </w:rPr>
            </w:pPr>
            <w:r w:rsidRPr="00502964">
              <w:rPr>
                <w:rFonts w:eastAsia="Times New Roman"/>
                <w:lang w:val="es-ES"/>
              </w:rPr>
              <w:t xml:space="preserve">MH&gt; 405 W </w:t>
            </w:r>
            <w:r w:rsidR="00192728">
              <w:rPr>
                <w:rFonts w:eastAsia="Times New Roman"/>
                <w:lang w:val="es-ES"/>
              </w:rPr>
              <w:t>con conexión</w:t>
            </w:r>
            <w:r w:rsidRPr="00502964">
              <w:rPr>
                <w:rFonts w:eastAsia="Times New Roman"/>
                <w:lang w:val="es-ES"/>
              </w:rPr>
              <w:t xml:space="preserve"> única</w:t>
            </w:r>
          </w:p>
        </w:tc>
        <w:tc>
          <w:tcPr>
            <w:tcW w:w="992"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F10DEBC" w14:textId="74B4006A" w:rsidR="00502964" w:rsidRPr="00F87425" w:rsidRDefault="007B75B7" w:rsidP="00263A41">
            <w:pPr>
              <w:suppressAutoHyphens w:val="0"/>
              <w:spacing w:before="0" w:after="0"/>
              <w:jc w:val="center"/>
              <w:textAlignment w:val="auto"/>
              <w:rPr>
                <w:rFonts w:eastAsia="Times New Roman"/>
                <w:lang w:val="es-ES"/>
              </w:rPr>
            </w:pPr>
            <w:r>
              <w:rPr>
                <w:rFonts w:eastAsia="Times New Roman"/>
                <w:lang w:val="es-ES"/>
              </w:rPr>
              <w:t>79,3</w:t>
            </w:r>
          </w:p>
        </w:tc>
        <w:tc>
          <w:tcPr>
            <w:tcW w:w="992"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53DAB50" w14:textId="49F8CBBF" w:rsidR="00502964" w:rsidRPr="00F87425" w:rsidRDefault="007B75B7" w:rsidP="00263A41">
            <w:pPr>
              <w:suppressAutoHyphens w:val="0"/>
              <w:spacing w:before="0" w:after="0"/>
              <w:jc w:val="center"/>
              <w:textAlignment w:val="auto"/>
              <w:rPr>
                <w:rFonts w:eastAsia="Times New Roman"/>
                <w:lang w:val="es-ES"/>
              </w:rPr>
            </w:pPr>
            <w:r>
              <w:rPr>
                <w:rFonts w:eastAsia="Times New Roman"/>
                <w:lang w:val="es-ES"/>
              </w:rPr>
              <w:t>12,3</w:t>
            </w:r>
          </w:p>
        </w:tc>
      </w:tr>
      <w:tr w:rsidR="00502964" w:rsidRPr="00387BD7" w14:paraId="00EB3E0E" w14:textId="77777777" w:rsidTr="004F3E9B">
        <w:trPr>
          <w:trHeight w:val="276"/>
          <w:jc w:val="center"/>
        </w:trPr>
        <w:tc>
          <w:tcPr>
            <w:tcW w:w="665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A62A4D1" w14:textId="5942FC56" w:rsidR="00502964" w:rsidRPr="00502964" w:rsidRDefault="00502964" w:rsidP="00192728">
            <w:pPr>
              <w:suppressAutoHyphens w:val="0"/>
              <w:spacing w:before="0" w:after="0"/>
              <w:jc w:val="left"/>
              <w:textAlignment w:val="auto"/>
              <w:rPr>
                <w:rFonts w:eastAsia="Times New Roman"/>
                <w:lang w:val="es-ES"/>
              </w:rPr>
            </w:pPr>
            <w:r w:rsidRPr="00502964">
              <w:rPr>
                <w:rFonts w:eastAsia="Times New Roman"/>
                <w:lang w:val="es-ES"/>
              </w:rPr>
              <w:t xml:space="preserve">MH cerámica </w:t>
            </w:r>
            <w:r w:rsidR="00192728">
              <w:rPr>
                <w:rFonts w:eastAsia="Times New Roman"/>
                <w:lang w:val="es-ES"/>
              </w:rPr>
              <w:t>con conexión doble</w:t>
            </w:r>
          </w:p>
        </w:tc>
        <w:tc>
          <w:tcPr>
            <w:tcW w:w="99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559AB03" w14:textId="2D8FE019" w:rsidR="00502964" w:rsidRPr="00F87425" w:rsidRDefault="007B75B7" w:rsidP="00263A41">
            <w:pPr>
              <w:suppressAutoHyphens w:val="0"/>
              <w:spacing w:before="0" w:after="0"/>
              <w:jc w:val="center"/>
              <w:textAlignment w:val="auto"/>
              <w:rPr>
                <w:rFonts w:eastAsia="Times New Roman"/>
                <w:lang w:val="es-ES"/>
              </w:rPr>
            </w:pPr>
            <w:r>
              <w:rPr>
                <w:rFonts w:eastAsia="Times New Roman"/>
                <w:lang w:val="es-ES"/>
              </w:rPr>
              <w:t>84,5</w:t>
            </w:r>
          </w:p>
        </w:tc>
        <w:tc>
          <w:tcPr>
            <w:tcW w:w="99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C0257B2" w14:textId="34B11585" w:rsidR="00502964" w:rsidRPr="00F87425" w:rsidRDefault="007B75B7" w:rsidP="00263A41">
            <w:pPr>
              <w:suppressAutoHyphens w:val="0"/>
              <w:spacing w:before="0" w:after="0"/>
              <w:jc w:val="center"/>
              <w:textAlignment w:val="auto"/>
              <w:rPr>
                <w:rFonts w:eastAsia="Times New Roman"/>
                <w:lang w:val="es-ES"/>
              </w:rPr>
            </w:pPr>
            <w:r>
              <w:rPr>
                <w:rFonts w:eastAsia="Times New Roman"/>
                <w:lang w:val="es-ES"/>
              </w:rPr>
              <w:t>7,7</w:t>
            </w:r>
          </w:p>
        </w:tc>
      </w:tr>
      <w:tr w:rsidR="00502964" w:rsidRPr="00387BD7" w14:paraId="2566DA3C" w14:textId="77777777" w:rsidTr="004F3E9B">
        <w:trPr>
          <w:trHeight w:val="276"/>
          <w:jc w:val="center"/>
        </w:trPr>
        <w:tc>
          <w:tcPr>
            <w:tcW w:w="665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9F288E8" w14:textId="609F2F40" w:rsidR="00502964" w:rsidRPr="00502964" w:rsidRDefault="00502964" w:rsidP="00192728">
            <w:pPr>
              <w:suppressAutoHyphens w:val="0"/>
              <w:spacing w:before="0" w:after="0"/>
              <w:jc w:val="left"/>
              <w:textAlignment w:val="auto"/>
              <w:rPr>
                <w:rFonts w:eastAsia="Times New Roman"/>
                <w:lang w:val="es-ES"/>
              </w:rPr>
            </w:pPr>
            <w:r w:rsidRPr="00502964">
              <w:rPr>
                <w:rFonts w:eastAsia="Times New Roman"/>
                <w:lang w:val="es-ES"/>
              </w:rPr>
              <w:t xml:space="preserve">MH </w:t>
            </w:r>
            <w:r w:rsidR="00192728">
              <w:rPr>
                <w:rFonts w:eastAsia="Times New Roman"/>
                <w:lang w:val="es-ES"/>
              </w:rPr>
              <w:t>cuarzo con conexión doble</w:t>
            </w:r>
          </w:p>
        </w:tc>
        <w:tc>
          <w:tcPr>
            <w:tcW w:w="992"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87AEAB2" w14:textId="11C8CE27" w:rsidR="00502964" w:rsidRPr="00F87425" w:rsidRDefault="007B75B7" w:rsidP="00263A41">
            <w:pPr>
              <w:suppressAutoHyphens w:val="0"/>
              <w:spacing w:before="0" w:after="0"/>
              <w:jc w:val="center"/>
              <w:textAlignment w:val="auto"/>
              <w:rPr>
                <w:rFonts w:eastAsia="Times New Roman"/>
                <w:lang w:val="es-ES"/>
              </w:rPr>
            </w:pPr>
            <w:r>
              <w:rPr>
                <w:rFonts w:eastAsia="Times New Roman"/>
                <w:lang w:val="es-ES"/>
              </w:rPr>
              <w:t>79,3</w:t>
            </w:r>
          </w:p>
        </w:tc>
        <w:tc>
          <w:tcPr>
            <w:tcW w:w="992"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E8A9443" w14:textId="6C259F00" w:rsidR="00502964" w:rsidRPr="00F87425" w:rsidRDefault="007B75B7" w:rsidP="00263A41">
            <w:pPr>
              <w:suppressAutoHyphens w:val="0"/>
              <w:spacing w:before="0" w:after="0"/>
              <w:jc w:val="center"/>
              <w:textAlignment w:val="auto"/>
              <w:rPr>
                <w:rFonts w:eastAsia="Times New Roman"/>
                <w:lang w:val="es-ES"/>
              </w:rPr>
            </w:pPr>
            <w:r>
              <w:rPr>
                <w:rFonts w:eastAsia="Times New Roman"/>
                <w:lang w:val="es-ES"/>
              </w:rPr>
              <w:t>12,3</w:t>
            </w:r>
          </w:p>
        </w:tc>
      </w:tr>
      <w:tr w:rsidR="00502964" w:rsidRPr="00387BD7" w14:paraId="09E6953B" w14:textId="77777777" w:rsidTr="004F3E9B">
        <w:trPr>
          <w:trHeight w:val="276"/>
          <w:jc w:val="center"/>
        </w:trPr>
        <w:tc>
          <w:tcPr>
            <w:tcW w:w="665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E2914ED" w14:textId="428B95AD" w:rsidR="00502964" w:rsidRPr="00502964" w:rsidRDefault="00263A41" w:rsidP="004F3E9B">
            <w:pPr>
              <w:suppressAutoHyphens w:val="0"/>
              <w:spacing w:before="0" w:after="0"/>
              <w:jc w:val="left"/>
              <w:textAlignment w:val="auto"/>
              <w:rPr>
                <w:rFonts w:eastAsia="Times New Roman"/>
                <w:lang w:val="es-ES"/>
              </w:rPr>
            </w:pPr>
            <w:r w:rsidRPr="00263A41">
              <w:rPr>
                <w:rFonts w:eastAsia="Times New Roman"/>
                <w:lang w:val="es-ES"/>
              </w:rPr>
              <w:t xml:space="preserve">Diodo Orgánico </w:t>
            </w:r>
            <w:r w:rsidR="004F3E9B">
              <w:rPr>
                <w:rFonts w:eastAsia="Times New Roman"/>
                <w:lang w:val="es-ES"/>
              </w:rPr>
              <w:t>de Emisión</w:t>
            </w:r>
            <w:r w:rsidRPr="00263A41">
              <w:rPr>
                <w:rFonts w:eastAsia="Times New Roman"/>
                <w:lang w:val="es-ES"/>
              </w:rPr>
              <w:t xml:space="preserve"> de Luz </w:t>
            </w:r>
            <w:r w:rsidR="00502964" w:rsidRPr="00502964">
              <w:rPr>
                <w:rFonts w:eastAsia="Times New Roman"/>
                <w:lang w:val="es-ES"/>
              </w:rPr>
              <w:t>(OLED)</w:t>
            </w:r>
          </w:p>
        </w:tc>
        <w:tc>
          <w:tcPr>
            <w:tcW w:w="99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914A95B" w14:textId="06E6D8A8" w:rsidR="00502964" w:rsidRPr="00F87425" w:rsidRDefault="007B75B7" w:rsidP="00263A41">
            <w:pPr>
              <w:suppressAutoHyphens w:val="0"/>
              <w:spacing w:before="0" w:after="0"/>
              <w:jc w:val="center"/>
              <w:textAlignment w:val="auto"/>
              <w:rPr>
                <w:rFonts w:eastAsia="Times New Roman"/>
                <w:lang w:val="es-ES"/>
              </w:rPr>
            </w:pPr>
            <w:r>
              <w:rPr>
                <w:rFonts w:eastAsia="Times New Roman"/>
                <w:lang w:val="es-ES"/>
              </w:rPr>
              <w:t>65</w:t>
            </w:r>
          </w:p>
        </w:tc>
        <w:tc>
          <w:tcPr>
            <w:tcW w:w="99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8B1D934" w14:textId="5F89FD3D" w:rsidR="00502964" w:rsidRPr="00F87425" w:rsidRDefault="007B75B7" w:rsidP="00263A41">
            <w:pPr>
              <w:suppressAutoHyphens w:val="0"/>
              <w:spacing w:before="0" w:after="0"/>
              <w:jc w:val="center"/>
              <w:textAlignment w:val="auto"/>
              <w:rPr>
                <w:rFonts w:eastAsia="Times New Roman"/>
                <w:lang w:val="es-ES"/>
              </w:rPr>
            </w:pPr>
            <w:r>
              <w:rPr>
                <w:rFonts w:eastAsia="Times New Roman"/>
                <w:lang w:val="es-ES"/>
              </w:rPr>
              <w:t>1,5</w:t>
            </w:r>
          </w:p>
        </w:tc>
      </w:tr>
      <w:tr w:rsidR="00502964" w:rsidRPr="00387BD7" w14:paraId="50FCADAC" w14:textId="77777777" w:rsidTr="004F3E9B">
        <w:trPr>
          <w:trHeight w:val="276"/>
          <w:jc w:val="center"/>
        </w:trPr>
        <w:tc>
          <w:tcPr>
            <w:tcW w:w="665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E7E7682" w14:textId="5DC81520" w:rsidR="00502964" w:rsidRPr="004F3E9B" w:rsidRDefault="00502964" w:rsidP="004F3E9B">
            <w:pPr>
              <w:suppressAutoHyphens w:val="0"/>
              <w:spacing w:before="0" w:after="0"/>
              <w:jc w:val="left"/>
              <w:textAlignment w:val="auto"/>
              <w:rPr>
                <w:rFonts w:eastAsia="Times New Roman"/>
                <w:lang w:val="es-ES"/>
              </w:rPr>
            </w:pPr>
            <w:r w:rsidRPr="004F3E9B">
              <w:rPr>
                <w:rFonts w:eastAsia="Times New Roman"/>
                <w:lang w:val="es-ES"/>
              </w:rPr>
              <w:t xml:space="preserve">HL </w:t>
            </w:r>
            <w:r w:rsidR="004F3E9B" w:rsidRPr="004F3E9B">
              <w:rPr>
                <w:rFonts w:eastAsia="Times New Roman"/>
                <w:lang w:val="es-ES"/>
              </w:rPr>
              <w:t xml:space="preserve">con diámetro de casquillo de </w:t>
            </w:r>
            <w:r w:rsidR="00263A41" w:rsidRPr="004F3E9B">
              <w:rPr>
                <w:rFonts w:eastAsia="Times New Roman"/>
                <w:lang w:val="es-ES"/>
              </w:rPr>
              <w:t>7 mm</w:t>
            </w:r>
            <w:r w:rsidRPr="004F3E9B">
              <w:rPr>
                <w:rFonts w:eastAsia="Times New Roman"/>
                <w:lang w:val="es-ES"/>
              </w:rPr>
              <w:t xml:space="preserve"> ≤ 2700 lm</w:t>
            </w:r>
          </w:p>
        </w:tc>
        <w:tc>
          <w:tcPr>
            <w:tcW w:w="992"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495128C" w14:textId="32958116" w:rsidR="00502964" w:rsidRPr="00F87425" w:rsidRDefault="007B75B7" w:rsidP="00263A41">
            <w:pPr>
              <w:suppressAutoHyphens w:val="0"/>
              <w:spacing w:before="0" w:after="0"/>
              <w:jc w:val="center"/>
              <w:textAlignment w:val="auto"/>
              <w:rPr>
                <w:rFonts w:eastAsia="Times New Roman"/>
                <w:lang w:val="es-ES"/>
              </w:rPr>
            </w:pPr>
            <w:r>
              <w:rPr>
                <w:rFonts w:eastAsia="Times New Roman"/>
                <w:lang w:val="es-ES"/>
              </w:rPr>
              <w:t>26</w:t>
            </w:r>
          </w:p>
        </w:tc>
        <w:tc>
          <w:tcPr>
            <w:tcW w:w="992"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5F55CFA" w14:textId="137947BC" w:rsidR="00502964" w:rsidRPr="00F87425" w:rsidRDefault="007B75B7" w:rsidP="00263A41">
            <w:pPr>
              <w:suppressAutoHyphens w:val="0"/>
              <w:spacing w:before="0" w:after="0"/>
              <w:jc w:val="center"/>
              <w:textAlignment w:val="auto"/>
              <w:rPr>
                <w:rFonts w:eastAsia="Times New Roman"/>
                <w:lang w:val="es-ES"/>
              </w:rPr>
            </w:pPr>
            <w:r>
              <w:rPr>
                <w:rFonts w:eastAsia="Times New Roman"/>
                <w:lang w:val="es-ES"/>
              </w:rPr>
              <w:t>13</w:t>
            </w:r>
          </w:p>
        </w:tc>
      </w:tr>
      <w:tr w:rsidR="00502964" w:rsidRPr="00387BD7" w14:paraId="06F8C535" w14:textId="77777777" w:rsidTr="004F3E9B">
        <w:trPr>
          <w:trHeight w:val="276"/>
          <w:jc w:val="center"/>
        </w:trPr>
        <w:tc>
          <w:tcPr>
            <w:tcW w:w="665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F8BC804" w14:textId="292F52E0" w:rsidR="00502964" w:rsidRPr="00502964" w:rsidRDefault="00502964" w:rsidP="004F3E9B">
            <w:pPr>
              <w:suppressAutoHyphens w:val="0"/>
              <w:spacing w:before="0" w:after="0"/>
              <w:jc w:val="left"/>
              <w:textAlignment w:val="auto"/>
              <w:rPr>
                <w:rFonts w:eastAsia="Times New Roman"/>
                <w:lang w:val="es-ES"/>
              </w:rPr>
            </w:pPr>
            <w:r w:rsidRPr="00502964">
              <w:rPr>
                <w:rFonts w:eastAsia="Times New Roman"/>
                <w:lang w:val="es-ES"/>
              </w:rPr>
              <w:t xml:space="preserve">Otras fuentes de luz </w:t>
            </w:r>
            <w:r w:rsidR="004F3E9B">
              <w:rPr>
                <w:rFonts w:eastAsia="Times New Roman"/>
                <w:lang w:val="es-ES"/>
              </w:rPr>
              <w:t>dentro d</w:t>
            </w:r>
            <w:r w:rsidRPr="00502964">
              <w:rPr>
                <w:rFonts w:eastAsia="Times New Roman"/>
                <w:lang w:val="es-ES"/>
              </w:rPr>
              <w:t xml:space="preserve">e alcance no mencionadas </w:t>
            </w:r>
            <w:r w:rsidR="004F3E9B">
              <w:rPr>
                <w:rFonts w:eastAsia="Times New Roman"/>
                <w:lang w:val="es-ES"/>
              </w:rPr>
              <w:t>a</w:t>
            </w:r>
            <w:r w:rsidRPr="00502964">
              <w:rPr>
                <w:rFonts w:eastAsia="Times New Roman"/>
                <w:lang w:val="es-ES"/>
              </w:rPr>
              <w:t>nteriormente</w:t>
            </w:r>
          </w:p>
        </w:tc>
        <w:tc>
          <w:tcPr>
            <w:tcW w:w="99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0852EC6" w14:textId="7E8B2F28" w:rsidR="00502964" w:rsidRPr="00F87425" w:rsidRDefault="007B75B7" w:rsidP="00263A41">
            <w:pPr>
              <w:suppressAutoHyphens w:val="0"/>
              <w:spacing w:before="0" w:after="0"/>
              <w:jc w:val="center"/>
              <w:textAlignment w:val="auto"/>
              <w:rPr>
                <w:rFonts w:eastAsia="Times New Roman"/>
                <w:lang w:val="es-ES"/>
              </w:rPr>
            </w:pPr>
            <w:r>
              <w:rPr>
                <w:rFonts w:eastAsia="Times New Roman"/>
                <w:lang w:val="es-ES"/>
              </w:rPr>
              <w:t>120</w:t>
            </w:r>
          </w:p>
        </w:tc>
        <w:tc>
          <w:tcPr>
            <w:tcW w:w="99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0603C5F" w14:textId="7193EBBF" w:rsidR="00502964" w:rsidRPr="00F87425" w:rsidRDefault="007B75B7" w:rsidP="00263A41">
            <w:pPr>
              <w:suppressAutoHyphens w:val="0"/>
              <w:spacing w:before="0" w:after="0"/>
              <w:jc w:val="center"/>
              <w:textAlignment w:val="auto"/>
              <w:rPr>
                <w:rFonts w:eastAsia="Times New Roman"/>
                <w:lang w:val="es-ES"/>
              </w:rPr>
            </w:pPr>
            <w:r>
              <w:rPr>
                <w:rFonts w:eastAsia="Times New Roman"/>
                <w:lang w:val="es-ES"/>
              </w:rPr>
              <w:t>1,5 *)</w:t>
            </w:r>
          </w:p>
        </w:tc>
      </w:tr>
    </w:tbl>
    <w:p w14:paraId="5001C6EE" w14:textId="0B7EF90B" w:rsidR="004E0F7B" w:rsidRDefault="00502964" w:rsidP="00F87425">
      <w:pPr>
        <w:pStyle w:val="ListParagraph"/>
        <w:suppressAutoHyphens w:val="0"/>
        <w:ind w:left="0"/>
        <w:rPr>
          <w:lang w:val="es-ES"/>
        </w:rPr>
      </w:pPr>
      <w:r w:rsidRPr="00502964">
        <w:rPr>
          <w:lang w:val="es-ES"/>
        </w:rPr>
        <w:t>*</w:t>
      </w:r>
      <w:r w:rsidR="007B75B7">
        <w:rPr>
          <w:lang w:val="es-ES"/>
        </w:rPr>
        <w:t>)</w:t>
      </w:r>
      <w:r w:rsidRPr="00502964">
        <w:rPr>
          <w:lang w:val="es-ES"/>
        </w:rPr>
        <w:t xml:space="preserve"> Para fuentes de luz conectadas (CLS) se aplicará un factor L = 2</w:t>
      </w:r>
      <w:r w:rsidR="007B75B7">
        <w:rPr>
          <w:lang w:val="es-ES"/>
        </w:rPr>
        <w:t>,</w:t>
      </w:r>
      <w:r w:rsidRPr="00502964">
        <w:rPr>
          <w:lang w:val="es-ES"/>
        </w:rPr>
        <w:t>0.</w:t>
      </w:r>
    </w:p>
    <w:p w14:paraId="19F3F756" w14:textId="77777777" w:rsidR="004B400A" w:rsidRPr="004F3E9B" w:rsidRDefault="004B400A" w:rsidP="007B75B7">
      <w:pPr>
        <w:pStyle w:val="ListParagraph"/>
        <w:suppressAutoHyphens w:val="0"/>
        <w:jc w:val="center"/>
        <w:rPr>
          <w:lang w:val="es-ES"/>
        </w:rPr>
      </w:pPr>
    </w:p>
    <w:p w14:paraId="04624473" w14:textId="63821CAA" w:rsidR="00387BD7" w:rsidRPr="00387BD7" w:rsidRDefault="007B75B7" w:rsidP="007B75B7">
      <w:pPr>
        <w:pStyle w:val="ListParagraph"/>
        <w:suppressAutoHyphens w:val="0"/>
        <w:ind w:left="0"/>
        <w:jc w:val="center"/>
        <w:rPr>
          <w:lang w:val="es-ES"/>
        </w:rPr>
      </w:pPr>
      <w:r w:rsidRPr="00387BD7">
        <w:rPr>
          <w:color w:val="002B7F"/>
          <w:lang w:val="es-ES"/>
        </w:rPr>
        <w:t xml:space="preserve">Tabla </w:t>
      </w:r>
      <w:r>
        <w:rPr>
          <w:color w:val="002B7F"/>
          <w:lang w:val="es-ES"/>
        </w:rPr>
        <w:t>2</w:t>
      </w:r>
      <w:r w:rsidRPr="00387BD7">
        <w:rPr>
          <w:color w:val="002B7F"/>
          <w:lang w:val="es-ES"/>
        </w:rPr>
        <w:t xml:space="preserve">: </w:t>
      </w:r>
      <w:r w:rsidRPr="007B75B7">
        <w:rPr>
          <w:color w:val="002B7F"/>
          <w:lang w:val="es-ES"/>
        </w:rPr>
        <w:t>Factor de corrección C dependiendo de las características de la fuente de luz</w:t>
      </w:r>
    </w:p>
    <w:tbl>
      <w:tblPr>
        <w:tblW w:w="4500" w:type="pct"/>
        <w:jc w:val="center"/>
        <w:tblCellMar>
          <w:left w:w="10" w:type="dxa"/>
          <w:right w:w="10" w:type="dxa"/>
        </w:tblCellMar>
        <w:tblLook w:val="0000" w:firstRow="0" w:lastRow="0" w:firstColumn="0" w:lastColumn="0" w:noHBand="0" w:noVBand="0"/>
      </w:tblPr>
      <w:tblGrid>
        <w:gridCol w:w="5804"/>
        <w:gridCol w:w="1842"/>
      </w:tblGrid>
      <w:tr w:rsidR="007B75B7" w:rsidRPr="00882CE3" w14:paraId="03166E41" w14:textId="77777777" w:rsidTr="00F316AA">
        <w:trPr>
          <w:jc w:val="center"/>
        </w:trPr>
        <w:tc>
          <w:tcPr>
            <w:tcW w:w="5804"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33A184BF" w14:textId="41428F40" w:rsidR="007B75B7" w:rsidRPr="00F87425" w:rsidRDefault="007B75B7" w:rsidP="00F316AA">
            <w:pPr>
              <w:suppressAutoHyphens w:val="0"/>
              <w:spacing w:before="0" w:after="0"/>
              <w:jc w:val="left"/>
              <w:textAlignment w:val="auto"/>
              <w:rPr>
                <w:rFonts w:eastAsia="Times New Roman"/>
                <w:b/>
                <w:color w:val="FFFFFF" w:themeColor="background1"/>
                <w:lang w:val="es-ES"/>
              </w:rPr>
            </w:pPr>
            <w:r>
              <w:rPr>
                <w:rFonts w:eastAsia="Times New Roman"/>
                <w:b/>
                <w:color w:val="FFFFFF" w:themeColor="background1"/>
                <w:lang w:val="es-ES"/>
              </w:rPr>
              <w:t>Tipo de fuente de luz</w:t>
            </w:r>
          </w:p>
        </w:tc>
        <w:tc>
          <w:tcPr>
            <w:tcW w:w="1842" w:type="dxa"/>
            <w:tcBorders>
              <w:top w:val="single" w:sz="6" w:space="0" w:color="5B9BD5"/>
              <w:bottom w:val="single" w:sz="6" w:space="0" w:color="5B9BD5"/>
            </w:tcBorders>
            <w:shd w:val="clear" w:color="auto" w:fill="5B9BD5"/>
            <w:tcMar>
              <w:top w:w="0" w:type="dxa"/>
              <w:left w:w="108" w:type="dxa"/>
              <w:bottom w:w="0" w:type="dxa"/>
              <w:right w:w="108" w:type="dxa"/>
            </w:tcMar>
          </w:tcPr>
          <w:p w14:paraId="566E61B0" w14:textId="0BD50AC5" w:rsidR="007B75B7" w:rsidRPr="00F87425" w:rsidRDefault="007B75B7" w:rsidP="007B75B7">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ES"/>
              </w:rPr>
              <w:t>Valor básico C</w:t>
            </w:r>
          </w:p>
        </w:tc>
      </w:tr>
      <w:tr w:rsidR="007B75B7" w:rsidRPr="00F87425" w14:paraId="4573B36C" w14:textId="77777777" w:rsidTr="00F316AA">
        <w:trPr>
          <w:jc w:val="center"/>
        </w:trPr>
        <w:tc>
          <w:tcPr>
            <w:tcW w:w="5804"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E906E83" w14:textId="1C50A491" w:rsidR="007B75B7" w:rsidRPr="00F87425" w:rsidRDefault="00F316AA" w:rsidP="00263A41">
            <w:pPr>
              <w:suppressAutoHyphens w:val="0"/>
              <w:spacing w:before="0" w:after="0"/>
              <w:jc w:val="left"/>
              <w:textAlignment w:val="auto"/>
              <w:rPr>
                <w:rFonts w:eastAsia="Times New Roman"/>
                <w:lang w:val="es-ES"/>
              </w:rPr>
            </w:pPr>
            <w:r w:rsidRPr="00F316AA">
              <w:rPr>
                <w:rFonts w:eastAsia="Times New Roman"/>
                <w:lang w:val="es-ES"/>
              </w:rPr>
              <w:t>No direccional (NDLS) que no funciona en la red (NMLS)</w:t>
            </w:r>
          </w:p>
        </w:tc>
        <w:tc>
          <w:tcPr>
            <w:tcW w:w="184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5EC423A" w14:textId="642EC70E" w:rsidR="007B75B7" w:rsidRPr="00F87425" w:rsidRDefault="007B75B7" w:rsidP="00263A41">
            <w:pPr>
              <w:suppressAutoHyphens w:val="0"/>
              <w:spacing w:before="0" w:after="0"/>
              <w:jc w:val="center"/>
              <w:textAlignment w:val="auto"/>
              <w:rPr>
                <w:rFonts w:eastAsia="Times New Roman"/>
                <w:lang w:val="es-ES"/>
              </w:rPr>
            </w:pPr>
            <w:r>
              <w:rPr>
                <w:rFonts w:eastAsia="Times New Roman"/>
                <w:lang w:val="es-ES"/>
              </w:rPr>
              <w:t>1</w:t>
            </w:r>
          </w:p>
        </w:tc>
      </w:tr>
      <w:tr w:rsidR="007B75B7" w:rsidRPr="00F87425" w14:paraId="2FCAEDF6" w14:textId="77777777" w:rsidTr="00F316AA">
        <w:trPr>
          <w:jc w:val="center"/>
        </w:trPr>
        <w:tc>
          <w:tcPr>
            <w:tcW w:w="5804"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2B6FF72" w14:textId="13F998E4" w:rsidR="007B75B7" w:rsidRPr="00F87425" w:rsidRDefault="00F316AA" w:rsidP="00263A41">
            <w:pPr>
              <w:suppressAutoHyphens w:val="0"/>
              <w:spacing w:before="0" w:after="0"/>
              <w:jc w:val="left"/>
              <w:textAlignment w:val="auto"/>
              <w:rPr>
                <w:rFonts w:eastAsia="Times New Roman"/>
                <w:lang w:val="es-ES"/>
              </w:rPr>
            </w:pPr>
            <w:r w:rsidRPr="00F316AA">
              <w:rPr>
                <w:rFonts w:eastAsia="Times New Roman"/>
                <w:lang w:val="es-ES"/>
              </w:rPr>
              <w:t>No direccional (NDLS) que funciona en la red (MLS)</w:t>
            </w:r>
          </w:p>
        </w:tc>
        <w:tc>
          <w:tcPr>
            <w:tcW w:w="1842"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1725749" w14:textId="026F2FA6" w:rsidR="007B75B7" w:rsidRPr="00F87425" w:rsidRDefault="007B75B7" w:rsidP="00263A41">
            <w:pPr>
              <w:suppressAutoHyphens w:val="0"/>
              <w:spacing w:before="0" w:after="0"/>
              <w:jc w:val="center"/>
              <w:textAlignment w:val="auto"/>
              <w:rPr>
                <w:rFonts w:eastAsia="Times New Roman"/>
                <w:lang w:val="es-ES"/>
              </w:rPr>
            </w:pPr>
            <w:r>
              <w:rPr>
                <w:rFonts w:eastAsia="Times New Roman"/>
                <w:lang w:val="es-ES"/>
              </w:rPr>
              <w:t>1,08</w:t>
            </w:r>
          </w:p>
        </w:tc>
      </w:tr>
      <w:tr w:rsidR="007B75B7" w:rsidRPr="00387BD7" w14:paraId="00B4AD52" w14:textId="77777777" w:rsidTr="00F316AA">
        <w:trPr>
          <w:trHeight w:val="242"/>
          <w:jc w:val="center"/>
        </w:trPr>
        <w:tc>
          <w:tcPr>
            <w:tcW w:w="5804"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1717C798" w14:textId="51A28BEE" w:rsidR="007B75B7" w:rsidRPr="00F87425" w:rsidRDefault="00F316AA" w:rsidP="00263A41">
            <w:pPr>
              <w:suppressAutoHyphens w:val="0"/>
              <w:spacing w:before="0" w:after="0"/>
              <w:jc w:val="left"/>
              <w:textAlignment w:val="auto"/>
              <w:rPr>
                <w:rFonts w:eastAsia="Times New Roman"/>
                <w:lang w:val="es-ES"/>
              </w:rPr>
            </w:pPr>
            <w:r w:rsidRPr="00F316AA">
              <w:rPr>
                <w:rFonts w:eastAsia="Times New Roman"/>
                <w:lang w:val="es-ES"/>
              </w:rPr>
              <w:t>Direccional (DLS) que no funciona en la red (NMLS)</w:t>
            </w:r>
          </w:p>
        </w:tc>
        <w:tc>
          <w:tcPr>
            <w:tcW w:w="1842"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0650C1CD" w14:textId="1B83B7DD" w:rsidR="007B75B7" w:rsidRPr="00F87425" w:rsidRDefault="00F316AA" w:rsidP="00263A41">
            <w:pPr>
              <w:suppressAutoHyphens w:val="0"/>
              <w:spacing w:before="0" w:after="0"/>
              <w:jc w:val="center"/>
              <w:textAlignment w:val="auto"/>
              <w:rPr>
                <w:rFonts w:eastAsia="Times New Roman"/>
                <w:lang w:val="es-ES"/>
              </w:rPr>
            </w:pPr>
            <w:r>
              <w:rPr>
                <w:rFonts w:eastAsia="Times New Roman"/>
                <w:lang w:val="es-ES"/>
              </w:rPr>
              <w:t>1,15</w:t>
            </w:r>
          </w:p>
        </w:tc>
      </w:tr>
      <w:tr w:rsidR="007B75B7" w:rsidRPr="00387BD7" w14:paraId="79532ABE" w14:textId="77777777" w:rsidTr="00F316AA">
        <w:trPr>
          <w:trHeight w:val="276"/>
          <w:jc w:val="center"/>
        </w:trPr>
        <w:tc>
          <w:tcPr>
            <w:tcW w:w="5804"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E69DD89" w14:textId="642470C3" w:rsidR="007B75B7" w:rsidRPr="00F87425" w:rsidRDefault="00F316AA" w:rsidP="00263A41">
            <w:pPr>
              <w:suppressAutoHyphens w:val="0"/>
              <w:spacing w:before="0" w:after="0"/>
              <w:jc w:val="left"/>
              <w:textAlignment w:val="auto"/>
              <w:rPr>
                <w:rFonts w:eastAsia="Times New Roman"/>
                <w:lang w:val="es-ES"/>
              </w:rPr>
            </w:pPr>
            <w:r w:rsidRPr="00F316AA">
              <w:rPr>
                <w:rFonts w:eastAsia="Times New Roman"/>
                <w:lang w:val="es-ES"/>
              </w:rPr>
              <w:t>Direccional (DLS) que funciona en la red (MLS)</w:t>
            </w:r>
          </w:p>
        </w:tc>
        <w:tc>
          <w:tcPr>
            <w:tcW w:w="1842"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E6493D5" w14:textId="7ED6037E" w:rsidR="007B75B7" w:rsidRPr="00F87425" w:rsidRDefault="00F316AA" w:rsidP="00263A41">
            <w:pPr>
              <w:suppressAutoHyphens w:val="0"/>
              <w:spacing w:before="0" w:after="0"/>
              <w:jc w:val="center"/>
              <w:textAlignment w:val="auto"/>
              <w:rPr>
                <w:rFonts w:eastAsia="Times New Roman"/>
                <w:lang w:val="es-ES"/>
              </w:rPr>
            </w:pPr>
            <w:r>
              <w:rPr>
                <w:rFonts w:eastAsia="Times New Roman"/>
                <w:lang w:val="es-ES"/>
              </w:rPr>
              <w:t>1,23</w:t>
            </w:r>
          </w:p>
        </w:tc>
      </w:tr>
      <w:tr w:rsidR="00F316AA" w:rsidRPr="00F316AA" w14:paraId="50325C8C" w14:textId="77777777" w:rsidTr="00F316AA">
        <w:trPr>
          <w:trHeight w:val="276"/>
          <w:jc w:val="center"/>
        </w:trPr>
        <w:tc>
          <w:tcPr>
            <w:tcW w:w="5804" w:type="dxa"/>
            <w:tcBorders>
              <w:top w:val="single" w:sz="6" w:space="0" w:color="9CC2E5"/>
              <w:left w:val="single" w:sz="6" w:space="0" w:color="9CC2E5"/>
              <w:bottom w:val="single" w:sz="6" w:space="0" w:color="9CC2E5"/>
              <w:right w:val="single" w:sz="6" w:space="0" w:color="9CC2E5"/>
            </w:tcBorders>
            <w:shd w:val="clear" w:color="auto" w:fill="5B9BD5"/>
            <w:tcMar>
              <w:top w:w="0" w:type="dxa"/>
              <w:left w:w="108" w:type="dxa"/>
              <w:bottom w:w="0" w:type="dxa"/>
              <w:right w:w="108" w:type="dxa"/>
            </w:tcMar>
          </w:tcPr>
          <w:p w14:paraId="069BB144" w14:textId="50FFFB37" w:rsidR="007B75B7" w:rsidRPr="00F316AA" w:rsidRDefault="00F316AA" w:rsidP="00F316AA">
            <w:pPr>
              <w:suppressAutoHyphens w:val="0"/>
              <w:spacing w:before="0" w:after="0"/>
              <w:jc w:val="left"/>
              <w:textAlignment w:val="auto"/>
              <w:rPr>
                <w:rFonts w:eastAsia="Times New Roman"/>
                <w:b/>
                <w:color w:val="FFFFFF" w:themeColor="background1"/>
                <w:lang w:val="es-ES"/>
              </w:rPr>
            </w:pPr>
            <w:r w:rsidRPr="00F316AA">
              <w:rPr>
                <w:rFonts w:eastAsia="Times New Roman"/>
                <w:b/>
                <w:color w:val="FFFFFF" w:themeColor="background1"/>
                <w:lang w:val="es-ES"/>
              </w:rPr>
              <w:t>Característica de fuente de luz especial</w:t>
            </w:r>
          </w:p>
        </w:tc>
        <w:tc>
          <w:tcPr>
            <w:tcW w:w="1842" w:type="dxa"/>
            <w:tcBorders>
              <w:top w:val="single" w:sz="6" w:space="0" w:color="9CC2E5"/>
              <w:left w:val="single" w:sz="6" w:space="0" w:color="9CC2E5"/>
              <w:bottom w:val="single" w:sz="6" w:space="0" w:color="9CC2E5"/>
              <w:right w:val="single" w:sz="6" w:space="0" w:color="9CC2E5"/>
            </w:tcBorders>
            <w:shd w:val="clear" w:color="auto" w:fill="5B9BD5"/>
            <w:tcMar>
              <w:top w:w="0" w:type="dxa"/>
              <w:left w:w="108" w:type="dxa"/>
              <w:bottom w:w="0" w:type="dxa"/>
              <w:right w:w="108" w:type="dxa"/>
            </w:tcMar>
          </w:tcPr>
          <w:p w14:paraId="1DEC2318" w14:textId="330D9668" w:rsidR="007B75B7" w:rsidRPr="00F316AA" w:rsidRDefault="00F316AA" w:rsidP="00F316AA">
            <w:pPr>
              <w:suppressAutoHyphens w:val="0"/>
              <w:spacing w:before="0" w:after="0"/>
              <w:jc w:val="center"/>
              <w:textAlignment w:val="auto"/>
              <w:rPr>
                <w:rFonts w:eastAsia="Times New Roman"/>
                <w:b/>
                <w:color w:val="FFFFFF" w:themeColor="background1"/>
                <w:lang w:val="es-ES"/>
              </w:rPr>
            </w:pPr>
            <w:r w:rsidRPr="00F316AA">
              <w:rPr>
                <w:rFonts w:eastAsia="Times New Roman"/>
                <w:b/>
                <w:color w:val="FFFFFF" w:themeColor="background1"/>
                <w:lang w:val="es-ES"/>
              </w:rPr>
              <w:t>Bon</w:t>
            </w:r>
            <w:r>
              <w:rPr>
                <w:rFonts w:eastAsia="Times New Roman"/>
                <w:b/>
                <w:color w:val="FFFFFF" w:themeColor="background1"/>
                <w:lang w:val="es-ES"/>
              </w:rPr>
              <w:t>o</w:t>
            </w:r>
            <w:r w:rsidRPr="00F316AA">
              <w:rPr>
                <w:rFonts w:eastAsia="Times New Roman"/>
                <w:b/>
                <w:color w:val="FFFFFF" w:themeColor="background1"/>
                <w:lang w:val="es-ES"/>
              </w:rPr>
              <w:t xml:space="preserve"> sobre C</w:t>
            </w:r>
          </w:p>
        </w:tc>
      </w:tr>
      <w:tr w:rsidR="00F316AA" w:rsidRPr="00387BD7" w14:paraId="0834D540" w14:textId="77777777" w:rsidTr="00F316AA">
        <w:trPr>
          <w:trHeight w:val="276"/>
          <w:jc w:val="center"/>
        </w:trPr>
        <w:tc>
          <w:tcPr>
            <w:tcW w:w="5804"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75ED963" w14:textId="7527CA55" w:rsidR="00F316AA" w:rsidRPr="00387BD7" w:rsidRDefault="00F316AA" w:rsidP="00263A41">
            <w:pPr>
              <w:suppressAutoHyphens w:val="0"/>
              <w:spacing w:before="0" w:after="0"/>
              <w:jc w:val="left"/>
              <w:textAlignment w:val="auto"/>
              <w:rPr>
                <w:rFonts w:eastAsia="Times New Roman"/>
                <w:lang w:val="es-ES"/>
              </w:rPr>
            </w:pPr>
            <w:r w:rsidRPr="00F316AA">
              <w:rPr>
                <w:rFonts w:eastAsia="Times New Roman"/>
                <w:lang w:val="es-ES"/>
              </w:rPr>
              <w:t>FL o HID con Tc</w:t>
            </w:r>
            <w:r>
              <w:rPr>
                <w:rFonts w:eastAsia="Times New Roman"/>
                <w:lang w:val="es-ES"/>
              </w:rPr>
              <w:t xml:space="preserve"> </w:t>
            </w:r>
            <w:r w:rsidRPr="00F316AA">
              <w:rPr>
                <w:rFonts w:eastAsia="Times New Roman"/>
                <w:lang w:val="es-ES"/>
              </w:rPr>
              <w:t>&gt; 5000 K</w:t>
            </w:r>
          </w:p>
        </w:tc>
        <w:tc>
          <w:tcPr>
            <w:tcW w:w="184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CC68DA6" w14:textId="591FB7DE" w:rsidR="00F316AA" w:rsidRPr="00F87425" w:rsidRDefault="00F316AA" w:rsidP="00263A41">
            <w:pPr>
              <w:suppressAutoHyphens w:val="0"/>
              <w:spacing w:before="0" w:after="0"/>
              <w:jc w:val="center"/>
              <w:textAlignment w:val="auto"/>
              <w:rPr>
                <w:rFonts w:eastAsia="Times New Roman"/>
                <w:lang w:val="es-ES"/>
              </w:rPr>
            </w:pPr>
            <w:r>
              <w:rPr>
                <w:rFonts w:eastAsia="Times New Roman"/>
                <w:lang w:val="es-ES"/>
              </w:rPr>
              <w:t>C+0,1</w:t>
            </w:r>
          </w:p>
        </w:tc>
      </w:tr>
      <w:tr w:rsidR="007B75B7" w:rsidRPr="00387BD7" w14:paraId="518218B3" w14:textId="77777777" w:rsidTr="00F316AA">
        <w:trPr>
          <w:trHeight w:val="276"/>
          <w:jc w:val="center"/>
        </w:trPr>
        <w:tc>
          <w:tcPr>
            <w:tcW w:w="5804"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7153B61" w14:textId="41B0B5DE" w:rsidR="007B75B7" w:rsidRPr="00387BD7" w:rsidRDefault="00F316AA" w:rsidP="00263A41">
            <w:pPr>
              <w:suppressAutoHyphens w:val="0"/>
              <w:spacing w:before="0" w:after="0"/>
              <w:jc w:val="left"/>
              <w:textAlignment w:val="auto"/>
              <w:rPr>
                <w:rFonts w:eastAsia="Times New Roman"/>
                <w:lang w:val="es-ES"/>
              </w:rPr>
            </w:pPr>
            <w:r w:rsidRPr="00F316AA">
              <w:rPr>
                <w:rFonts w:eastAsia="Times New Roman"/>
                <w:lang w:val="es-ES"/>
              </w:rPr>
              <w:t>FL con CRI</w:t>
            </w:r>
            <w:r w:rsidR="0006379D">
              <w:rPr>
                <w:rFonts w:eastAsia="Times New Roman"/>
                <w:lang w:val="es-ES"/>
              </w:rPr>
              <w:t xml:space="preserve"> </w:t>
            </w:r>
            <w:r w:rsidRPr="00F316AA">
              <w:rPr>
                <w:rFonts w:eastAsia="Times New Roman"/>
                <w:lang w:val="es-ES"/>
              </w:rPr>
              <w:t>&gt; 90 Ra</w:t>
            </w:r>
          </w:p>
        </w:tc>
        <w:tc>
          <w:tcPr>
            <w:tcW w:w="1842"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493CDE2" w14:textId="0CA6559C" w:rsidR="007B75B7" w:rsidRPr="00F87425" w:rsidRDefault="00F316AA" w:rsidP="00263A41">
            <w:pPr>
              <w:suppressAutoHyphens w:val="0"/>
              <w:spacing w:before="0" w:after="0"/>
              <w:jc w:val="center"/>
              <w:textAlignment w:val="auto"/>
              <w:rPr>
                <w:rFonts w:eastAsia="Times New Roman"/>
                <w:lang w:val="es-ES"/>
              </w:rPr>
            </w:pPr>
            <w:r>
              <w:rPr>
                <w:rFonts w:eastAsia="Times New Roman"/>
                <w:lang w:val="es-ES"/>
              </w:rPr>
              <w:t>C+0,1</w:t>
            </w:r>
          </w:p>
        </w:tc>
      </w:tr>
      <w:tr w:rsidR="007B75B7" w:rsidRPr="00387BD7" w14:paraId="241913C1" w14:textId="77777777" w:rsidTr="00F316AA">
        <w:trPr>
          <w:trHeight w:val="276"/>
          <w:jc w:val="center"/>
        </w:trPr>
        <w:tc>
          <w:tcPr>
            <w:tcW w:w="5804"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6FA6AB7" w14:textId="7826ACEA" w:rsidR="007B75B7" w:rsidRPr="00387BD7" w:rsidRDefault="00F316AA" w:rsidP="001F4ED0">
            <w:pPr>
              <w:suppressAutoHyphens w:val="0"/>
              <w:spacing w:before="0" w:after="0"/>
              <w:jc w:val="left"/>
              <w:textAlignment w:val="auto"/>
              <w:rPr>
                <w:rFonts w:eastAsia="Times New Roman"/>
                <w:lang w:val="es-ES"/>
              </w:rPr>
            </w:pPr>
            <w:r w:rsidRPr="00F316AA">
              <w:rPr>
                <w:rFonts w:eastAsia="Times New Roman"/>
                <w:lang w:val="es-ES"/>
              </w:rPr>
              <w:t xml:space="preserve">HID con segundo </w:t>
            </w:r>
            <w:r w:rsidR="001F4ED0">
              <w:rPr>
                <w:rFonts w:eastAsia="Times New Roman"/>
                <w:lang w:val="es-ES"/>
              </w:rPr>
              <w:t>envolvente</w:t>
            </w:r>
          </w:p>
        </w:tc>
        <w:tc>
          <w:tcPr>
            <w:tcW w:w="184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FDCA03B" w14:textId="4F522BCE" w:rsidR="007B75B7" w:rsidRPr="00F87425" w:rsidRDefault="00F316AA" w:rsidP="00263A41">
            <w:pPr>
              <w:suppressAutoHyphens w:val="0"/>
              <w:spacing w:before="0" w:after="0"/>
              <w:jc w:val="center"/>
              <w:textAlignment w:val="auto"/>
              <w:rPr>
                <w:rFonts w:eastAsia="Times New Roman"/>
                <w:lang w:val="es-ES"/>
              </w:rPr>
            </w:pPr>
            <w:r>
              <w:rPr>
                <w:rFonts w:eastAsia="Times New Roman"/>
                <w:lang w:val="es-ES"/>
              </w:rPr>
              <w:t>C+0,1</w:t>
            </w:r>
          </w:p>
        </w:tc>
      </w:tr>
      <w:tr w:rsidR="007B75B7" w:rsidRPr="00387BD7" w14:paraId="0D61A59F" w14:textId="77777777" w:rsidTr="00F316AA">
        <w:trPr>
          <w:trHeight w:val="276"/>
          <w:jc w:val="center"/>
        </w:trPr>
        <w:tc>
          <w:tcPr>
            <w:tcW w:w="5804"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11798B8" w14:textId="43A3AC57" w:rsidR="007B75B7" w:rsidRPr="00387BD7" w:rsidRDefault="00F316AA" w:rsidP="001F4ED0">
            <w:pPr>
              <w:suppressAutoHyphens w:val="0"/>
              <w:spacing w:before="0" w:after="0"/>
              <w:jc w:val="left"/>
              <w:textAlignment w:val="auto"/>
              <w:rPr>
                <w:rFonts w:eastAsia="Times New Roman"/>
                <w:lang w:val="es-ES"/>
              </w:rPr>
            </w:pPr>
            <w:r w:rsidRPr="00F316AA">
              <w:rPr>
                <w:rFonts w:eastAsia="Times New Roman"/>
                <w:lang w:val="es-ES"/>
              </w:rPr>
              <w:t>MH NDLS</w:t>
            </w:r>
            <w:r>
              <w:rPr>
                <w:rFonts w:eastAsia="Times New Roman"/>
                <w:lang w:val="es-ES"/>
              </w:rPr>
              <w:t xml:space="preserve"> </w:t>
            </w:r>
            <w:r w:rsidRPr="00F316AA">
              <w:rPr>
                <w:rFonts w:eastAsia="Times New Roman"/>
                <w:lang w:val="es-ES"/>
              </w:rPr>
              <w:t xml:space="preserve">&gt; 405 W con </w:t>
            </w:r>
            <w:r w:rsidR="001F4ED0">
              <w:rPr>
                <w:rFonts w:eastAsia="Times New Roman"/>
                <w:lang w:val="es-ES"/>
              </w:rPr>
              <w:t xml:space="preserve">envolvente </w:t>
            </w:r>
            <w:r w:rsidRPr="00F316AA">
              <w:rPr>
                <w:rFonts w:eastAsia="Times New Roman"/>
                <w:lang w:val="es-ES"/>
              </w:rPr>
              <w:t>no claro</w:t>
            </w:r>
          </w:p>
        </w:tc>
        <w:tc>
          <w:tcPr>
            <w:tcW w:w="1842"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14AC13B" w14:textId="09B3C3D8" w:rsidR="007B75B7" w:rsidRPr="00F87425" w:rsidRDefault="00F316AA" w:rsidP="00263A41">
            <w:pPr>
              <w:suppressAutoHyphens w:val="0"/>
              <w:spacing w:before="0" w:after="0"/>
              <w:jc w:val="center"/>
              <w:textAlignment w:val="auto"/>
              <w:rPr>
                <w:rFonts w:eastAsia="Times New Roman"/>
                <w:lang w:val="es-ES"/>
              </w:rPr>
            </w:pPr>
            <w:r>
              <w:rPr>
                <w:rFonts w:eastAsia="Times New Roman"/>
                <w:lang w:val="es-ES"/>
              </w:rPr>
              <w:t>C+0,1</w:t>
            </w:r>
          </w:p>
        </w:tc>
      </w:tr>
      <w:tr w:rsidR="007B75B7" w:rsidRPr="00387BD7" w14:paraId="52B8482F" w14:textId="77777777" w:rsidTr="00F316AA">
        <w:trPr>
          <w:trHeight w:val="276"/>
          <w:jc w:val="center"/>
        </w:trPr>
        <w:tc>
          <w:tcPr>
            <w:tcW w:w="5804"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61B8845" w14:textId="129674D0" w:rsidR="007B75B7" w:rsidRPr="00387BD7" w:rsidRDefault="00F316AA" w:rsidP="00263A41">
            <w:pPr>
              <w:suppressAutoHyphens w:val="0"/>
              <w:spacing w:before="0" w:after="0"/>
              <w:jc w:val="left"/>
              <w:textAlignment w:val="auto"/>
              <w:rPr>
                <w:rFonts w:eastAsia="Times New Roman"/>
                <w:lang w:val="es-ES"/>
              </w:rPr>
            </w:pPr>
            <w:r w:rsidRPr="00F316AA">
              <w:rPr>
                <w:rFonts w:eastAsia="Times New Roman"/>
                <w:lang w:val="es-ES"/>
              </w:rPr>
              <w:t>DLS con escudo antideslumbrante</w:t>
            </w:r>
          </w:p>
        </w:tc>
        <w:tc>
          <w:tcPr>
            <w:tcW w:w="1842"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947B229" w14:textId="1A8D7CCA" w:rsidR="007B75B7" w:rsidRPr="00F87425" w:rsidRDefault="00F316AA" w:rsidP="00263A41">
            <w:pPr>
              <w:suppressAutoHyphens w:val="0"/>
              <w:spacing w:before="0" w:after="0"/>
              <w:jc w:val="center"/>
              <w:textAlignment w:val="auto"/>
              <w:rPr>
                <w:rFonts w:eastAsia="Times New Roman"/>
                <w:lang w:val="es-ES"/>
              </w:rPr>
            </w:pPr>
            <w:r>
              <w:rPr>
                <w:rFonts w:eastAsia="Times New Roman"/>
                <w:lang w:val="es-ES"/>
              </w:rPr>
              <w:t>C+0,2</w:t>
            </w:r>
          </w:p>
        </w:tc>
      </w:tr>
      <w:tr w:rsidR="007B75B7" w:rsidRPr="00387BD7" w14:paraId="2D7F225D" w14:textId="77777777" w:rsidTr="00F316AA">
        <w:trPr>
          <w:trHeight w:val="276"/>
          <w:jc w:val="center"/>
        </w:trPr>
        <w:tc>
          <w:tcPr>
            <w:tcW w:w="5804"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2B60C9E" w14:textId="0740D698" w:rsidR="007B75B7" w:rsidRPr="00387BD7" w:rsidRDefault="00F316AA" w:rsidP="00263A41">
            <w:pPr>
              <w:suppressAutoHyphens w:val="0"/>
              <w:spacing w:before="0" w:after="0"/>
              <w:jc w:val="left"/>
              <w:textAlignment w:val="auto"/>
              <w:rPr>
                <w:rFonts w:eastAsia="Times New Roman"/>
                <w:lang w:val="es-ES"/>
              </w:rPr>
            </w:pPr>
            <w:r w:rsidRPr="00F316AA">
              <w:rPr>
                <w:rFonts w:eastAsia="Times New Roman"/>
                <w:lang w:val="es-ES"/>
              </w:rPr>
              <w:t>Fuente de luz sintonizable en colores (CTLS)</w:t>
            </w:r>
          </w:p>
        </w:tc>
        <w:tc>
          <w:tcPr>
            <w:tcW w:w="1842"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D0EBF33" w14:textId="12E26CB5" w:rsidR="007B75B7" w:rsidRPr="00F87425" w:rsidRDefault="00F316AA" w:rsidP="00263A41">
            <w:pPr>
              <w:suppressAutoHyphens w:val="0"/>
              <w:spacing w:before="0" w:after="0"/>
              <w:jc w:val="center"/>
              <w:textAlignment w:val="auto"/>
              <w:rPr>
                <w:rFonts w:eastAsia="Times New Roman"/>
                <w:lang w:val="es-ES"/>
              </w:rPr>
            </w:pPr>
            <w:r>
              <w:rPr>
                <w:rFonts w:eastAsia="Times New Roman"/>
                <w:lang w:val="es-ES"/>
              </w:rPr>
              <w:t>C+0,1</w:t>
            </w:r>
          </w:p>
        </w:tc>
      </w:tr>
    </w:tbl>
    <w:p w14:paraId="5D9AFEEB" w14:textId="77777777" w:rsidR="00C46A63" w:rsidRDefault="00C46A63" w:rsidP="00C46A63">
      <w:pPr>
        <w:pStyle w:val="ListParagraph"/>
        <w:suppressAutoHyphens w:val="0"/>
        <w:ind w:left="0"/>
        <w:jc w:val="left"/>
        <w:rPr>
          <w:lang w:val="es-ES"/>
        </w:rPr>
      </w:pPr>
    </w:p>
    <w:p w14:paraId="0B5AA664" w14:textId="61218292" w:rsidR="00F316AA" w:rsidRPr="00F316AA" w:rsidRDefault="00F316AA" w:rsidP="00C46A63">
      <w:pPr>
        <w:pStyle w:val="ListParagraph"/>
        <w:suppressAutoHyphens w:val="0"/>
        <w:ind w:left="0"/>
        <w:rPr>
          <w:lang w:val="es-ES"/>
        </w:rPr>
      </w:pPr>
      <w:r w:rsidRPr="00F316AA">
        <w:rPr>
          <w:lang w:val="es-ES"/>
        </w:rPr>
        <w:t>Donde corresponda, las bonificaciones en el factor de corrección C son acumulativas.</w:t>
      </w:r>
    </w:p>
    <w:p w14:paraId="2FAE07D8" w14:textId="77777777" w:rsidR="00F316AA" w:rsidRPr="00F316AA" w:rsidRDefault="00F316AA" w:rsidP="00C46A63">
      <w:pPr>
        <w:pStyle w:val="ListParagraph"/>
        <w:suppressAutoHyphens w:val="0"/>
        <w:ind w:left="0"/>
        <w:rPr>
          <w:lang w:val="es-ES"/>
        </w:rPr>
      </w:pPr>
      <w:r w:rsidRPr="00F316AA">
        <w:rPr>
          <w:lang w:val="es-ES"/>
        </w:rPr>
        <w:t>Para CTLS (que en este Reglamento por definición son CLS), la bonificación sobre el factor C se aplica junto con el valor más alto para L.</w:t>
      </w:r>
    </w:p>
    <w:p w14:paraId="426FC82E" w14:textId="2017A935" w:rsidR="00F316AA" w:rsidRPr="00F316AA" w:rsidRDefault="00F316AA" w:rsidP="00C46A63">
      <w:pPr>
        <w:pStyle w:val="ListParagraph"/>
        <w:suppressAutoHyphens w:val="0"/>
        <w:ind w:left="0"/>
        <w:rPr>
          <w:lang w:val="es-ES"/>
        </w:rPr>
      </w:pPr>
      <w:r w:rsidRPr="00F316AA">
        <w:rPr>
          <w:lang w:val="es-ES"/>
        </w:rPr>
        <w:t xml:space="preserve">Fuentes de luz que permiten al usuario final adaptar el espectro y/o el ángulo del haz de la luz emitida, cambiando así los valores de flujo luminoso útil, CRI y/o </w:t>
      </w:r>
      <w:r w:rsidR="004B400A">
        <w:rPr>
          <w:lang w:val="es-ES"/>
        </w:rPr>
        <w:t xml:space="preserve">la </w:t>
      </w:r>
      <w:r w:rsidRPr="00F316AA">
        <w:rPr>
          <w:lang w:val="es-ES"/>
        </w:rPr>
        <w:t xml:space="preserve">temperatura de color (Tc), y/o cambiando el </w:t>
      </w:r>
      <w:r w:rsidR="004B400A">
        <w:rPr>
          <w:lang w:val="es-ES"/>
        </w:rPr>
        <w:t xml:space="preserve">estado </w:t>
      </w:r>
      <w:r w:rsidRPr="00F316AA">
        <w:rPr>
          <w:lang w:val="es-ES"/>
        </w:rPr>
        <w:t>DLS/NDLS, se evaluará</w:t>
      </w:r>
      <w:r w:rsidR="004B400A">
        <w:rPr>
          <w:lang w:val="es-ES"/>
        </w:rPr>
        <w:t>n</w:t>
      </w:r>
      <w:r w:rsidRPr="00F316AA">
        <w:rPr>
          <w:lang w:val="es-ES"/>
        </w:rPr>
        <w:t xml:space="preserve"> utilizando la configuración de control de referencia, a plena carga.</w:t>
      </w:r>
    </w:p>
    <w:p w14:paraId="370F4AAF" w14:textId="77777777" w:rsidR="004B400A" w:rsidRDefault="00F316AA" w:rsidP="001C0164">
      <w:pPr>
        <w:pStyle w:val="ListParagraph"/>
        <w:suppressAutoHyphens w:val="0"/>
        <w:ind w:left="0"/>
        <w:jc w:val="left"/>
        <w:rPr>
          <w:lang w:val="es-ES"/>
        </w:rPr>
      </w:pPr>
      <w:r w:rsidRPr="00F316AA">
        <w:rPr>
          <w:lang w:val="es-ES"/>
        </w:rPr>
        <w:t xml:space="preserve">La potencia </w:t>
      </w:r>
      <w:r w:rsidR="004B400A">
        <w:rPr>
          <w:lang w:val="es-ES"/>
        </w:rPr>
        <w:t xml:space="preserve">en modo de espera </w:t>
      </w:r>
      <w:r w:rsidRPr="00F316AA">
        <w:rPr>
          <w:lang w:val="es-ES"/>
        </w:rPr>
        <w:t>de una fuente de luz P</w:t>
      </w:r>
      <w:r w:rsidRPr="00C46A63">
        <w:rPr>
          <w:vertAlign w:val="subscript"/>
          <w:lang w:val="es-ES"/>
        </w:rPr>
        <w:t>sb</w:t>
      </w:r>
      <w:r w:rsidRPr="00F316AA">
        <w:rPr>
          <w:lang w:val="es-ES"/>
        </w:rPr>
        <w:t xml:space="preserve"> no debe exceder 0,5 W</w:t>
      </w:r>
      <w:r w:rsidR="004B400A">
        <w:rPr>
          <w:lang w:val="es-ES"/>
        </w:rPr>
        <w:t>.</w:t>
      </w:r>
    </w:p>
    <w:p w14:paraId="0F286F5C" w14:textId="77777777" w:rsidR="001C0164" w:rsidRDefault="00F316AA" w:rsidP="001C0164">
      <w:pPr>
        <w:pStyle w:val="ListParagraph"/>
        <w:suppressAutoHyphens w:val="0"/>
        <w:spacing w:after="0"/>
        <w:ind w:left="0"/>
        <w:jc w:val="left"/>
        <w:rPr>
          <w:lang w:val="es-ES"/>
        </w:rPr>
      </w:pPr>
      <w:r w:rsidRPr="00F316AA">
        <w:rPr>
          <w:lang w:val="es-ES"/>
        </w:rPr>
        <w:t xml:space="preserve">La potencia en </w:t>
      </w:r>
      <w:r w:rsidR="004B400A">
        <w:rPr>
          <w:lang w:val="es-ES"/>
        </w:rPr>
        <w:t xml:space="preserve">modo de </w:t>
      </w:r>
      <w:r w:rsidRPr="00F316AA">
        <w:rPr>
          <w:lang w:val="es-ES"/>
        </w:rPr>
        <w:t>espera de una fuente de luz conectada</w:t>
      </w:r>
      <w:r w:rsidR="004B400A">
        <w:rPr>
          <w:lang w:val="es-ES"/>
        </w:rPr>
        <w:t xml:space="preserve"> a la red</w:t>
      </w:r>
      <w:r w:rsidRPr="00F316AA">
        <w:rPr>
          <w:lang w:val="es-ES"/>
        </w:rPr>
        <w:t xml:space="preserve"> P</w:t>
      </w:r>
      <w:r w:rsidRPr="00C46A63">
        <w:rPr>
          <w:vertAlign w:val="subscript"/>
          <w:lang w:val="es-ES"/>
        </w:rPr>
        <w:t>net</w:t>
      </w:r>
      <w:r w:rsidRPr="00F316AA">
        <w:rPr>
          <w:lang w:val="es-ES"/>
        </w:rPr>
        <w:t xml:space="preserve"> no debe exceder 0,5 W</w:t>
      </w:r>
      <w:r w:rsidR="004B400A">
        <w:rPr>
          <w:lang w:val="es-ES"/>
        </w:rPr>
        <w:t>.</w:t>
      </w:r>
    </w:p>
    <w:p w14:paraId="23355DAB" w14:textId="53F6A031" w:rsidR="00B2404B" w:rsidRPr="004B400A" w:rsidRDefault="00F316AA" w:rsidP="001C0164">
      <w:pPr>
        <w:pStyle w:val="ListParagraph"/>
        <w:suppressAutoHyphens w:val="0"/>
        <w:spacing w:after="0"/>
        <w:ind w:left="0"/>
        <w:jc w:val="center"/>
        <w:rPr>
          <w:lang w:val="es-ES"/>
        </w:rPr>
      </w:pPr>
      <w:r>
        <w:rPr>
          <w:lang w:val="es-ES"/>
        </w:rPr>
        <w:br/>
      </w:r>
      <w:r w:rsidR="00B2404B">
        <w:rPr>
          <w:color w:val="002B7F"/>
          <w:lang w:val="es-ES"/>
        </w:rPr>
        <w:t xml:space="preserve">Leyenda </w:t>
      </w:r>
      <w:r w:rsidR="00B2404B" w:rsidRPr="00387BD7">
        <w:rPr>
          <w:color w:val="002B7F"/>
          <w:lang w:val="es-ES"/>
        </w:rPr>
        <w:t>Tabla</w:t>
      </w:r>
      <w:r w:rsidR="00B2404B">
        <w:rPr>
          <w:color w:val="002B7F"/>
          <w:lang w:val="es-ES"/>
        </w:rPr>
        <w:t>s</w:t>
      </w:r>
      <w:r w:rsidR="00B2404B" w:rsidRPr="00387BD7">
        <w:rPr>
          <w:color w:val="002B7F"/>
          <w:lang w:val="es-ES"/>
        </w:rPr>
        <w:t xml:space="preserve"> 1</w:t>
      </w:r>
      <w:r w:rsidR="00B2404B">
        <w:rPr>
          <w:color w:val="002B7F"/>
          <w:lang w:val="es-ES"/>
        </w:rPr>
        <w:t xml:space="preserve"> y 2</w:t>
      </w:r>
    </w:p>
    <w:p w14:paraId="51571E9F" w14:textId="77777777" w:rsidR="00B2404B" w:rsidRPr="008A53A6" w:rsidRDefault="00B2404B" w:rsidP="00B2404B">
      <w:pPr>
        <w:pStyle w:val="ListParagraph"/>
        <w:suppressAutoHyphens w:val="0"/>
        <w:spacing w:before="0"/>
        <w:ind w:left="0"/>
        <w:jc w:val="center"/>
        <w:rPr>
          <w:sz w:val="18"/>
          <w:szCs w:val="18"/>
          <w:lang w:val="es-ES"/>
        </w:rPr>
      </w:pPr>
      <w:r w:rsidRPr="008A53A6">
        <w:rPr>
          <w:color w:val="002B7F"/>
          <w:sz w:val="18"/>
          <w:szCs w:val="18"/>
          <w:lang w:val="es-ES"/>
        </w:rPr>
        <w:t>Elaboración propia</w:t>
      </w:r>
      <w:r>
        <w:rPr>
          <w:color w:val="002B7F"/>
          <w:sz w:val="18"/>
          <w:szCs w:val="18"/>
          <w:lang w:val="es-ES"/>
        </w:rPr>
        <w:t xml:space="preserve"> en base de CE (2017)</w:t>
      </w:r>
    </w:p>
    <w:tbl>
      <w:tblPr>
        <w:tblW w:w="5084" w:type="pct"/>
        <w:jc w:val="center"/>
        <w:tblCellMar>
          <w:left w:w="10" w:type="dxa"/>
          <w:right w:w="10" w:type="dxa"/>
        </w:tblCellMar>
        <w:tblLook w:val="0000" w:firstRow="0" w:lastRow="0" w:firstColumn="0" w:lastColumn="0" w:noHBand="0" w:noVBand="0"/>
      </w:tblPr>
      <w:tblGrid>
        <w:gridCol w:w="1811"/>
        <w:gridCol w:w="6828"/>
      </w:tblGrid>
      <w:tr w:rsidR="00B2404B" w:rsidRPr="00882CE3" w14:paraId="125FC811" w14:textId="77777777" w:rsidTr="00E8734D">
        <w:trPr>
          <w:jc w:val="center"/>
        </w:trPr>
        <w:tc>
          <w:tcPr>
            <w:tcW w:w="1811"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163E87C4" w14:textId="77777777" w:rsidR="00B2404B" w:rsidRPr="00F87425" w:rsidRDefault="00B2404B" w:rsidP="00E8734D">
            <w:pPr>
              <w:suppressAutoHyphens w:val="0"/>
              <w:spacing w:before="0" w:after="0"/>
              <w:jc w:val="left"/>
              <w:textAlignment w:val="auto"/>
              <w:rPr>
                <w:rFonts w:eastAsia="Times New Roman"/>
                <w:b/>
                <w:color w:val="FFFFFF" w:themeColor="background1"/>
                <w:lang w:val="es-ES"/>
              </w:rPr>
            </w:pPr>
            <w:r>
              <w:rPr>
                <w:rFonts w:eastAsia="Times New Roman"/>
                <w:b/>
                <w:color w:val="FFFFFF" w:themeColor="background1"/>
                <w:lang w:val="es-ES"/>
              </w:rPr>
              <w:t>Abreviación</w:t>
            </w:r>
          </w:p>
        </w:tc>
        <w:tc>
          <w:tcPr>
            <w:tcW w:w="6828" w:type="dxa"/>
            <w:tcBorders>
              <w:top w:val="single" w:sz="6" w:space="0" w:color="5B9BD5"/>
              <w:bottom w:val="single" w:sz="6" w:space="0" w:color="5B9BD5"/>
            </w:tcBorders>
            <w:shd w:val="clear" w:color="auto" w:fill="5B9BD5"/>
            <w:tcMar>
              <w:top w:w="0" w:type="dxa"/>
              <w:left w:w="108" w:type="dxa"/>
              <w:bottom w:w="0" w:type="dxa"/>
              <w:right w:w="108" w:type="dxa"/>
            </w:tcMar>
          </w:tcPr>
          <w:p w14:paraId="77EB210C" w14:textId="77777777" w:rsidR="00B2404B" w:rsidRPr="00F87425" w:rsidRDefault="00B2404B" w:rsidP="00E8734D">
            <w:pPr>
              <w:suppressAutoHyphens w:val="0"/>
              <w:spacing w:before="0" w:after="0"/>
              <w:jc w:val="left"/>
              <w:textAlignment w:val="auto"/>
              <w:rPr>
                <w:rFonts w:eastAsia="Times New Roman"/>
                <w:color w:val="FFFFFF" w:themeColor="background1"/>
                <w:lang w:val="es-ES"/>
              </w:rPr>
            </w:pPr>
            <w:r>
              <w:rPr>
                <w:rFonts w:cs="Calibri"/>
                <w:b/>
                <w:bCs/>
                <w:color w:val="FFFFFF" w:themeColor="background1"/>
                <w:lang w:val="es-ES"/>
              </w:rPr>
              <w:t>Denominación (en inglés)</w:t>
            </w:r>
          </w:p>
        </w:tc>
      </w:tr>
      <w:tr w:rsidR="00B2404B" w:rsidRPr="00F87425" w14:paraId="1584D167" w14:textId="77777777" w:rsidTr="00E8734D">
        <w:trPr>
          <w:jc w:val="center"/>
        </w:trPr>
        <w:tc>
          <w:tcPr>
            <w:tcW w:w="181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F8AEDA4" w14:textId="77777777" w:rsidR="00B2404B" w:rsidRPr="00F87425" w:rsidRDefault="00B2404B" w:rsidP="00E8734D">
            <w:pPr>
              <w:suppressAutoHyphens w:val="0"/>
              <w:spacing w:before="0" w:after="0"/>
              <w:jc w:val="left"/>
              <w:textAlignment w:val="auto"/>
              <w:rPr>
                <w:rFonts w:eastAsia="Times New Roman"/>
                <w:lang w:val="es-ES"/>
              </w:rPr>
            </w:pPr>
            <w:r>
              <w:rPr>
                <w:rFonts w:eastAsia="Times New Roman"/>
                <w:lang w:val="es-ES"/>
              </w:rPr>
              <w:t>CFL</w:t>
            </w:r>
          </w:p>
        </w:tc>
        <w:tc>
          <w:tcPr>
            <w:tcW w:w="682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FCBB8FF" w14:textId="77777777" w:rsidR="00B2404B" w:rsidRPr="004B400A" w:rsidRDefault="00B2404B" w:rsidP="00E8734D">
            <w:pPr>
              <w:suppressAutoHyphens w:val="0"/>
              <w:spacing w:before="0" w:after="0"/>
              <w:jc w:val="left"/>
              <w:textAlignment w:val="auto"/>
              <w:rPr>
                <w:rFonts w:eastAsia="Times New Roman"/>
                <w:i/>
              </w:rPr>
            </w:pPr>
            <w:r w:rsidRPr="004B400A">
              <w:rPr>
                <w:rFonts w:eastAsia="Times New Roman"/>
                <w:i/>
              </w:rPr>
              <w:t>Compact fluorescent light source</w:t>
            </w:r>
          </w:p>
        </w:tc>
      </w:tr>
      <w:tr w:rsidR="00B2404B" w:rsidRPr="00F87425" w14:paraId="74229787" w14:textId="77777777" w:rsidTr="004F4910">
        <w:trPr>
          <w:jc w:val="center"/>
        </w:trPr>
        <w:tc>
          <w:tcPr>
            <w:tcW w:w="181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36209D4" w14:textId="77777777" w:rsidR="00B2404B" w:rsidRDefault="00B2404B" w:rsidP="00E8734D">
            <w:pPr>
              <w:suppressAutoHyphens w:val="0"/>
              <w:spacing w:before="0" w:after="0"/>
              <w:jc w:val="left"/>
              <w:textAlignment w:val="auto"/>
              <w:rPr>
                <w:rFonts w:eastAsia="Times New Roman"/>
                <w:lang w:val="es-ES"/>
              </w:rPr>
            </w:pPr>
            <w:r>
              <w:rPr>
                <w:rFonts w:eastAsia="Times New Roman"/>
                <w:lang w:val="es-ES"/>
              </w:rPr>
              <w:t>CLS</w:t>
            </w:r>
          </w:p>
        </w:tc>
        <w:tc>
          <w:tcPr>
            <w:tcW w:w="682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31FC058" w14:textId="77777777" w:rsidR="00B2404B" w:rsidRPr="004B400A" w:rsidRDefault="00B2404B" w:rsidP="00E8734D">
            <w:pPr>
              <w:suppressAutoHyphens w:val="0"/>
              <w:spacing w:before="0" w:after="0"/>
              <w:jc w:val="left"/>
              <w:textAlignment w:val="auto"/>
              <w:rPr>
                <w:rFonts w:eastAsia="Times New Roman"/>
                <w:i/>
              </w:rPr>
            </w:pPr>
            <w:r w:rsidRPr="004B400A">
              <w:rPr>
                <w:rFonts w:eastAsia="Times New Roman"/>
                <w:i/>
              </w:rPr>
              <w:t>Connected light source</w:t>
            </w:r>
          </w:p>
        </w:tc>
      </w:tr>
      <w:tr w:rsidR="00B2404B" w:rsidRPr="00F87425" w14:paraId="308E24F6" w14:textId="77777777" w:rsidTr="00E8734D">
        <w:trPr>
          <w:jc w:val="center"/>
        </w:trPr>
        <w:tc>
          <w:tcPr>
            <w:tcW w:w="181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E1C12A6" w14:textId="77777777" w:rsidR="00B2404B" w:rsidRDefault="00B2404B" w:rsidP="00E8734D">
            <w:pPr>
              <w:suppressAutoHyphens w:val="0"/>
              <w:spacing w:before="0" w:after="0"/>
              <w:jc w:val="left"/>
              <w:textAlignment w:val="auto"/>
              <w:rPr>
                <w:rFonts w:eastAsia="Times New Roman"/>
                <w:lang w:val="es-ES"/>
              </w:rPr>
            </w:pPr>
            <w:r>
              <w:rPr>
                <w:rFonts w:eastAsia="Times New Roman"/>
                <w:lang w:val="es-ES"/>
              </w:rPr>
              <w:t>CRI</w:t>
            </w:r>
          </w:p>
        </w:tc>
        <w:tc>
          <w:tcPr>
            <w:tcW w:w="682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6045DC5" w14:textId="77777777" w:rsidR="00B2404B" w:rsidRPr="004B400A" w:rsidRDefault="00B2404B" w:rsidP="00E8734D">
            <w:pPr>
              <w:suppressAutoHyphens w:val="0"/>
              <w:spacing w:before="0" w:after="0"/>
              <w:jc w:val="left"/>
              <w:textAlignment w:val="auto"/>
              <w:rPr>
                <w:rFonts w:eastAsia="Times New Roman"/>
                <w:i/>
              </w:rPr>
            </w:pPr>
            <w:r w:rsidRPr="004B400A">
              <w:rPr>
                <w:rFonts w:eastAsia="Times New Roman"/>
                <w:i/>
              </w:rPr>
              <w:t>Colour Rendering Index</w:t>
            </w:r>
          </w:p>
        </w:tc>
      </w:tr>
      <w:tr w:rsidR="00B2404B" w:rsidRPr="00F87425" w14:paraId="6E86DC4D" w14:textId="77777777" w:rsidTr="004F4910">
        <w:trPr>
          <w:jc w:val="center"/>
        </w:trPr>
        <w:tc>
          <w:tcPr>
            <w:tcW w:w="181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82CB567" w14:textId="77777777" w:rsidR="00B2404B" w:rsidRDefault="00B2404B" w:rsidP="00E8734D">
            <w:pPr>
              <w:suppressAutoHyphens w:val="0"/>
              <w:spacing w:before="0" w:after="0"/>
              <w:jc w:val="left"/>
              <w:textAlignment w:val="auto"/>
              <w:rPr>
                <w:rFonts w:eastAsia="Times New Roman"/>
                <w:lang w:val="es-ES"/>
              </w:rPr>
            </w:pPr>
            <w:r>
              <w:rPr>
                <w:rFonts w:eastAsia="Times New Roman"/>
                <w:lang w:val="es-ES"/>
              </w:rPr>
              <w:t>CTLS</w:t>
            </w:r>
          </w:p>
        </w:tc>
        <w:tc>
          <w:tcPr>
            <w:tcW w:w="682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638078F" w14:textId="77777777" w:rsidR="00B2404B" w:rsidRPr="004B400A" w:rsidRDefault="00B2404B" w:rsidP="00E8734D">
            <w:pPr>
              <w:suppressAutoHyphens w:val="0"/>
              <w:spacing w:before="0" w:after="0"/>
              <w:jc w:val="left"/>
              <w:textAlignment w:val="auto"/>
              <w:rPr>
                <w:rFonts w:eastAsia="Times New Roman"/>
                <w:i/>
              </w:rPr>
            </w:pPr>
            <w:r w:rsidRPr="004B400A">
              <w:rPr>
                <w:rFonts w:eastAsia="Times New Roman"/>
                <w:i/>
              </w:rPr>
              <w:t>Colour-tuneable light source</w:t>
            </w:r>
          </w:p>
        </w:tc>
      </w:tr>
      <w:tr w:rsidR="00B2404B" w:rsidRPr="00F87425" w14:paraId="2AD9D32B" w14:textId="77777777" w:rsidTr="00E8734D">
        <w:trPr>
          <w:jc w:val="center"/>
        </w:trPr>
        <w:tc>
          <w:tcPr>
            <w:tcW w:w="181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6BE70A1" w14:textId="77777777" w:rsidR="00B2404B" w:rsidRDefault="00B2404B" w:rsidP="00E8734D">
            <w:pPr>
              <w:suppressAutoHyphens w:val="0"/>
              <w:spacing w:before="0" w:after="0"/>
              <w:jc w:val="left"/>
              <w:textAlignment w:val="auto"/>
              <w:rPr>
                <w:rFonts w:eastAsia="Times New Roman"/>
                <w:lang w:val="es-ES"/>
              </w:rPr>
            </w:pPr>
            <w:r>
              <w:rPr>
                <w:rFonts w:eastAsia="Times New Roman"/>
                <w:lang w:val="es-ES"/>
              </w:rPr>
              <w:t>DLS</w:t>
            </w:r>
          </w:p>
        </w:tc>
        <w:tc>
          <w:tcPr>
            <w:tcW w:w="682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2F3B7AB" w14:textId="77777777" w:rsidR="00B2404B" w:rsidRPr="004B400A" w:rsidRDefault="00B2404B" w:rsidP="00E8734D">
            <w:pPr>
              <w:suppressAutoHyphens w:val="0"/>
              <w:spacing w:before="0" w:after="0"/>
              <w:jc w:val="left"/>
              <w:textAlignment w:val="auto"/>
              <w:rPr>
                <w:rFonts w:eastAsia="Times New Roman"/>
                <w:i/>
              </w:rPr>
            </w:pPr>
            <w:r w:rsidRPr="004B400A">
              <w:rPr>
                <w:rFonts w:eastAsia="Times New Roman"/>
                <w:i/>
              </w:rPr>
              <w:t>Directional light source</w:t>
            </w:r>
          </w:p>
        </w:tc>
      </w:tr>
      <w:tr w:rsidR="00B2404B" w:rsidRPr="00F87425" w14:paraId="131FE8F6" w14:textId="77777777" w:rsidTr="00E8734D">
        <w:trPr>
          <w:jc w:val="center"/>
        </w:trPr>
        <w:tc>
          <w:tcPr>
            <w:tcW w:w="181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186ED5E" w14:textId="77777777" w:rsidR="00B2404B" w:rsidRPr="00F87425" w:rsidRDefault="00B2404B" w:rsidP="00E8734D">
            <w:pPr>
              <w:suppressAutoHyphens w:val="0"/>
              <w:spacing w:before="0" w:after="0"/>
              <w:jc w:val="left"/>
              <w:textAlignment w:val="auto"/>
              <w:rPr>
                <w:rFonts w:eastAsia="Times New Roman"/>
                <w:lang w:val="es-ES"/>
              </w:rPr>
            </w:pPr>
            <w:r>
              <w:rPr>
                <w:rFonts w:eastAsia="Times New Roman"/>
                <w:lang w:val="es-ES"/>
              </w:rPr>
              <w:t>FL</w:t>
            </w:r>
          </w:p>
        </w:tc>
        <w:tc>
          <w:tcPr>
            <w:tcW w:w="682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04CF356" w14:textId="77777777" w:rsidR="00B2404B" w:rsidRPr="004B400A" w:rsidRDefault="00B2404B" w:rsidP="00E8734D">
            <w:pPr>
              <w:suppressAutoHyphens w:val="0"/>
              <w:spacing w:before="0" w:after="0"/>
              <w:jc w:val="left"/>
              <w:textAlignment w:val="auto"/>
              <w:rPr>
                <w:rFonts w:eastAsia="Times New Roman"/>
                <w:i/>
              </w:rPr>
            </w:pPr>
            <w:r w:rsidRPr="004B400A">
              <w:rPr>
                <w:rFonts w:eastAsia="Times New Roman"/>
                <w:i/>
              </w:rPr>
              <w:t>Fluorescent light source</w:t>
            </w:r>
          </w:p>
        </w:tc>
      </w:tr>
      <w:tr w:rsidR="00B2404B" w:rsidRPr="00387BD7" w14:paraId="079BCCDE" w14:textId="77777777" w:rsidTr="00E8734D">
        <w:trPr>
          <w:trHeight w:val="242"/>
          <w:jc w:val="center"/>
        </w:trPr>
        <w:tc>
          <w:tcPr>
            <w:tcW w:w="1811"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4A38E59E" w14:textId="77777777" w:rsidR="00B2404B" w:rsidRPr="00F87425" w:rsidRDefault="00B2404B" w:rsidP="00E8734D">
            <w:pPr>
              <w:suppressAutoHyphens w:val="0"/>
              <w:spacing w:before="0" w:after="0"/>
              <w:jc w:val="left"/>
              <w:textAlignment w:val="auto"/>
              <w:rPr>
                <w:rFonts w:eastAsia="Times New Roman"/>
                <w:lang w:val="es-ES"/>
              </w:rPr>
            </w:pPr>
            <w:r>
              <w:rPr>
                <w:rFonts w:eastAsia="Times New Roman"/>
                <w:lang w:val="es-ES"/>
              </w:rPr>
              <w:t>HE</w:t>
            </w:r>
          </w:p>
        </w:tc>
        <w:tc>
          <w:tcPr>
            <w:tcW w:w="6828"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03CDC218" w14:textId="77777777" w:rsidR="00B2404B" w:rsidRPr="004B400A" w:rsidRDefault="00B2404B" w:rsidP="00E8734D">
            <w:pPr>
              <w:suppressAutoHyphens w:val="0"/>
              <w:spacing w:before="0" w:after="0"/>
              <w:jc w:val="left"/>
              <w:textAlignment w:val="auto"/>
              <w:rPr>
                <w:rFonts w:eastAsia="Times New Roman"/>
                <w:i/>
              </w:rPr>
            </w:pPr>
            <w:r w:rsidRPr="004B400A">
              <w:rPr>
                <w:rFonts w:eastAsia="Times New Roman"/>
                <w:i/>
              </w:rPr>
              <w:t>High-efficiency</w:t>
            </w:r>
          </w:p>
        </w:tc>
      </w:tr>
      <w:tr w:rsidR="00B2404B" w:rsidRPr="00387BD7" w14:paraId="07CD0CC7" w14:textId="77777777" w:rsidTr="004F4910">
        <w:trPr>
          <w:trHeight w:val="242"/>
          <w:jc w:val="center"/>
        </w:trPr>
        <w:tc>
          <w:tcPr>
            <w:tcW w:w="181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F0F1253" w14:textId="77777777" w:rsidR="00B2404B" w:rsidRDefault="00B2404B" w:rsidP="00E8734D">
            <w:pPr>
              <w:suppressAutoHyphens w:val="0"/>
              <w:spacing w:before="0" w:after="0"/>
              <w:jc w:val="left"/>
              <w:textAlignment w:val="auto"/>
              <w:rPr>
                <w:rFonts w:eastAsia="Times New Roman"/>
                <w:lang w:val="es-ES"/>
              </w:rPr>
            </w:pPr>
            <w:r>
              <w:rPr>
                <w:rFonts w:eastAsia="Times New Roman"/>
                <w:lang w:val="es-ES"/>
              </w:rPr>
              <w:t>HID</w:t>
            </w:r>
          </w:p>
        </w:tc>
        <w:tc>
          <w:tcPr>
            <w:tcW w:w="682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03EE468" w14:textId="0D93766E" w:rsidR="00B2404B" w:rsidRPr="004B400A" w:rsidRDefault="004B400A" w:rsidP="004B400A">
            <w:pPr>
              <w:suppressAutoHyphens w:val="0"/>
              <w:spacing w:before="0" w:after="0"/>
              <w:jc w:val="left"/>
              <w:textAlignment w:val="auto"/>
              <w:rPr>
                <w:rFonts w:eastAsia="Times New Roman"/>
                <w:i/>
              </w:rPr>
            </w:pPr>
            <w:r w:rsidRPr="004B400A">
              <w:rPr>
                <w:rFonts w:eastAsia="Times New Roman"/>
                <w:i/>
              </w:rPr>
              <w:t>H</w:t>
            </w:r>
            <w:r>
              <w:rPr>
                <w:rFonts w:eastAsia="Times New Roman"/>
                <w:i/>
              </w:rPr>
              <w:t>i</w:t>
            </w:r>
            <w:r w:rsidRPr="004B400A">
              <w:rPr>
                <w:rFonts w:eastAsia="Times New Roman"/>
                <w:i/>
              </w:rPr>
              <w:t>gh-intensity discharge lamp</w:t>
            </w:r>
          </w:p>
        </w:tc>
      </w:tr>
      <w:tr w:rsidR="00B2404B" w:rsidRPr="00387BD7" w14:paraId="1E02FC71" w14:textId="77777777" w:rsidTr="00E8734D">
        <w:trPr>
          <w:trHeight w:val="242"/>
          <w:jc w:val="center"/>
        </w:trPr>
        <w:tc>
          <w:tcPr>
            <w:tcW w:w="1811"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606FDB1A" w14:textId="77777777" w:rsidR="00B2404B" w:rsidRDefault="00B2404B" w:rsidP="00E8734D">
            <w:pPr>
              <w:suppressAutoHyphens w:val="0"/>
              <w:spacing w:before="0" w:after="0"/>
              <w:jc w:val="left"/>
              <w:textAlignment w:val="auto"/>
              <w:rPr>
                <w:rFonts w:eastAsia="Times New Roman"/>
                <w:lang w:val="es-ES"/>
              </w:rPr>
            </w:pPr>
            <w:r>
              <w:rPr>
                <w:rFonts w:eastAsia="Times New Roman"/>
                <w:lang w:val="es-ES"/>
              </w:rPr>
              <w:t>HL</w:t>
            </w:r>
          </w:p>
        </w:tc>
        <w:tc>
          <w:tcPr>
            <w:tcW w:w="6828"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3E354E20" w14:textId="77777777" w:rsidR="00B2404B" w:rsidRPr="004B400A" w:rsidRDefault="00B2404B" w:rsidP="00E8734D">
            <w:pPr>
              <w:suppressAutoHyphens w:val="0"/>
              <w:spacing w:before="0" w:after="0"/>
              <w:jc w:val="left"/>
              <w:textAlignment w:val="auto"/>
              <w:rPr>
                <w:rFonts w:eastAsia="Times New Roman"/>
                <w:i/>
              </w:rPr>
            </w:pPr>
            <w:r w:rsidRPr="004B400A">
              <w:rPr>
                <w:rFonts w:eastAsia="Times New Roman"/>
                <w:i/>
              </w:rPr>
              <w:t>Linear halogen light source</w:t>
            </w:r>
          </w:p>
        </w:tc>
      </w:tr>
      <w:tr w:rsidR="00B2404B" w:rsidRPr="00387BD7" w14:paraId="42A62FB6" w14:textId="77777777" w:rsidTr="00E8734D">
        <w:trPr>
          <w:trHeight w:val="276"/>
          <w:jc w:val="center"/>
        </w:trPr>
        <w:tc>
          <w:tcPr>
            <w:tcW w:w="181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39B3438" w14:textId="77777777" w:rsidR="00B2404B" w:rsidRPr="00F87425" w:rsidRDefault="00B2404B" w:rsidP="00E8734D">
            <w:pPr>
              <w:suppressAutoHyphens w:val="0"/>
              <w:spacing w:before="0" w:after="0"/>
              <w:jc w:val="left"/>
              <w:textAlignment w:val="auto"/>
              <w:rPr>
                <w:rFonts w:eastAsia="Times New Roman"/>
                <w:lang w:val="es-ES"/>
              </w:rPr>
            </w:pPr>
            <w:r>
              <w:rPr>
                <w:rFonts w:eastAsia="Times New Roman"/>
                <w:lang w:val="es-ES"/>
              </w:rPr>
              <w:t>HO</w:t>
            </w:r>
          </w:p>
        </w:tc>
        <w:tc>
          <w:tcPr>
            <w:tcW w:w="682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42F38E3" w14:textId="77777777" w:rsidR="00B2404B" w:rsidRPr="004B400A" w:rsidRDefault="00B2404B" w:rsidP="00E8734D">
            <w:pPr>
              <w:suppressAutoHyphens w:val="0"/>
              <w:spacing w:before="0" w:after="0"/>
              <w:jc w:val="left"/>
              <w:textAlignment w:val="auto"/>
              <w:rPr>
                <w:rFonts w:eastAsia="Times New Roman"/>
                <w:i/>
              </w:rPr>
            </w:pPr>
            <w:r w:rsidRPr="004B400A">
              <w:rPr>
                <w:rFonts w:eastAsia="Times New Roman"/>
                <w:i/>
              </w:rPr>
              <w:t>High-output</w:t>
            </w:r>
          </w:p>
        </w:tc>
      </w:tr>
      <w:tr w:rsidR="00B2404B" w:rsidRPr="00387BD7" w14:paraId="45E7A95B" w14:textId="77777777" w:rsidTr="00E8734D">
        <w:trPr>
          <w:trHeight w:val="276"/>
          <w:jc w:val="center"/>
        </w:trPr>
        <w:tc>
          <w:tcPr>
            <w:tcW w:w="181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C812B63" w14:textId="77777777" w:rsidR="00B2404B" w:rsidRPr="00387BD7" w:rsidRDefault="00B2404B" w:rsidP="00E8734D">
            <w:pPr>
              <w:suppressAutoHyphens w:val="0"/>
              <w:spacing w:before="0" w:after="0"/>
              <w:jc w:val="left"/>
              <w:textAlignment w:val="auto"/>
              <w:rPr>
                <w:rFonts w:eastAsia="Times New Roman"/>
                <w:lang w:val="es-ES"/>
              </w:rPr>
            </w:pPr>
            <w:r>
              <w:rPr>
                <w:rFonts w:eastAsia="Times New Roman"/>
                <w:lang w:val="es-ES"/>
              </w:rPr>
              <w:t>HPS</w:t>
            </w:r>
          </w:p>
        </w:tc>
        <w:tc>
          <w:tcPr>
            <w:tcW w:w="682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26A5FBE" w14:textId="77777777" w:rsidR="00B2404B" w:rsidRPr="004B400A" w:rsidRDefault="00B2404B" w:rsidP="00E8734D">
            <w:pPr>
              <w:suppressAutoHyphens w:val="0"/>
              <w:spacing w:before="0" w:after="0"/>
              <w:jc w:val="left"/>
              <w:textAlignment w:val="auto"/>
              <w:rPr>
                <w:rFonts w:eastAsia="Times New Roman"/>
                <w:i/>
              </w:rPr>
            </w:pPr>
            <w:r w:rsidRPr="004B400A">
              <w:rPr>
                <w:rFonts w:eastAsia="Times New Roman"/>
                <w:i/>
              </w:rPr>
              <w:t>High-pressure sodium light source</w:t>
            </w:r>
          </w:p>
        </w:tc>
      </w:tr>
      <w:tr w:rsidR="00B2404B" w:rsidRPr="00387BD7" w14:paraId="505070C5" w14:textId="77777777" w:rsidTr="004F4910">
        <w:trPr>
          <w:trHeight w:val="276"/>
          <w:jc w:val="center"/>
        </w:trPr>
        <w:tc>
          <w:tcPr>
            <w:tcW w:w="181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358DDC7" w14:textId="77777777" w:rsidR="00B2404B" w:rsidRPr="00387BD7" w:rsidRDefault="00B2404B" w:rsidP="00E8734D">
            <w:pPr>
              <w:suppressAutoHyphens w:val="0"/>
              <w:spacing w:before="0" w:after="0"/>
              <w:jc w:val="left"/>
              <w:textAlignment w:val="auto"/>
              <w:rPr>
                <w:rFonts w:eastAsia="Times New Roman"/>
                <w:lang w:val="es-ES"/>
              </w:rPr>
            </w:pPr>
            <w:r>
              <w:rPr>
                <w:rFonts w:eastAsia="Times New Roman"/>
                <w:lang w:val="es-ES"/>
              </w:rPr>
              <w:t>LFL</w:t>
            </w:r>
          </w:p>
        </w:tc>
        <w:tc>
          <w:tcPr>
            <w:tcW w:w="682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3410457" w14:textId="77777777" w:rsidR="00B2404B" w:rsidRPr="004B400A" w:rsidRDefault="00B2404B" w:rsidP="00E8734D">
            <w:pPr>
              <w:suppressAutoHyphens w:val="0"/>
              <w:spacing w:before="0" w:after="0"/>
              <w:jc w:val="left"/>
              <w:textAlignment w:val="auto"/>
              <w:rPr>
                <w:rFonts w:eastAsia="Times New Roman"/>
                <w:i/>
              </w:rPr>
            </w:pPr>
            <w:r w:rsidRPr="004B400A">
              <w:rPr>
                <w:rFonts w:eastAsia="Times New Roman"/>
                <w:i/>
              </w:rPr>
              <w:t>Linear fluorescent light source</w:t>
            </w:r>
          </w:p>
        </w:tc>
      </w:tr>
      <w:tr w:rsidR="00B2404B" w:rsidRPr="00387BD7" w14:paraId="71C7E55C" w14:textId="77777777" w:rsidTr="004F4910">
        <w:trPr>
          <w:trHeight w:val="276"/>
          <w:jc w:val="center"/>
        </w:trPr>
        <w:tc>
          <w:tcPr>
            <w:tcW w:w="181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9031660" w14:textId="77777777" w:rsidR="00B2404B" w:rsidRPr="00387BD7" w:rsidRDefault="00B2404B" w:rsidP="00E8734D">
            <w:pPr>
              <w:suppressAutoHyphens w:val="0"/>
              <w:spacing w:before="0" w:after="0"/>
              <w:jc w:val="left"/>
              <w:textAlignment w:val="auto"/>
              <w:rPr>
                <w:rFonts w:eastAsia="Times New Roman"/>
                <w:lang w:val="es-ES"/>
              </w:rPr>
            </w:pPr>
            <w:r>
              <w:rPr>
                <w:rFonts w:eastAsia="Times New Roman"/>
                <w:lang w:val="es-ES"/>
              </w:rPr>
              <w:t>MH</w:t>
            </w:r>
          </w:p>
        </w:tc>
        <w:tc>
          <w:tcPr>
            <w:tcW w:w="682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67E2E6D" w14:textId="77777777" w:rsidR="00B2404B" w:rsidRPr="004B400A" w:rsidRDefault="00B2404B" w:rsidP="00E8734D">
            <w:pPr>
              <w:suppressAutoHyphens w:val="0"/>
              <w:spacing w:before="0" w:after="0"/>
              <w:jc w:val="left"/>
              <w:textAlignment w:val="auto"/>
              <w:rPr>
                <w:rFonts w:eastAsia="Times New Roman"/>
                <w:i/>
              </w:rPr>
            </w:pPr>
            <w:r w:rsidRPr="004B400A">
              <w:rPr>
                <w:rFonts w:eastAsia="Times New Roman"/>
                <w:i/>
              </w:rPr>
              <w:t>Metal halide light source</w:t>
            </w:r>
          </w:p>
        </w:tc>
      </w:tr>
      <w:tr w:rsidR="00B2404B" w:rsidRPr="00387BD7" w14:paraId="125AC675" w14:textId="77777777" w:rsidTr="00E8734D">
        <w:trPr>
          <w:trHeight w:val="276"/>
          <w:jc w:val="center"/>
        </w:trPr>
        <w:tc>
          <w:tcPr>
            <w:tcW w:w="181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CB6EB7E" w14:textId="77777777" w:rsidR="00B2404B" w:rsidRDefault="00B2404B" w:rsidP="00E8734D">
            <w:pPr>
              <w:suppressAutoHyphens w:val="0"/>
              <w:spacing w:before="0" w:after="0"/>
              <w:jc w:val="left"/>
              <w:textAlignment w:val="auto"/>
              <w:rPr>
                <w:rFonts w:eastAsia="Times New Roman"/>
                <w:lang w:val="es-ES"/>
              </w:rPr>
            </w:pPr>
            <w:r>
              <w:rPr>
                <w:rFonts w:eastAsia="Times New Roman"/>
                <w:lang w:val="es-ES"/>
              </w:rPr>
              <w:t>MLS</w:t>
            </w:r>
          </w:p>
        </w:tc>
        <w:tc>
          <w:tcPr>
            <w:tcW w:w="682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074F7FF" w14:textId="77777777" w:rsidR="00B2404B" w:rsidRPr="004B400A" w:rsidRDefault="00B2404B" w:rsidP="00E8734D">
            <w:pPr>
              <w:suppressAutoHyphens w:val="0"/>
              <w:spacing w:before="0" w:after="0"/>
              <w:jc w:val="left"/>
              <w:textAlignment w:val="auto"/>
              <w:rPr>
                <w:rFonts w:eastAsia="Times New Roman"/>
                <w:i/>
              </w:rPr>
            </w:pPr>
            <w:r w:rsidRPr="004B400A">
              <w:rPr>
                <w:rFonts w:eastAsia="Times New Roman"/>
                <w:i/>
              </w:rPr>
              <w:t>Mains light source</w:t>
            </w:r>
          </w:p>
        </w:tc>
      </w:tr>
      <w:tr w:rsidR="00B2404B" w:rsidRPr="00387BD7" w14:paraId="317F8766" w14:textId="77777777" w:rsidTr="004F4910">
        <w:trPr>
          <w:trHeight w:val="276"/>
          <w:jc w:val="center"/>
        </w:trPr>
        <w:tc>
          <w:tcPr>
            <w:tcW w:w="181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F7C41A8" w14:textId="77777777" w:rsidR="00B2404B" w:rsidRDefault="00B2404B" w:rsidP="00E8734D">
            <w:pPr>
              <w:suppressAutoHyphens w:val="0"/>
              <w:spacing w:before="0" w:after="0"/>
              <w:jc w:val="left"/>
              <w:textAlignment w:val="auto"/>
              <w:rPr>
                <w:rFonts w:eastAsia="Times New Roman"/>
                <w:lang w:val="es-ES"/>
              </w:rPr>
            </w:pPr>
            <w:r>
              <w:rPr>
                <w:rFonts w:eastAsia="Times New Roman"/>
                <w:lang w:val="es-ES"/>
              </w:rPr>
              <w:t>NDLS</w:t>
            </w:r>
          </w:p>
        </w:tc>
        <w:tc>
          <w:tcPr>
            <w:tcW w:w="682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CEFAAFE" w14:textId="77777777" w:rsidR="00B2404B" w:rsidRPr="004B400A" w:rsidRDefault="00B2404B" w:rsidP="00E8734D">
            <w:pPr>
              <w:suppressAutoHyphens w:val="0"/>
              <w:spacing w:before="0" w:after="0"/>
              <w:jc w:val="left"/>
              <w:textAlignment w:val="auto"/>
              <w:rPr>
                <w:rFonts w:eastAsia="Times New Roman"/>
                <w:i/>
              </w:rPr>
            </w:pPr>
            <w:r w:rsidRPr="004B400A">
              <w:rPr>
                <w:rFonts w:eastAsia="Times New Roman"/>
                <w:i/>
              </w:rPr>
              <w:t>Non-directional light source</w:t>
            </w:r>
          </w:p>
        </w:tc>
      </w:tr>
      <w:tr w:rsidR="00B2404B" w:rsidRPr="00387BD7" w14:paraId="73F7BCCF" w14:textId="77777777" w:rsidTr="00E8734D">
        <w:trPr>
          <w:trHeight w:val="276"/>
          <w:jc w:val="center"/>
        </w:trPr>
        <w:tc>
          <w:tcPr>
            <w:tcW w:w="181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47A2595" w14:textId="77777777" w:rsidR="00B2404B" w:rsidRDefault="00B2404B" w:rsidP="00E8734D">
            <w:pPr>
              <w:suppressAutoHyphens w:val="0"/>
              <w:spacing w:before="0" w:after="0"/>
              <w:jc w:val="left"/>
              <w:textAlignment w:val="auto"/>
              <w:rPr>
                <w:rFonts w:eastAsia="Times New Roman"/>
                <w:lang w:val="es-ES"/>
              </w:rPr>
            </w:pPr>
            <w:r>
              <w:rPr>
                <w:rFonts w:eastAsia="Times New Roman"/>
                <w:lang w:val="es-ES"/>
              </w:rPr>
              <w:t>NMLS</w:t>
            </w:r>
          </w:p>
        </w:tc>
        <w:tc>
          <w:tcPr>
            <w:tcW w:w="682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D006A38" w14:textId="77777777" w:rsidR="00B2404B" w:rsidRPr="004B400A" w:rsidRDefault="00B2404B" w:rsidP="00E8734D">
            <w:pPr>
              <w:suppressAutoHyphens w:val="0"/>
              <w:spacing w:before="0" w:after="0"/>
              <w:jc w:val="left"/>
              <w:textAlignment w:val="auto"/>
              <w:rPr>
                <w:rFonts w:eastAsia="Times New Roman"/>
                <w:i/>
              </w:rPr>
            </w:pPr>
            <w:r w:rsidRPr="004B400A">
              <w:rPr>
                <w:rFonts w:eastAsia="Times New Roman"/>
                <w:i/>
              </w:rPr>
              <w:t>Non-mains light source</w:t>
            </w:r>
          </w:p>
        </w:tc>
      </w:tr>
      <w:tr w:rsidR="00B2404B" w:rsidRPr="00387BD7" w14:paraId="2E7E7B45" w14:textId="77777777" w:rsidTr="00E8734D">
        <w:trPr>
          <w:trHeight w:val="276"/>
          <w:jc w:val="center"/>
        </w:trPr>
        <w:tc>
          <w:tcPr>
            <w:tcW w:w="181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2134292" w14:textId="77777777" w:rsidR="00B2404B" w:rsidRPr="00387BD7" w:rsidRDefault="00B2404B" w:rsidP="00E8734D">
            <w:pPr>
              <w:suppressAutoHyphens w:val="0"/>
              <w:spacing w:before="0" w:after="0"/>
              <w:jc w:val="left"/>
              <w:textAlignment w:val="auto"/>
              <w:rPr>
                <w:rFonts w:eastAsia="Times New Roman"/>
                <w:lang w:val="es-ES"/>
              </w:rPr>
            </w:pPr>
            <w:r>
              <w:rPr>
                <w:rFonts w:eastAsia="Times New Roman"/>
                <w:lang w:val="es-ES"/>
              </w:rPr>
              <w:t>OLED</w:t>
            </w:r>
          </w:p>
        </w:tc>
        <w:tc>
          <w:tcPr>
            <w:tcW w:w="682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7ED87C6" w14:textId="77777777" w:rsidR="00B2404B" w:rsidRPr="004B400A" w:rsidRDefault="00B2404B" w:rsidP="00E8734D">
            <w:pPr>
              <w:suppressAutoHyphens w:val="0"/>
              <w:spacing w:before="0" w:after="0"/>
              <w:jc w:val="left"/>
              <w:textAlignment w:val="auto"/>
              <w:rPr>
                <w:rFonts w:eastAsia="Times New Roman"/>
                <w:i/>
              </w:rPr>
            </w:pPr>
            <w:r w:rsidRPr="004B400A">
              <w:rPr>
                <w:rFonts w:eastAsia="Times New Roman"/>
                <w:i/>
              </w:rPr>
              <w:t>Organic Light-emitting Diode Lamp</w:t>
            </w:r>
          </w:p>
        </w:tc>
      </w:tr>
      <w:tr w:rsidR="00B2404B" w:rsidRPr="00387BD7" w14:paraId="3A0209B0" w14:textId="77777777" w:rsidTr="004F4910">
        <w:trPr>
          <w:trHeight w:val="276"/>
          <w:jc w:val="center"/>
        </w:trPr>
        <w:tc>
          <w:tcPr>
            <w:tcW w:w="181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54BC35C" w14:textId="77777777" w:rsidR="00B2404B" w:rsidRDefault="00B2404B" w:rsidP="00E8734D">
            <w:pPr>
              <w:suppressAutoHyphens w:val="0"/>
              <w:spacing w:before="0" w:after="0"/>
              <w:jc w:val="left"/>
              <w:textAlignment w:val="auto"/>
              <w:rPr>
                <w:rFonts w:eastAsia="Times New Roman"/>
                <w:lang w:val="es-ES"/>
              </w:rPr>
            </w:pPr>
            <w:r>
              <w:rPr>
                <w:rFonts w:eastAsia="Times New Roman"/>
                <w:lang w:val="es-ES"/>
              </w:rPr>
              <w:t>Tc</w:t>
            </w:r>
          </w:p>
        </w:tc>
        <w:tc>
          <w:tcPr>
            <w:tcW w:w="682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6926A3B" w14:textId="77777777" w:rsidR="00B2404B" w:rsidRPr="004B400A" w:rsidRDefault="00B2404B" w:rsidP="00E8734D">
            <w:pPr>
              <w:suppressAutoHyphens w:val="0"/>
              <w:spacing w:before="0" w:after="0"/>
              <w:jc w:val="left"/>
              <w:textAlignment w:val="auto"/>
              <w:rPr>
                <w:rFonts w:eastAsia="Times New Roman"/>
                <w:i/>
              </w:rPr>
            </w:pPr>
            <w:r w:rsidRPr="004B400A">
              <w:rPr>
                <w:rFonts w:eastAsia="Times New Roman"/>
                <w:i/>
              </w:rPr>
              <w:t>Colour temperature</w:t>
            </w:r>
          </w:p>
        </w:tc>
      </w:tr>
    </w:tbl>
    <w:p w14:paraId="7B3A7DE0" w14:textId="77777777" w:rsidR="00B2404B" w:rsidRPr="0006379D" w:rsidRDefault="00B2404B" w:rsidP="00B2404B">
      <w:pPr>
        <w:pStyle w:val="ListParagraph"/>
        <w:suppressAutoHyphens w:val="0"/>
        <w:jc w:val="center"/>
      </w:pPr>
    </w:p>
    <w:p w14:paraId="44D9CB8D" w14:textId="776F2152" w:rsidR="004E0F7B" w:rsidRDefault="00F316AA" w:rsidP="00C46A63">
      <w:pPr>
        <w:pStyle w:val="ListParagraph"/>
        <w:suppressAutoHyphens w:val="0"/>
        <w:ind w:left="0"/>
        <w:rPr>
          <w:lang w:val="es-ES"/>
        </w:rPr>
      </w:pPr>
      <w:r>
        <w:rPr>
          <w:lang w:val="es-ES"/>
        </w:rPr>
        <w:br/>
      </w:r>
      <w:r>
        <w:rPr>
          <w:lang w:val="es-ES"/>
        </w:rPr>
        <w:br/>
      </w:r>
      <w:r>
        <w:rPr>
          <w:lang w:val="es-ES"/>
        </w:rPr>
        <w:br/>
      </w:r>
    </w:p>
    <w:p w14:paraId="7660DEDD" w14:textId="77777777" w:rsidR="004E0F7B" w:rsidRDefault="004E0F7B" w:rsidP="00F87425">
      <w:pPr>
        <w:pStyle w:val="ListParagraph"/>
        <w:suppressAutoHyphens w:val="0"/>
        <w:ind w:left="0"/>
        <w:rPr>
          <w:lang w:val="es-ES"/>
        </w:rPr>
      </w:pPr>
    </w:p>
    <w:p w14:paraId="75379F95" w14:textId="11450AB7" w:rsidR="00657EB1" w:rsidRDefault="00657EB1" w:rsidP="00F87425">
      <w:pPr>
        <w:pStyle w:val="ListParagraph"/>
        <w:suppressAutoHyphens w:val="0"/>
        <w:ind w:left="0"/>
        <w:rPr>
          <w:lang w:val="es-ES"/>
        </w:rPr>
      </w:pPr>
    </w:p>
    <w:p w14:paraId="20B8B765" w14:textId="77777777" w:rsidR="00657EB1" w:rsidRDefault="00657EB1" w:rsidP="00F87425">
      <w:pPr>
        <w:pStyle w:val="ListParagraph"/>
        <w:suppressAutoHyphens w:val="0"/>
        <w:ind w:left="0"/>
        <w:rPr>
          <w:lang w:val="es-ES"/>
        </w:rPr>
      </w:pPr>
    </w:p>
    <w:p w14:paraId="0264F2C6" w14:textId="7933E65F" w:rsidR="007A29BB" w:rsidRPr="00263A41" w:rsidRDefault="00657EB1" w:rsidP="00C46A63">
      <w:pPr>
        <w:pStyle w:val="Point0number"/>
        <w:numPr>
          <w:ilvl w:val="0"/>
          <w:numId w:val="0"/>
        </w:numPr>
        <w:tabs>
          <w:tab w:val="left" w:pos="567"/>
        </w:tabs>
        <w:ind w:left="567" w:hanging="567"/>
        <w:rPr>
          <w:lang w:val="es-ES"/>
        </w:rPr>
      </w:pPr>
      <w:r w:rsidRPr="00F316AA">
        <w:rPr>
          <w:color w:val="0070C0"/>
          <w:sz w:val="20"/>
          <w:szCs w:val="20"/>
          <w:lang w:val="es-ES"/>
        </w:rPr>
        <w:tab/>
      </w:r>
    </w:p>
    <w:p w14:paraId="18874463" w14:textId="77777777" w:rsidR="007A29BB" w:rsidRPr="00263A41" w:rsidRDefault="007A29BB">
      <w:pPr>
        <w:suppressAutoHyphens w:val="0"/>
        <w:rPr>
          <w:lang w:val="es-ES"/>
        </w:rPr>
      </w:pPr>
      <w:r w:rsidRPr="00263A41">
        <w:rPr>
          <w:lang w:val="es-ES"/>
        </w:rPr>
        <w:br w:type="page"/>
      </w:r>
    </w:p>
    <w:p w14:paraId="3E4DA954" w14:textId="71D6326A" w:rsidR="007A29BB" w:rsidRPr="00316DB7" w:rsidRDefault="007A29BB" w:rsidP="007A29BB">
      <w:pPr>
        <w:pStyle w:val="Heading1"/>
        <w:numPr>
          <w:ilvl w:val="0"/>
          <w:numId w:val="0"/>
        </w:numPr>
        <w:rPr>
          <w:lang w:val="es-ES"/>
        </w:rPr>
      </w:pPr>
      <w:bookmarkStart w:id="79" w:name="_Toc516146043"/>
      <w:r w:rsidRPr="00316DB7">
        <w:rPr>
          <w:lang w:val="es-ES"/>
        </w:rPr>
        <w:t xml:space="preserve">Anexo </w:t>
      </w:r>
      <w:r w:rsidR="004F0EF9">
        <w:rPr>
          <w:lang w:val="es-ES"/>
        </w:rPr>
        <w:t>7</w:t>
      </w:r>
      <w:r w:rsidRPr="00316DB7">
        <w:rPr>
          <w:lang w:val="es-ES"/>
        </w:rPr>
        <w:t xml:space="preserve"> – </w:t>
      </w:r>
      <w:r>
        <w:rPr>
          <w:lang w:val="es-ES"/>
        </w:rPr>
        <w:t xml:space="preserve">Límites de desempeño energético para lámparas seleccionadas </w:t>
      </w:r>
      <w:r w:rsidRPr="00F87425">
        <w:rPr>
          <w:lang w:val="es-ES"/>
        </w:rPr>
        <w:t>–</w:t>
      </w:r>
      <w:r>
        <w:rPr>
          <w:lang w:val="es-ES"/>
        </w:rPr>
        <w:t xml:space="preserve"> México</w:t>
      </w:r>
      <w:bookmarkEnd w:id="79"/>
    </w:p>
    <w:p w14:paraId="01C0EF1F" w14:textId="77777777" w:rsidR="007A29BB" w:rsidRDefault="007A29BB" w:rsidP="007A29BB">
      <w:pPr>
        <w:pStyle w:val="Caption"/>
        <w:spacing w:after="0"/>
        <w:rPr>
          <w:lang w:val="es-ES"/>
        </w:rPr>
      </w:pPr>
    </w:p>
    <w:p w14:paraId="381617F6" w14:textId="7D2EA6C6" w:rsidR="007A29BB" w:rsidRDefault="007A29BB" w:rsidP="007A29BB">
      <w:pPr>
        <w:pStyle w:val="Caption"/>
        <w:spacing w:after="0"/>
        <w:rPr>
          <w:lang w:val="es-ES"/>
        </w:rPr>
      </w:pPr>
      <w:r>
        <w:rPr>
          <w:lang w:val="es-ES"/>
        </w:rPr>
        <w:t>N</w:t>
      </w:r>
      <w:r w:rsidRPr="00F63609">
        <w:rPr>
          <w:lang w:val="es-ES"/>
        </w:rPr>
        <w:t>OM-028-ENER-2010 (mod. 2013): Lámparas para uso general</w:t>
      </w:r>
    </w:p>
    <w:p w14:paraId="42A21BCC" w14:textId="77777777" w:rsidR="007A29BB" w:rsidRPr="00F63609" w:rsidRDefault="007A29BB" w:rsidP="007A29BB">
      <w:pPr>
        <w:pStyle w:val="Caption"/>
        <w:spacing w:after="0"/>
        <w:rPr>
          <w:lang w:val="es-ES"/>
        </w:rPr>
      </w:pPr>
      <w:r w:rsidRPr="00F63609">
        <w:rPr>
          <w:lang w:val="es-ES"/>
        </w:rPr>
        <w:t>Valores mínimos de eficacia para lámparas incandescentes, incandescentes con halógenos y fluorescentes compactas autobalastradas. Espectro general.</w:t>
      </w:r>
    </w:p>
    <w:p w14:paraId="60113C5F" w14:textId="77777777" w:rsidR="007A29BB" w:rsidRDefault="007A29BB" w:rsidP="007A29BB">
      <w:pPr>
        <w:pStyle w:val="Caption"/>
        <w:spacing w:after="0"/>
        <w:rPr>
          <w:lang w:val="es-ES"/>
        </w:rPr>
      </w:pPr>
      <w:r w:rsidRPr="00F63609">
        <w:rPr>
          <w:lang w:val="es-ES"/>
        </w:rPr>
        <w:t>Etapa 1</w:t>
      </w:r>
    </w:p>
    <w:p w14:paraId="1045EB7F" w14:textId="77777777" w:rsidR="007A29BB" w:rsidRDefault="007A29BB" w:rsidP="007A29BB">
      <w:pPr>
        <w:spacing w:before="0" w:after="140"/>
        <w:jc w:val="center"/>
        <w:rPr>
          <w:rFonts w:cstheme="minorHAnsi"/>
          <w:color w:val="002B7F"/>
          <w:sz w:val="18"/>
          <w:lang w:val="es-PA"/>
        </w:rPr>
      </w:pPr>
      <w:r w:rsidRPr="00A96F74">
        <w:rPr>
          <w:i/>
          <w:color w:val="002B7F"/>
          <w:sz w:val="18"/>
          <w:lang w:val="es-ES"/>
        </w:rPr>
        <w:t>Fuente:</w:t>
      </w:r>
      <w:r w:rsidRPr="00E2630F">
        <w:rPr>
          <w:lang w:val="es-ES"/>
        </w:rPr>
        <w:t xml:space="preserve"> </w:t>
      </w:r>
      <w:r w:rsidRPr="00E2630F">
        <w:rPr>
          <w:rFonts w:cstheme="minorHAnsi"/>
          <w:color w:val="002B7F"/>
          <w:sz w:val="18"/>
          <w:lang w:val="es-PA"/>
        </w:rPr>
        <w:t xml:space="preserve">Elaboración propia en base de </w:t>
      </w:r>
      <w:r>
        <w:rPr>
          <w:rFonts w:cstheme="minorHAnsi"/>
          <w:color w:val="002B7F"/>
          <w:sz w:val="18"/>
          <w:lang w:val="es-PA"/>
        </w:rPr>
        <w:t>NOM-028-ENER-2010 (modificación noviembre de 2013)</w:t>
      </w:r>
    </w:p>
    <w:tbl>
      <w:tblPr>
        <w:tblW w:w="5000" w:type="pct"/>
        <w:jc w:val="center"/>
        <w:tblCellMar>
          <w:left w:w="10" w:type="dxa"/>
          <w:right w:w="10" w:type="dxa"/>
        </w:tblCellMar>
        <w:tblLook w:val="0000" w:firstRow="0" w:lastRow="0" w:firstColumn="0" w:lastColumn="0" w:noHBand="0" w:noVBand="0"/>
      </w:tblPr>
      <w:tblGrid>
        <w:gridCol w:w="2544"/>
        <w:gridCol w:w="2126"/>
        <w:gridCol w:w="1985"/>
        <w:gridCol w:w="1841"/>
      </w:tblGrid>
      <w:tr w:rsidR="007A29BB" w:rsidRPr="00130C34" w14:paraId="74307CE8" w14:textId="77777777" w:rsidTr="00DA3702">
        <w:trPr>
          <w:jc w:val="center"/>
        </w:trPr>
        <w:tc>
          <w:tcPr>
            <w:tcW w:w="2544"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65681896" w14:textId="77777777" w:rsidR="007A29BB" w:rsidRPr="00130C34" w:rsidRDefault="007A29BB" w:rsidP="00DA3702">
            <w:pPr>
              <w:suppressAutoHyphens w:val="0"/>
              <w:spacing w:before="0" w:after="0"/>
              <w:jc w:val="center"/>
              <w:textAlignment w:val="auto"/>
              <w:rPr>
                <w:rFonts w:eastAsia="Times New Roman"/>
                <w:b/>
                <w:color w:val="FFFFFF" w:themeColor="background1"/>
                <w:lang w:val="es-ES"/>
              </w:rPr>
            </w:pPr>
            <w:r>
              <w:rPr>
                <w:rFonts w:eastAsia="Times New Roman"/>
                <w:b/>
                <w:color w:val="FFFFFF" w:themeColor="background1"/>
                <w:lang w:val="es-ES"/>
              </w:rPr>
              <w:t>Intervalo de flujo luminoso (lm)</w:t>
            </w:r>
          </w:p>
        </w:tc>
        <w:tc>
          <w:tcPr>
            <w:tcW w:w="2126" w:type="dxa"/>
            <w:tcBorders>
              <w:top w:val="single" w:sz="6" w:space="0" w:color="5B9BD5"/>
              <w:bottom w:val="single" w:sz="6" w:space="0" w:color="5B9BD5"/>
            </w:tcBorders>
            <w:shd w:val="clear" w:color="auto" w:fill="5B9BD5"/>
            <w:tcMar>
              <w:top w:w="0" w:type="dxa"/>
              <w:left w:w="108" w:type="dxa"/>
              <w:bottom w:w="0" w:type="dxa"/>
              <w:right w:w="108" w:type="dxa"/>
            </w:tcMar>
          </w:tcPr>
          <w:p w14:paraId="65842E32" w14:textId="77777777" w:rsidR="007A29BB" w:rsidRPr="00130C34" w:rsidRDefault="007A29BB" w:rsidP="00DA3702">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Potencia máxima permitida (W)</w:t>
            </w:r>
          </w:p>
        </w:tc>
        <w:tc>
          <w:tcPr>
            <w:tcW w:w="1985" w:type="dxa"/>
            <w:tcBorders>
              <w:top w:val="single" w:sz="6" w:space="0" w:color="5B9BD5"/>
              <w:bottom w:val="single" w:sz="6" w:space="0" w:color="5B9BD5"/>
            </w:tcBorders>
            <w:shd w:val="clear" w:color="auto" w:fill="5B9BD5"/>
            <w:tcMar>
              <w:top w:w="0" w:type="dxa"/>
              <w:left w:w="108" w:type="dxa"/>
              <w:bottom w:w="0" w:type="dxa"/>
              <w:right w:w="108" w:type="dxa"/>
            </w:tcMar>
          </w:tcPr>
          <w:p w14:paraId="1AED3019" w14:textId="77777777" w:rsidR="007A29BB" w:rsidRPr="00130C34" w:rsidRDefault="007A29BB" w:rsidP="00DA3702">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Rango de eficacia mínima (lm/W)</w:t>
            </w:r>
          </w:p>
        </w:tc>
        <w:tc>
          <w:tcPr>
            <w:tcW w:w="1841" w:type="dxa"/>
            <w:tcBorders>
              <w:top w:val="single" w:sz="6" w:space="0" w:color="5B9BD5"/>
              <w:bottom w:val="single" w:sz="6" w:space="0" w:color="5B9BD5"/>
            </w:tcBorders>
            <w:shd w:val="clear" w:color="auto" w:fill="5B9BD5"/>
          </w:tcPr>
          <w:p w14:paraId="185AF332" w14:textId="77777777" w:rsidR="007A29BB" w:rsidRPr="00130C34" w:rsidRDefault="007A29BB" w:rsidP="00DA3702">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Entrada en vigor</w:t>
            </w:r>
          </w:p>
        </w:tc>
      </w:tr>
      <w:tr w:rsidR="007A29BB" w:rsidRPr="001F1C6F" w14:paraId="4FCFC300" w14:textId="77777777" w:rsidTr="00DA3702">
        <w:trPr>
          <w:jc w:val="center"/>
        </w:trPr>
        <w:tc>
          <w:tcPr>
            <w:tcW w:w="2544"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334D5E2"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 xml:space="preserve">406 </w:t>
            </w:r>
            <w:r w:rsidRPr="00F63609">
              <w:rPr>
                <w:rFonts w:eastAsia="Times New Roman"/>
                <w:lang w:val="es-ES"/>
              </w:rPr>
              <w:t>–</w:t>
            </w:r>
            <w:r>
              <w:rPr>
                <w:rFonts w:eastAsia="Times New Roman"/>
                <w:lang w:val="es-ES"/>
              </w:rPr>
              <w:t xml:space="preserve"> 749</w:t>
            </w:r>
          </w:p>
        </w:tc>
        <w:tc>
          <w:tcPr>
            <w:tcW w:w="2126"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CFDED7C"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29</w:t>
            </w:r>
          </w:p>
        </w:tc>
        <w:tc>
          <w:tcPr>
            <w:tcW w:w="198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48C723C" w14:textId="77777777" w:rsidR="007A29BB" w:rsidRPr="00130C34" w:rsidRDefault="007A29BB" w:rsidP="00DA3702">
            <w:pPr>
              <w:suppressAutoHyphens w:val="0"/>
              <w:spacing w:before="0" w:after="0"/>
              <w:jc w:val="center"/>
              <w:textAlignment w:val="auto"/>
              <w:rPr>
                <w:rFonts w:eastAsia="Times New Roman"/>
                <w:lang w:val="es-ES"/>
              </w:rPr>
            </w:pPr>
            <w:r w:rsidRPr="00D534CE">
              <w:rPr>
                <w:rFonts w:eastAsia="Times New Roman"/>
                <w:lang w:val="es-ES"/>
              </w:rPr>
              <w:t>14</w:t>
            </w:r>
            <w:r>
              <w:rPr>
                <w:rFonts w:eastAsia="Times New Roman"/>
                <w:lang w:val="es-ES"/>
              </w:rPr>
              <w:t>,</w:t>
            </w:r>
            <w:r w:rsidRPr="00D534CE">
              <w:rPr>
                <w:rFonts w:eastAsia="Times New Roman"/>
                <w:lang w:val="es-ES"/>
              </w:rPr>
              <w:t>0 – 25</w:t>
            </w:r>
            <w:r>
              <w:rPr>
                <w:rFonts w:eastAsia="Times New Roman"/>
                <w:lang w:val="es-ES"/>
              </w:rPr>
              <w:t>,</w:t>
            </w:r>
            <w:r w:rsidRPr="00D534CE">
              <w:rPr>
                <w:rFonts w:eastAsia="Times New Roman"/>
                <w:lang w:val="es-ES"/>
              </w:rPr>
              <w:t>8</w:t>
            </w:r>
          </w:p>
        </w:tc>
        <w:tc>
          <w:tcPr>
            <w:tcW w:w="1841" w:type="dxa"/>
            <w:tcBorders>
              <w:top w:val="single" w:sz="6" w:space="0" w:color="9CC2E5"/>
              <w:left w:val="single" w:sz="6" w:space="0" w:color="9CC2E5"/>
              <w:bottom w:val="single" w:sz="6" w:space="0" w:color="9CC2E5"/>
              <w:right w:val="single" w:sz="6" w:space="0" w:color="9CC2E5"/>
            </w:tcBorders>
          </w:tcPr>
          <w:p w14:paraId="2B073D84" w14:textId="77777777" w:rsidR="007A29BB" w:rsidRPr="00130C34" w:rsidRDefault="007A29BB" w:rsidP="00DA3702">
            <w:pPr>
              <w:suppressAutoHyphens w:val="0"/>
              <w:spacing w:before="0" w:after="0"/>
              <w:jc w:val="center"/>
              <w:textAlignment w:val="auto"/>
              <w:rPr>
                <w:rFonts w:eastAsia="Times New Roman"/>
                <w:lang w:val="es-ES"/>
              </w:rPr>
            </w:pPr>
            <w:r w:rsidRPr="00D534CE">
              <w:rPr>
                <w:rFonts w:eastAsia="Times New Roman"/>
                <w:lang w:val="es-ES"/>
              </w:rPr>
              <w:t>Diciembre 2014</w:t>
            </w:r>
          </w:p>
        </w:tc>
      </w:tr>
      <w:tr w:rsidR="007A29BB" w:rsidRPr="001F1C6F" w14:paraId="3F5D028F" w14:textId="77777777" w:rsidTr="00DA3702">
        <w:trPr>
          <w:jc w:val="center"/>
        </w:trPr>
        <w:tc>
          <w:tcPr>
            <w:tcW w:w="2544"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078ACDD"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 xml:space="preserve">750 </w:t>
            </w:r>
            <w:r w:rsidRPr="00D534CE">
              <w:rPr>
                <w:rFonts w:eastAsia="Times New Roman"/>
                <w:lang w:val="es-ES"/>
              </w:rPr>
              <w:t>–</w:t>
            </w:r>
            <w:r>
              <w:rPr>
                <w:rFonts w:eastAsia="Times New Roman"/>
                <w:lang w:val="es-ES"/>
              </w:rPr>
              <w:t xml:space="preserve"> 1049</w:t>
            </w:r>
          </w:p>
        </w:tc>
        <w:tc>
          <w:tcPr>
            <w:tcW w:w="2126"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08CA0A1"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43</w:t>
            </w:r>
          </w:p>
        </w:tc>
        <w:tc>
          <w:tcPr>
            <w:tcW w:w="198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DFB348E" w14:textId="77777777" w:rsidR="007A29BB" w:rsidRPr="00130C34" w:rsidRDefault="007A29BB" w:rsidP="00DA3702">
            <w:pPr>
              <w:suppressAutoHyphens w:val="0"/>
              <w:spacing w:before="0" w:after="0"/>
              <w:jc w:val="center"/>
              <w:textAlignment w:val="auto"/>
              <w:rPr>
                <w:rFonts w:eastAsia="Times New Roman"/>
                <w:lang w:val="es-ES"/>
              </w:rPr>
            </w:pPr>
            <w:r w:rsidRPr="00D534CE">
              <w:rPr>
                <w:rFonts w:eastAsia="Times New Roman"/>
                <w:lang w:val="es-ES"/>
              </w:rPr>
              <w:t>17</w:t>
            </w:r>
            <w:r>
              <w:rPr>
                <w:rFonts w:eastAsia="Times New Roman"/>
                <w:lang w:val="es-ES"/>
              </w:rPr>
              <w:t>,</w:t>
            </w:r>
            <w:r w:rsidRPr="00D534CE">
              <w:rPr>
                <w:rFonts w:eastAsia="Times New Roman"/>
                <w:lang w:val="es-ES"/>
              </w:rPr>
              <w:t>4 – 24</w:t>
            </w:r>
            <w:r>
              <w:rPr>
                <w:rFonts w:eastAsia="Times New Roman"/>
                <w:lang w:val="es-ES"/>
              </w:rPr>
              <w:t>,</w:t>
            </w:r>
            <w:r w:rsidRPr="00D534CE">
              <w:rPr>
                <w:rFonts w:eastAsia="Times New Roman"/>
                <w:lang w:val="es-ES"/>
              </w:rPr>
              <w:t>4</w:t>
            </w:r>
          </w:p>
        </w:tc>
        <w:tc>
          <w:tcPr>
            <w:tcW w:w="1841" w:type="dxa"/>
            <w:tcBorders>
              <w:top w:val="single" w:sz="6" w:space="0" w:color="9CC2E5"/>
              <w:left w:val="single" w:sz="6" w:space="0" w:color="9CC2E5"/>
              <w:bottom w:val="single" w:sz="6" w:space="0" w:color="9CC2E5"/>
              <w:right w:val="single" w:sz="6" w:space="0" w:color="9CC2E5"/>
            </w:tcBorders>
            <w:shd w:val="clear" w:color="auto" w:fill="DEEAF6"/>
          </w:tcPr>
          <w:p w14:paraId="791BECEC" w14:textId="77777777" w:rsidR="007A29BB" w:rsidRPr="00130C34" w:rsidRDefault="007A29BB" w:rsidP="00DA3702">
            <w:pPr>
              <w:suppressAutoHyphens w:val="0"/>
              <w:spacing w:before="0" w:after="0"/>
              <w:jc w:val="center"/>
              <w:textAlignment w:val="auto"/>
              <w:rPr>
                <w:rFonts w:eastAsia="Times New Roman"/>
                <w:lang w:val="es-ES"/>
              </w:rPr>
            </w:pPr>
            <w:r w:rsidRPr="00D534CE">
              <w:rPr>
                <w:rFonts w:eastAsia="Times New Roman"/>
                <w:lang w:val="es-ES"/>
              </w:rPr>
              <w:t>Diciembre 2014</w:t>
            </w:r>
          </w:p>
        </w:tc>
      </w:tr>
      <w:tr w:rsidR="007A29BB" w:rsidRPr="001F1C6F" w14:paraId="1D483868" w14:textId="77777777" w:rsidTr="00DA3702">
        <w:trPr>
          <w:trHeight w:val="242"/>
          <w:jc w:val="center"/>
        </w:trPr>
        <w:tc>
          <w:tcPr>
            <w:tcW w:w="2544"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6E380648"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 xml:space="preserve">1050 </w:t>
            </w:r>
            <w:r w:rsidRPr="00D534CE">
              <w:rPr>
                <w:rFonts w:eastAsia="Times New Roman"/>
                <w:lang w:val="es-ES"/>
              </w:rPr>
              <w:t>–</w:t>
            </w:r>
            <w:r>
              <w:rPr>
                <w:rFonts w:eastAsia="Times New Roman"/>
                <w:lang w:val="es-ES"/>
              </w:rPr>
              <w:t xml:space="preserve"> 1489</w:t>
            </w:r>
          </w:p>
        </w:tc>
        <w:tc>
          <w:tcPr>
            <w:tcW w:w="2126"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7655EC4B"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53</w:t>
            </w:r>
          </w:p>
        </w:tc>
        <w:tc>
          <w:tcPr>
            <w:tcW w:w="1985"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5956E810" w14:textId="77777777" w:rsidR="007A29BB" w:rsidRPr="00130C34" w:rsidRDefault="007A29BB" w:rsidP="00DA3702">
            <w:pPr>
              <w:suppressAutoHyphens w:val="0"/>
              <w:spacing w:before="0" w:after="0"/>
              <w:jc w:val="center"/>
              <w:textAlignment w:val="auto"/>
              <w:rPr>
                <w:rFonts w:eastAsia="Times New Roman"/>
                <w:lang w:val="es-ES"/>
              </w:rPr>
            </w:pPr>
            <w:r w:rsidRPr="00D534CE">
              <w:rPr>
                <w:rFonts w:eastAsia="Times New Roman"/>
                <w:lang w:val="es-ES"/>
              </w:rPr>
              <w:t>19</w:t>
            </w:r>
            <w:r>
              <w:rPr>
                <w:rFonts w:eastAsia="Times New Roman"/>
                <w:lang w:val="es-ES"/>
              </w:rPr>
              <w:t>,</w:t>
            </w:r>
            <w:r w:rsidRPr="00D534CE">
              <w:rPr>
                <w:rFonts w:eastAsia="Times New Roman"/>
                <w:lang w:val="es-ES"/>
              </w:rPr>
              <w:t>8 – 28</w:t>
            </w:r>
            <w:r>
              <w:rPr>
                <w:rFonts w:eastAsia="Times New Roman"/>
                <w:lang w:val="es-ES"/>
              </w:rPr>
              <w:t>,</w:t>
            </w:r>
            <w:r w:rsidRPr="00D534CE">
              <w:rPr>
                <w:rFonts w:eastAsia="Times New Roman"/>
                <w:lang w:val="es-ES"/>
              </w:rPr>
              <w:t>1</w:t>
            </w:r>
          </w:p>
        </w:tc>
        <w:tc>
          <w:tcPr>
            <w:tcW w:w="1841" w:type="dxa"/>
            <w:tcBorders>
              <w:top w:val="single" w:sz="6" w:space="0" w:color="9CC2E5"/>
              <w:left w:val="single" w:sz="6" w:space="0" w:color="9CC2E5"/>
              <w:bottom w:val="single" w:sz="6" w:space="0" w:color="9CC2E5"/>
              <w:right w:val="single" w:sz="6" w:space="0" w:color="9CC2E5"/>
            </w:tcBorders>
          </w:tcPr>
          <w:p w14:paraId="7611A086" w14:textId="77777777" w:rsidR="007A29BB" w:rsidRPr="00130C34" w:rsidRDefault="007A29BB" w:rsidP="00DA3702">
            <w:pPr>
              <w:suppressAutoHyphens w:val="0"/>
              <w:spacing w:before="0" w:after="0"/>
              <w:jc w:val="center"/>
              <w:textAlignment w:val="auto"/>
              <w:rPr>
                <w:rFonts w:eastAsia="Times New Roman"/>
                <w:lang w:val="es-ES"/>
              </w:rPr>
            </w:pPr>
            <w:r w:rsidRPr="00D534CE">
              <w:rPr>
                <w:rFonts w:eastAsia="Times New Roman"/>
                <w:lang w:val="es-ES"/>
              </w:rPr>
              <w:t>Diciembre 2012</w:t>
            </w:r>
          </w:p>
        </w:tc>
      </w:tr>
      <w:tr w:rsidR="007A29BB" w:rsidRPr="001F1C6F" w14:paraId="083BAD82" w14:textId="77777777" w:rsidTr="00DA3702">
        <w:trPr>
          <w:trHeight w:val="276"/>
          <w:jc w:val="center"/>
        </w:trPr>
        <w:tc>
          <w:tcPr>
            <w:tcW w:w="2544"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6A8ADD8"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 xml:space="preserve">1490 </w:t>
            </w:r>
            <w:r w:rsidRPr="00D534CE">
              <w:rPr>
                <w:rFonts w:eastAsia="Times New Roman"/>
                <w:lang w:val="es-ES"/>
              </w:rPr>
              <w:t>–</w:t>
            </w:r>
            <w:r>
              <w:rPr>
                <w:rFonts w:eastAsia="Times New Roman"/>
                <w:lang w:val="es-ES"/>
              </w:rPr>
              <w:t xml:space="preserve"> 2600</w:t>
            </w:r>
          </w:p>
        </w:tc>
        <w:tc>
          <w:tcPr>
            <w:tcW w:w="2126"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0221CEC"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72</w:t>
            </w:r>
          </w:p>
        </w:tc>
        <w:tc>
          <w:tcPr>
            <w:tcW w:w="198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7BC6179" w14:textId="77777777" w:rsidR="007A29BB" w:rsidRPr="00130C34" w:rsidRDefault="007A29BB" w:rsidP="00DA3702">
            <w:pPr>
              <w:suppressAutoHyphens w:val="0"/>
              <w:spacing w:before="0" w:after="0"/>
              <w:jc w:val="center"/>
              <w:textAlignment w:val="auto"/>
              <w:rPr>
                <w:rFonts w:eastAsia="Times New Roman"/>
                <w:lang w:val="es-ES"/>
              </w:rPr>
            </w:pPr>
            <w:r w:rsidRPr="00D534CE">
              <w:rPr>
                <w:rFonts w:eastAsia="Times New Roman"/>
                <w:lang w:val="es-ES"/>
              </w:rPr>
              <w:t>20</w:t>
            </w:r>
            <w:r>
              <w:rPr>
                <w:rFonts w:eastAsia="Times New Roman"/>
                <w:lang w:val="es-ES"/>
              </w:rPr>
              <w:t>,</w:t>
            </w:r>
            <w:r w:rsidRPr="00D534CE">
              <w:rPr>
                <w:rFonts w:eastAsia="Times New Roman"/>
                <w:lang w:val="es-ES"/>
              </w:rPr>
              <w:t>7 – 36</w:t>
            </w:r>
            <w:r>
              <w:rPr>
                <w:rFonts w:eastAsia="Times New Roman"/>
                <w:lang w:val="es-ES"/>
              </w:rPr>
              <w:t>,</w:t>
            </w:r>
            <w:r w:rsidRPr="00D534CE">
              <w:rPr>
                <w:rFonts w:eastAsia="Times New Roman"/>
                <w:lang w:val="es-ES"/>
              </w:rPr>
              <w:t>1</w:t>
            </w:r>
          </w:p>
        </w:tc>
        <w:tc>
          <w:tcPr>
            <w:tcW w:w="1841" w:type="dxa"/>
            <w:tcBorders>
              <w:top w:val="single" w:sz="6" w:space="0" w:color="9CC2E5"/>
              <w:left w:val="single" w:sz="6" w:space="0" w:color="9CC2E5"/>
              <w:bottom w:val="single" w:sz="6" w:space="0" w:color="9CC2E5"/>
              <w:right w:val="single" w:sz="6" w:space="0" w:color="9CC2E5"/>
            </w:tcBorders>
            <w:shd w:val="clear" w:color="auto" w:fill="DEEAF6"/>
          </w:tcPr>
          <w:p w14:paraId="10F453B3" w14:textId="77777777" w:rsidR="007A29BB" w:rsidRPr="00130C34" w:rsidRDefault="007A29BB" w:rsidP="00DA3702">
            <w:pPr>
              <w:suppressAutoHyphens w:val="0"/>
              <w:spacing w:before="0" w:after="0"/>
              <w:jc w:val="center"/>
              <w:textAlignment w:val="auto"/>
              <w:rPr>
                <w:rFonts w:eastAsia="Times New Roman"/>
                <w:lang w:val="es-ES"/>
              </w:rPr>
            </w:pPr>
            <w:r w:rsidRPr="00D534CE">
              <w:rPr>
                <w:rFonts w:eastAsia="Times New Roman"/>
                <w:lang w:val="es-ES"/>
              </w:rPr>
              <w:t>Diciembre 2011</w:t>
            </w:r>
          </w:p>
        </w:tc>
      </w:tr>
    </w:tbl>
    <w:p w14:paraId="747BFF88" w14:textId="77777777" w:rsidR="007A29BB" w:rsidRDefault="007A29BB" w:rsidP="007A29BB">
      <w:pPr>
        <w:spacing w:before="0" w:after="140"/>
        <w:jc w:val="center"/>
        <w:rPr>
          <w:rFonts w:cstheme="minorHAnsi"/>
          <w:color w:val="002B7F"/>
          <w:sz w:val="18"/>
          <w:lang w:val="es-PA"/>
        </w:rPr>
      </w:pPr>
    </w:p>
    <w:p w14:paraId="54070428" w14:textId="77777777" w:rsidR="007A29BB" w:rsidRDefault="007A29BB" w:rsidP="007A29BB">
      <w:pPr>
        <w:spacing w:before="0" w:after="140"/>
        <w:jc w:val="center"/>
        <w:rPr>
          <w:rFonts w:cstheme="minorHAnsi"/>
          <w:color w:val="002B7F"/>
          <w:sz w:val="18"/>
          <w:lang w:val="es-PA"/>
        </w:rPr>
      </w:pPr>
    </w:p>
    <w:p w14:paraId="2C376732" w14:textId="77777777" w:rsidR="007A29BB" w:rsidRDefault="007A29BB" w:rsidP="007A29BB">
      <w:pPr>
        <w:pStyle w:val="Caption"/>
        <w:spacing w:after="0"/>
        <w:rPr>
          <w:lang w:val="es-ES"/>
        </w:rPr>
      </w:pPr>
      <w:r>
        <w:rPr>
          <w:lang w:val="es-ES"/>
        </w:rPr>
        <w:t>N</w:t>
      </w:r>
      <w:r w:rsidRPr="00F63609">
        <w:rPr>
          <w:lang w:val="es-ES"/>
        </w:rPr>
        <w:t>OM-028-ENER-2010 (mod. 2013): Lámparas para uso general</w:t>
      </w:r>
    </w:p>
    <w:p w14:paraId="647EBBE2" w14:textId="77777777" w:rsidR="007A29BB" w:rsidRPr="00F63609" w:rsidRDefault="007A29BB" w:rsidP="007A29BB">
      <w:pPr>
        <w:pStyle w:val="Caption"/>
        <w:spacing w:after="0"/>
        <w:rPr>
          <w:lang w:val="es-ES"/>
        </w:rPr>
      </w:pPr>
      <w:r w:rsidRPr="00F63609">
        <w:rPr>
          <w:lang w:val="es-ES"/>
        </w:rPr>
        <w:t>Valores mínimos de eficacia para lámparas incandescentes, incandescentes con halógenos y fluorescentes compactas autobalastradas.</w:t>
      </w:r>
    </w:p>
    <w:p w14:paraId="6CFABB52" w14:textId="77777777" w:rsidR="007A29BB" w:rsidRDefault="007A29BB" w:rsidP="007A29BB">
      <w:pPr>
        <w:pStyle w:val="Caption"/>
        <w:spacing w:after="0"/>
        <w:rPr>
          <w:lang w:val="es-ES"/>
        </w:rPr>
      </w:pPr>
      <w:r w:rsidRPr="00F63609">
        <w:rPr>
          <w:lang w:val="es-ES"/>
        </w:rPr>
        <w:t>Etapa</w:t>
      </w:r>
      <w:r>
        <w:rPr>
          <w:lang w:val="es-ES"/>
        </w:rPr>
        <w:t>s</w:t>
      </w:r>
      <w:r w:rsidRPr="00F63609">
        <w:rPr>
          <w:lang w:val="es-ES"/>
        </w:rPr>
        <w:t xml:space="preserve"> </w:t>
      </w:r>
      <w:r>
        <w:rPr>
          <w:lang w:val="es-ES"/>
        </w:rPr>
        <w:t>2 y 3</w:t>
      </w:r>
    </w:p>
    <w:p w14:paraId="69F11A0B" w14:textId="77777777" w:rsidR="007A29BB" w:rsidRDefault="007A29BB" w:rsidP="007A29BB">
      <w:pPr>
        <w:spacing w:before="0" w:after="140"/>
        <w:jc w:val="center"/>
        <w:rPr>
          <w:rFonts w:cstheme="minorHAnsi"/>
          <w:color w:val="002B7F"/>
          <w:sz w:val="18"/>
          <w:lang w:val="es-PA"/>
        </w:rPr>
      </w:pPr>
      <w:r w:rsidRPr="00A96F74">
        <w:rPr>
          <w:i/>
          <w:color w:val="002B7F"/>
          <w:sz w:val="18"/>
          <w:lang w:val="es-ES"/>
        </w:rPr>
        <w:t>Fuente:</w:t>
      </w:r>
      <w:r w:rsidRPr="00E2630F">
        <w:rPr>
          <w:lang w:val="es-ES"/>
        </w:rPr>
        <w:t xml:space="preserve"> </w:t>
      </w:r>
      <w:r w:rsidRPr="00E2630F">
        <w:rPr>
          <w:rFonts w:cstheme="minorHAnsi"/>
          <w:color w:val="002B7F"/>
          <w:sz w:val="18"/>
          <w:lang w:val="es-PA"/>
        </w:rPr>
        <w:t xml:space="preserve">Elaboración propia en base de </w:t>
      </w:r>
      <w:r>
        <w:rPr>
          <w:rFonts w:cstheme="minorHAnsi"/>
          <w:color w:val="002B7F"/>
          <w:sz w:val="18"/>
          <w:lang w:val="es-PA"/>
        </w:rPr>
        <w:t>NOM-028-ENER-2010 (modificación noviembre de 2013)</w:t>
      </w:r>
    </w:p>
    <w:tbl>
      <w:tblPr>
        <w:tblW w:w="5084" w:type="pct"/>
        <w:jc w:val="center"/>
        <w:tblCellMar>
          <w:left w:w="10" w:type="dxa"/>
          <w:right w:w="10" w:type="dxa"/>
        </w:tblCellMar>
        <w:tblLook w:val="0000" w:firstRow="0" w:lastRow="0" w:firstColumn="0" w:lastColumn="0" w:noHBand="0" w:noVBand="0"/>
      </w:tblPr>
      <w:tblGrid>
        <w:gridCol w:w="2969"/>
        <w:gridCol w:w="2693"/>
        <w:gridCol w:w="2977"/>
      </w:tblGrid>
      <w:tr w:rsidR="007A29BB" w:rsidRPr="00F63609" w14:paraId="4833389A" w14:textId="77777777" w:rsidTr="00DA3702">
        <w:trPr>
          <w:jc w:val="center"/>
        </w:trPr>
        <w:tc>
          <w:tcPr>
            <w:tcW w:w="2969"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61810F81" w14:textId="77777777" w:rsidR="007A29BB" w:rsidRPr="00F87425" w:rsidRDefault="007A29BB" w:rsidP="00DA3702">
            <w:pPr>
              <w:suppressAutoHyphens w:val="0"/>
              <w:spacing w:before="0" w:after="0"/>
              <w:jc w:val="center"/>
              <w:textAlignment w:val="auto"/>
              <w:rPr>
                <w:rFonts w:eastAsia="Times New Roman"/>
                <w:b/>
                <w:color w:val="FFFFFF" w:themeColor="background1"/>
                <w:lang w:val="es-ES"/>
              </w:rPr>
            </w:pPr>
            <w:r>
              <w:rPr>
                <w:rFonts w:eastAsia="Times New Roman"/>
                <w:b/>
                <w:color w:val="FFFFFF" w:themeColor="background1"/>
                <w:lang w:val="es-ES"/>
              </w:rPr>
              <w:t>Intervalo de potencia (W)</w:t>
            </w:r>
          </w:p>
        </w:tc>
        <w:tc>
          <w:tcPr>
            <w:tcW w:w="5670" w:type="dxa"/>
            <w:gridSpan w:val="2"/>
            <w:tcBorders>
              <w:top w:val="single" w:sz="6" w:space="0" w:color="5B9BD5"/>
              <w:bottom w:val="single" w:sz="6" w:space="0" w:color="5B9BD5"/>
            </w:tcBorders>
            <w:shd w:val="clear" w:color="auto" w:fill="5B9BD5"/>
            <w:tcMar>
              <w:top w:w="0" w:type="dxa"/>
              <w:left w:w="108" w:type="dxa"/>
              <w:bottom w:w="0" w:type="dxa"/>
              <w:right w:w="108" w:type="dxa"/>
            </w:tcMar>
          </w:tcPr>
          <w:p w14:paraId="2F3CBD34" w14:textId="77777777" w:rsidR="007A29BB" w:rsidRPr="00F87425" w:rsidRDefault="007A29BB" w:rsidP="00DA3702">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Eficacia mínima (lm/W)</w:t>
            </w:r>
          </w:p>
        </w:tc>
      </w:tr>
      <w:tr w:rsidR="007A29BB" w:rsidRPr="00F63609" w14:paraId="0632A32F" w14:textId="77777777" w:rsidTr="00DA3702">
        <w:trPr>
          <w:jc w:val="center"/>
        </w:trPr>
        <w:tc>
          <w:tcPr>
            <w:tcW w:w="2969" w:type="dxa"/>
            <w:tcBorders>
              <w:top w:val="single" w:sz="6" w:space="0" w:color="5B9BD5"/>
              <w:left w:val="single" w:sz="6" w:space="0" w:color="5B9BD5"/>
              <w:bottom w:val="single" w:sz="6" w:space="0" w:color="5B9BD5"/>
            </w:tcBorders>
            <w:shd w:val="clear" w:color="auto" w:fill="9CC2E5"/>
            <w:tcMar>
              <w:top w:w="0" w:type="dxa"/>
              <w:left w:w="108" w:type="dxa"/>
              <w:bottom w:w="0" w:type="dxa"/>
              <w:right w:w="108" w:type="dxa"/>
            </w:tcMar>
          </w:tcPr>
          <w:p w14:paraId="700F3513" w14:textId="77777777" w:rsidR="007A29BB" w:rsidRDefault="007A29BB" w:rsidP="00DA3702">
            <w:pPr>
              <w:suppressAutoHyphens w:val="0"/>
              <w:spacing w:before="0" w:after="0"/>
              <w:jc w:val="center"/>
              <w:textAlignment w:val="auto"/>
              <w:rPr>
                <w:rFonts w:eastAsia="Times New Roman"/>
                <w:b/>
                <w:color w:val="FFFFFF" w:themeColor="background1"/>
                <w:lang w:val="es-ES"/>
              </w:rPr>
            </w:pPr>
          </w:p>
        </w:tc>
        <w:tc>
          <w:tcPr>
            <w:tcW w:w="2693" w:type="dxa"/>
            <w:tcBorders>
              <w:top w:val="single" w:sz="6" w:space="0" w:color="5B9BD5"/>
              <w:bottom w:val="single" w:sz="6" w:space="0" w:color="5B9BD5"/>
            </w:tcBorders>
            <w:shd w:val="clear" w:color="auto" w:fill="9CC2E5"/>
            <w:tcMar>
              <w:top w:w="0" w:type="dxa"/>
              <w:left w:w="108" w:type="dxa"/>
              <w:bottom w:w="0" w:type="dxa"/>
              <w:right w:w="108" w:type="dxa"/>
            </w:tcMar>
          </w:tcPr>
          <w:p w14:paraId="1273FE89" w14:textId="77777777" w:rsidR="007A29BB" w:rsidRDefault="007A29BB" w:rsidP="00DA3702">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2019</w:t>
            </w:r>
          </w:p>
        </w:tc>
        <w:tc>
          <w:tcPr>
            <w:tcW w:w="2977" w:type="dxa"/>
            <w:tcBorders>
              <w:top w:val="single" w:sz="6" w:space="0" w:color="5B9BD5"/>
              <w:bottom w:val="single" w:sz="6" w:space="0" w:color="5B9BD5"/>
            </w:tcBorders>
            <w:shd w:val="clear" w:color="auto" w:fill="9CC2E5"/>
            <w:tcMar>
              <w:top w:w="0" w:type="dxa"/>
              <w:left w:w="108" w:type="dxa"/>
              <w:bottom w:w="0" w:type="dxa"/>
              <w:right w:w="108" w:type="dxa"/>
            </w:tcMar>
          </w:tcPr>
          <w:p w14:paraId="06F87F27" w14:textId="77777777" w:rsidR="007A29BB" w:rsidRPr="00F87425" w:rsidRDefault="007A29BB" w:rsidP="00DA3702">
            <w:pPr>
              <w:suppressAutoHyphens w:val="0"/>
              <w:spacing w:before="0" w:after="0"/>
              <w:jc w:val="center"/>
              <w:textAlignment w:val="auto"/>
              <w:rPr>
                <w:rFonts w:eastAsia="Times New Roman"/>
                <w:color w:val="FFFFFF" w:themeColor="background1"/>
                <w:lang w:val="es-ES"/>
              </w:rPr>
            </w:pPr>
            <w:r>
              <w:rPr>
                <w:rFonts w:eastAsia="Times New Roman"/>
                <w:color w:val="FFFFFF" w:themeColor="background1"/>
                <w:lang w:val="es-ES"/>
              </w:rPr>
              <w:t>2020</w:t>
            </w:r>
          </w:p>
        </w:tc>
      </w:tr>
      <w:tr w:rsidR="007A29BB" w:rsidRPr="00F87425" w14:paraId="3CF88EF3" w14:textId="77777777" w:rsidTr="00DA3702">
        <w:trPr>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FAAF566" w14:textId="77777777" w:rsidR="007A29BB" w:rsidRPr="00F87425" w:rsidRDefault="007A29BB" w:rsidP="00DA3702">
            <w:pPr>
              <w:suppressAutoHyphens w:val="0"/>
              <w:spacing w:before="0" w:after="0"/>
              <w:jc w:val="center"/>
              <w:textAlignment w:val="auto"/>
              <w:rPr>
                <w:rFonts w:eastAsia="Times New Roman"/>
                <w:lang w:val="es-ES"/>
              </w:rPr>
            </w:pPr>
            <w:r w:rsidRPr="00E76EF0">
              <w:rPr>
                <w:rFonts w:eastAsia="Times New Roman"/>
                <w:lang w:val="es-ES"/>
              </w:rPr>
              <w:t>P &gt; 22</w:t>
            </w:r>
          </w:p>
        </w:tc>
        <w:tc>
          <w:tcPr>
            <w:tcW w:w="269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C953427"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52</w:t>
            </w:r>
          </w:p>
        </w:tc>
        <w:tc>
          <w:tcPr>
            <w:tcW w:w="297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2FE9DCD"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60</w:t>
            </w:r>
          </w:p>
        </w:tc>
      </w:tr>
      <w:tr w:rsidR="007A29BB" w:rsidRPr="00F87425" w14:paraId="3A1D7B20" w14:textId="77777777" w:rsidTr="00DA3702">
        <w:trPr>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690D313" w14:textId="77777777" w:rsidR="007A29BB" w:rsidRPr="00F87425" w:rsidRDefault="007A29BB" w:rsidP="00DA3702">
            <w:pPr>
              <w:suppressAutoHyphens w:val="0"/>
              <w:spacing w:before="0" w:after="0"/>
              <w:jc w:val="center"/>
              <w:textAlignment w:val="auto"/>
              <w:rPr>
                <w:rFonts w:eastAsia="Times New Roman"/>
                <w:lang w:val="es-ES"/>
              </w:rPr>
            </w:pPr>
            <w:r w:rsidRPr="00E76EF0">
              <w:rPr>
                <w:rFonts w:eastAsia="Times New Roman"/>
                <w:lang w:val="es-ES"/>
              </w:rPr>
              <w:t>18 &lt; P ≤ 22</w:t>
            </w:r>
          </w:p>
        </w:tc>
        <w:tc>
          <w:tcPr>
            <w:tcW w:w="2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CFE4EBB" w14:textId="77777777" w:rsidR="007A29BB" w:rsidRPr="00F87425" w:rsidRDefault="007A29BB" w:rsidP="00DA3702">
            <w:pPr>
              <w:tabs>
                <w:tab w:val="center" w:pos="1238"/>
              </w:tabs>
              <w:suppressAutoHyphens w:val="0"/>
              <w:spacing w:before="0" w:after="0"/>
              <w:jc w:val="center"/>
              <w:textAlignment w:val="auto"/>
              <w:rPr>
                <w:rFonts w:eastAsia="Times New Roman"/>
                <w:lang w:val="es-ES"/>
              </w:rPr>
            </w:pPr>
            <w:r>
              <w:rPr>
                <w:rFonts w:eastAsia="Times New Roman"/>
                <w:lang w:val="es-ES"/>
              </w:rPr>
              <w:t>48</w:t>
            </w:r>
          </w:p>
        </w:tc>
        <w:tc>
          <w:tcPr>
            <w:tcW w:w="297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31F12B4"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57</w:t>
            </w:r>
          </w:p>
        </w:tc>
      </w:tr>
      <w:tr w:rsidR="007A29BB" w:rsidRPr="00F87425" w14:paraId="045FD519" w14:textId="77777777" w:rsidTr="00DA3702">
        <w:trPr>
          <w:trHeight w:val="242"/>
          <w:jc w:val="center"/>
        </w:trPr>
        <w:tc>
          <w:tcPr>
            <w:tcW w:w="2969"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18095E82" w14:textId="77777777" w:rsidR="007A29BB" w:rsidRPr="00F87425" w:rsidRDefault="007A29BB" w:rsidP="00DA3702">
            <w:pPr>
              <w:suppressAutoHyphens w:val="0"/>
              <w:spacing w:before="0" w:after="0"/>
              <w:jc w:val="center"/>
              <w:textAlignment w:val="auto"/>
              <w:rPr>
                <w:rFonts w:eastAsia="Times New Roman"/>
                <w:lang w:val="es-ES"/>
              </w:rPr>
            </w:pPr>
            <w:r w:rsidRPr="00E76EF0">
              <w:rPr>
                <w:rFonts w:eastAsia="Times New Roman"/>
                <w:lang w:val="es-ES"/>
              </w:rPr>
              <w:t>14 &lt; P ≤ 18</w:t>
            </w:r>
          </w:p>
        </w:tc>
        <w:tc>
          <w:tcPr>
            <w:tcW w:w="2693"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3A7B5993"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46</w:t>
            </w:r>
          </w:p>
        </w:tc>
        <w:tc>
          <w:tcPr>
            <w:tcW w:w="2977"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292826A8"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52</w:t>
            </w:r>
          </w:p>
        </w:tc>
      </w:tr>
      <w:tr w:rsidR="007A29BB" w:rsidRPr="00F87425" w14:paraId="487957F0" w14:textId="77777777" w:rsidTr="00DA3702">
        <w:trPr>
          <w:trHeight w:val="276"/>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B7EE04B" w14:textId="77777777" w:rsidR="007A29BB" w:rsidRPr="00F87425" w:rsidRDefault="007A29BB" w:rsidP="00DA3702">
            <w:pPr>
              <w:suppressAutoHyphens w:val="0"/>
              <w:spacing w:before="0" w:after="0"/>
              <w:jc w:val="center"/>
              <w:textAlignment w:val="auto"/>
              <w:rPr>
                <w:rFonts w:eastAsia="Times New Roman"/>
                <w:lang w:val="es-ES"/>
              </w:rPr>
            </w:pPr>
            <w:r w:rsidRPr="00E76EF0">
              <w:rPr>
                <w:rFonts w:eastAsia="Times New Roman"/>
                <w:lang w:val="es-ES"/>
              </w:rPr>
              <w:t>10 &lt; P ≤ 14</w:t>
            </w:r>
          </w:p>
        </w:tc>
        <w:tc>
          <w:tcPr>
            <w:tcW w:w="2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D6F90A2"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40</w:t>
            </w:r>
          </w:p>
        </w:tc>
        <w:tc>
          <w:tcPr>
            <w:tcW w:w="297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C0C8C91"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50</w:t>
            </w:r>
          </w:p>
        </w:tc>
      </w:tr>
      <w:tr w:rsidR="007A29BB" w:rsidRPr="00F87425" w14:paraId="5C2D354D" w14:textId="77777777" w:rsidTr="00DA3702">
        <w:trPr>
          <w:trHeight w:val="276"/>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22F740B" w14:textId="77777777" w:rsidR="007A29BB" w:rsidRPr="00E76EF0" w:rsidRDefault="007A29BB" w:rsidP="00DA3702">
            <w:pPr>
              <w:suppressAutoHyphens w:val="0"/>
              <w:spacing w:before="0" w:after="0"/>
              <w:jc w:val="center"/>
              <w:textAlignment w:val="auto"/>
              <w:rPr>
                <w:rFonts w:eastAsia="Times New Roman"/>
                <w:lang w:val="es-ES"/>
              </w:rPr>
            </w:pPr>
            <w:r w:rsidRPr="00E76EF0">
              <w:rPr>
                <w:rFonts w:eastAsia="Times New Roman"/>
                <w:lang w:val="es-ES"/>
              </w:rPr>
              <w:t>7 &lt; P ≤ 10</w:t>
            </w:r>
          </w:p>
        </w:tc>
        <w:tc>
          <w:tcPr>
            <w:tcW w:w="269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183AC61" w14:textId="77777777" w:rsidR="007A29BB" w:rsidRDefault="007A29BB" w:rsidP="00DA3702">
            <w:pPr>
              <w:suppressAutoHyphens w:val="0"/>
              <w:spacing w:before="0" w:after="0"/>
              <w:jc w:val="center"/>
              <w:textAlignment w:val="auto"/>
              <w:rPr>
                <w:rFonts w:eastAsia="Times New Roman"/>
                <w:lang w:val="es-ES"/>
              </w:rPr>
            </w:pPr>
            <w:r>
              <w:rPr>
                <w:rFonts w:eastAsia="Times New Roman"/>
                <w:lang w:val="es-ES"/>
              </w:rPr>
              <w:t>38</w:t>
            </w:r>
          </w:p>
        </w:tc>
        <w:tc>
          <w:tcPr>
            <w:tcW w:w="297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378CBBF"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48</w:t>
            </w:r>
          </w:p>
        </w:tc>
      </w:tr>
      <w:tr w:rsidR="007A29BB" w:rsidRPr="00F87425" w14:paraId="249DBCA9" w14:textId="77777777" w:rsidTr="00DA3702">
        <w:trPr>
          <w:trHeight w:val="276"/>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D62BFC9" w14:textId="77777777" w:rsidR="007A29BB" w:rsidRPr="00E76EF0" w:rsidRDefault="007A29BB" w:rsidP="00DA3702">
            <w:pPr>
              <w:suppressAutoHyphens w:val="0"/>
              <w:spacing w:before="0" w:after="0"/>
              <w:jc w:val="center"/>
              <w:textAlignment w:val="auto"/>
              <w:rPr>
                <w:rFonts w:eastAsia="Times New Roman"/>
                <w:lang w:val="es-ES"/>
              </w:rPr>
            </w:pPr>
            <w:r w:rsidRPr="00E76EF0">
              <w:rPr>
                <w:rFonts w:eastAsia="Times New Roman"/>
                <w:lang w:val="es-ES"/>
              </w:rPr>
              <w:t>P ≤ 7</w:t>
            </w:r>
          </w:p>
        </w:tc>
        <w:tc>
          <w:tcPr>
            <w:tcW w:w="2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06462AD" w14:textId="77777777" w:rsidR="007A29BB" w:rsidRDefault="007A29BB" w:rsidP="00DA3702">
            <w:pPr>
              <w:suppressAutoHyphens w:val="0"/>
              <w:spacing w:before="0" w:after="0"/>
              <w:jc w:val="center"/>
              <w:textAlignment w:val="auto"/>
              <w:rPr>
                <w:rFonts w:eastAsia="Times New Roman"/>
                <w:lang w:val="es-ES"/>
              </w:rPr>
            </w:pPr>
            <w:r>
              <w:rPr>
                <w:rFonts w:eastAsia="Times New Roman"/>
                <w:lang w:val="es-ES"/>
              </w:rPr>
              <w:t>35</w:t>
            </w:r>
          </w:p>
        </w:tc>
        <w:tc>
          <w:tcPr>
            <w:tcW w:w="297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62A6CD4"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45</w:t>
            </w:r>
          </w:p>
        </w:tc>
      </w:tr>
    </w:tbl>
    <w:p w14:paraId="525B6959" w14:textId="77777777" w:rsidR="007A29BB" w:rsidRDefault="007A29BB" w:rsidP="007A29BB">
      <w:pPr>
        <w:pStyle w:val="ListParagraph"/>
        <w:suppressAutoHyphens w:val="0"/>
        <w:ind w:left="0"/>
        <w:rPr>
          <w:lang w:val="es-ES"/>
        </w:rPr>
      </w:pPr>
    </w:p>
    <w:p w14:paraId="17E55FE3" w14:textId="77777777" w:rsidR="007A29BB" w:rsidRDefault="007A29BB" w:rsidP="007A29BB">
      <w:pPr>
        <w:pStyle w:val="Caption"/>
        <w:spacing w:after="0"/>
        <w:rPr>
          <w:lang w:val="es-ES"/>
        </w:rPr>
      </w:pPr>
      <w:r w:rsidRPr="00813629">
        <w:rPr>
          <w:lang w:val="es-ES"/>
        </w:rPr>
        <w:t>PROY-NOM-028-ENER-2017</w:t>
      </w:r>
      <w:r w:rsidRPr="00F63609">
        <w:rPr>
          <w:lang w:val="es-ES"/>
        </w:rPr>
        <w:t>: Lámparas para uso general</w:t>
      </w:r>
    </w:p>
    <w:p w14:paraId="559C5829" w14:textId="77777777" w:rsidR="007A29BB" w:rsidRDefault="007A29BB" w:rsidP="007A29BB">
      <w:pPr>
        <w:pStyle w:val="Caption"/>
        <w:spacing w:after="0"/>
        <w:rPr>
          <w:lang w:val="es-ES"/>
        </w:rPr>
      </w:pPr>
      <w:r w:rsidRPr="00F63609">
        <w:rPr>
          <w:lang w:val="es-ES"/>
        </w:rPr>
        <w:t xml:space="preserve">Valores mínimos de eficacia para lámparas incandescentes, incandescentes con halógenos </w:t>
      </w:r>
      <w:r>
        <w:rPr>
          <w:lang w:val="es-ES"/>
        </w:rPr>
        <w:t>de espectro general.</w:t>
      </w:r>
    </w:p>
    <w:p w14:paraId="69EF0EC9" w14:textId="42911D20" w:rsidR="007A29BB" w:rsidRDefault="007A29BB" w:rsidP="007A29BB">
      <w:pPr>
        <w:spacing w:before="0" w:after="140"/>
        <w:jc w:val="center"/>
        <w:rPr>
          <w:rFonts w:cstheme="minorHAnsi"/>
          <w:color w:val="002B7F"/>
          <w:sz w:val="18"/>
          <w:lang w:val="es-PA"/>
        </w:rPr>
      </w:pPr>
      <w:r w:rsidRPr="00A96F74">
        <w:rPr>
          <w:i/>
          <w:color w:val="002B7F"/>
          <w:sz w:val="18"/>
          <w:lang w:val="es-ES"/>
        </w:rPr>
        <w:t>Fuente:</w:t>
      </w:r>
      <w:r w:rsidRPr="00E2630F">
        <w:rPr>
          <w:lang w:val="es-ES"/>
        </w:rPr>
        <w:t xml:space="preserve"> </w:t>
      </w:r>
      <w:r w:rsidRPr="00E2630F">
        <w:rPr>
          <w:rFonts w:cstheme="minorHAnsi"/>
          <w:color w:val="002B7F"/>
          <w:sz w:val="18"/>
          <w:lang w:val="es-PA"/>
        </w:rPr>
        <w:t xml:space="preserve">Elaboración propia en base de </w:t>
      </w:r>
      <w:r w:rsidRPr="00813629">
        <w:rPr>
          <w:rFonts w:cstheme="minorHAnsi"/>
          <w:color w:val="002B7F"/>
          <w:sz w:val="18"/>
          <w:lang w:val="es-PA"/>
        </w:rPr>
        <w:t>PROY-NOM-028-ENER-2017</w:t>
      </w:r>
      <w:r w:rsidR="00813629">
        <w:rPr>
          <w:rFonts w:cstheme="minorHAnsi"/>
          <w:color w:val="002B7F"/>
          <w:sz w:val="18"/>
          <w:lang w:val="es-PA"/>
        </w:rPr>
        <w:t>, NOM-028-ENER-201</w:t>
      </w:r>
      <w:r w:rsidR="005A199A">
        <w:rPr>
          <w:rFonts w:cstheme="minorHAnsi"/>
          <w:color w:val="002B7F"/>
          <w:sz w:val="18"/>
          <w:lang w:val="es-PA"/>
        </w:rPr>
        <w:t>7</w:t>
      </w:r>
    </w:p>
    <w:tbl>
      <w:tblPr>
        <w:tblW w:w="5000" w:type="pct"/>
        <w:jc w:val="center"/>
        <w:tblCellMar>
          <w:left w:w="10" w:type="dxa"/>
          <w:right w:w="10" w:type="dxa"/>
        </w:tblCellMar>
        <w:tblLook w:val="0000" w:firstRow="0" w:lastRow="0" w:firstColumn="0" w:lastColumn="0" w:noHBand="0" w:noVBand="0"/>
      </w:tblPr>
      <w:tblGrid>
        <w:gridCol w:w="2544"/>
        <w:gridCol w:w="2126"/>
        <w:gridCol w:w="1985"/>
        <w:gridCol w:w="1841"/>
      </w:tblGrid>
      <w:tr w:rsidR="007A29BB" w:rsidRPr="00130C34" w14:paraId="64A29358" w14:textId="77777777" w:rsidTr="00DA3702">
        <w:trPr>
          <w:jc w:val="center"/>
        </w:trPr>
        <w:tc>
          <w:tcPr>
            <w:tcW w:w="2544"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13171275" w14:textId="77777777" w:rsidR="007A29BB" w:rsidRPr="00130C34" w:rsidRDefault="007A29BB" w:rsidP="00DA3702">
            <w:pPr>
              <w:suppressAutoHyphens w:val="0"/>
              <w:spacing w:before="0" w:after="0"/>
              <w:jc w:val="center"/>
              <w:textAlignment w:val="auto"/>
              <w:rPr>
                <w:rFonts w:eastAsia="Times New Roman"/>
                <w:b/>
                <w:color w:val="FFFFFF" w:themeColor="background1"/>
                <w:lang w:val="es-ES"/>
              </w:rPr>
            </w:pPr>
            <w:r>
              <w:rPr>
                <w:rFonts w:eastAsia="Times New Roman"/>
                <w:b/>
                <w:color w:val="FFFFFF" w:themeColor="background1"/>
                <w:lang w:val="es-ES"/>
              </w:rPr>
              <w:t>Intervalo de flujo luminoso (lm)</w:t>
            </w:r>
          </w:p>
        </w:tc>
        <w:tc>
          <w:tcPr>
            <w:tcW w:w="2126" w:type="dxa"/>
            <w:tcBorders>
              <w:top w:val="single" w:sz="6" w:space="0" w:color="5B9BD5"/>
              <w:bottom w:val="single" w:sz="6" w:space="0" w:color="5B9BD5"/>
            </w:tcBorders>
            <w:shd w:val="clear" w:color="auto" w:fill="5B9BD5"/>
            <w:tcMar>
              <w:top w:w="0" w:type="dxa"/>
              <w:left w:w="108" w:type="dxa"/>
              <w:bottom w:w="0" w:type="dxa"/>
              <w:right w:w="108" w:type="dxa"/>
            </w:tcMar>
          </w:tcPr>
          <w:p w14:paraId="772BD962" w14:textId="77777777" w:rsidR="007A29BB" w:rsidRDefault="007A29BB" w:rsidP="00DA3702">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Potencia máxima permitida</w:t>
            </w:r>
          </w:p>
          <w:p w14:paraId="683F7E5C" w14:textId="77777777" w:rsidR="007A29BB" w:rsidRPr="00130C34" w:rsidRDefault="007A29BB" w:rsidP="00DA3702">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Lámparas de halógenos (W)</w:t>
            </w:r>
          </w:p>
        </w:tc>
        <w:tc>
          <w:tcPr>
            <w:tcW w:w="1985" w:type="dxa"/>
            <w:tcBorders>
              <w:top w:val="single" w:sz="6" w:space="0" w:color="5B9BD5"/>
              <w:bottom w:val="single" w:sz="6" w:space="0" w:color="5B9BD5"/>
            </w:tcBorders>
            <w:shd w:val="clear" w:color="auto" w:fill="5B9BD5"/>
            <w:tcMar>
              <w:top w:w="0" w:type="dxa"/>
              <w:left w:w="108" w:type="dxa"/>
              <w:bottom w:w="0" w:type="dxa"/>
              <w:right w:w="108" w:type="dxa"/>
            </w:tcMar>
          </w:tcPr>
          <w:p w14:paraId="66DF6FB4" w14:textId="77777777" w:rsidR="007A29BB" w:rsidRDefault="007A29BB" w:rsidP="00DA3702">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Intervalo de potencia permitida</w:t>
            </w:r>
          </w:p>
          <w:p w14:paraId="24CD35E4" w14:textId="77777777" w:rsidR="007A29BB" w:rsidRPr="00130C34" w:rsidRDefault="007A29BB" w:rsidP="00DA3702">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Lámparas de incandescentes (W)</w:t>
            </w:r>
          </w:p>
        </w:tc>
        <w:tc>
          <w:tcPr>
            <w:tcW w:w="1841" w:type="dxa"/>
            <w:tcBorders>
              <w:top w:val="single" w:sz="6" w:space="0" w:color="5B9BD5"/>
              <w:bottom w:val="single" w:sz="6" w:space="0" w:color="5B9BD5"/>
            </w:tcBorders>
            <w:shd w:val="clear" w:color="auto" w:fill="5B9BD5"/>
          </w:tcPr>
          <w:p w14:paraId="6F993C13" w14:textId="77777777" w:rsidR="007A29BB" w:rsidRPr="00130C34" w:rsidRDefault="007A29BB" w:rsidP="00DA3702">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Eficacia luminosa (lm/W)</w:t>
            </w:r>
          </w:p>
        </w:tc>
      </w:tr>
      <w:tr w:rsidR="007A29BB" w:rsidRPr="001F1C6F" w14:paraId="131E60EA" w14:textId="77777777" w:rsidTr="00DA3702">
        <w:trPr>
          <w:jc w:val="center"/>
        </w:trPr>
        <w:tc>
          <w:tcPr>
            <w:tcW w:w="2544"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BFB8D48" w14:textId="31061983" w:rsidR="007A29BB" w:rsidRPr="00130C34" w:rsidRDefault="00813629" w:rsidP="00813629">
            <w:pPr>
              <w:suppressAutoHyphens w:val="0"/>
              <w:spacing w:before="0" w:after="0"/>
              <w:jc w:val="center"/>
              <w:textAlignment w:val="auto"/>
              <w:rPr>
                <w:rFonts w:eastAsia="Times New Roman"/>
                <w:lang w:val="es-ES"/>
              </w:rPr>
            </w:pPr>
            <w:r w:rsidRPr="00713C53">
              <w:rPr>
                <w:rFonts w:eastAsia="Times New Roman"/>
                <w:lang w:val="es-ES"/>
              </w:rPr>
              <w:t>&lt; 750</w:t>
            </w:r>
            <w:r w:rsidR="00713C53">
              <w:rPr>
                <w:rFonts w:eastAsia="Times New Roman"/>
                <w:lang w:val="es-ES"/>
              </w:rPr>
              <w:t xml:space="preserve"> *)</w:t>
            </w:r>
          </w:p>
        </w:tc>
        <w:tc>
          <w:tcPr>
            <w:tcW w:w="2126"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C67D5BB"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29</w:t>
            </w:r>
          </w:p>
        </w:tc>
        <w:tc>
          <w:tcPr>
            <w:tcW w:w="198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67F20DB" w14:textId="520D94DA" w:rsidR="007A29BB" w:rsidRPr="00130C34" w:rsidRDefault="00713C53" w:rsidP="00713C53">
            <w:pPr>
              <w:suppressAutoHyphens w:val="0"/>
              <w:spacing w:before="0" w:after="0"/>
              <w:jc w:val="center"/>
              <w:textAlignment w:val="auto"/>
              <w:rPr>
                <w:rFonts w:eastAsia="Times New Roman"/>
                <w:lang w:val="es-ES"/>
              </w:rPr>
            </w:pPr>
            <w:r w:rsidRPr="00713C53">
              <w:rPr>
                <w:rFonts w:eastAsia="Times New Roman"/>
                <w:lang w:val="es-ES"/>
              </w:rPr>
              <w:t>≤</w:t>
            </w:r>
            <w:r>
              <w:rPr>
                <w:rFonts w:eastAsia="Times New Roman"/>
                <w:lang w:val="es-ES"/>
              </w:rPr>
              <w:t xml:space="preserve"> </w:t>
            </w:r>
            <w:r w:rsidR="007A29BB" w:rsidRPr="00713C53">
              <w:rPr>
                <w:rFonts w:eastAsia="Times New Roman"/>
                <w:lang w:val="es-ES"/>
              </w:rPr>
              <w:t>40</w:t>
            </w:r>
            <w:r>
              <w:rPr>
                <w:rFonts w:eastAsia="Times New Roman"/>
                <w:lang w:val="es-ES"/>
              </w:rPr>
              <w:t xml:space="preserve"> *)</w:t>
            </w:r>
          </w:p>
        </w:tc>
        <w:tc>
          <w:tcPr>
            <w:tcW w:w="1841" w:type="dxa"/>
            <w:tcBorders>
              <w:top w:val="single" w:sz="6" w:space="0" w:color="9CC2E5"/>
              <w:left w:val="single" w:sz="6" w:space="0" w:color="9CC2E5"/>
              <w:bottom w:val="single" w:sz="6" w:space="0" w:color="9CC2E5"/>
              <w:right w:val="single" w:sz="6" w:space="0" w:color="9CC2E5"/>
            </w:tcBorders>
          </w:tcPr>
          <w:p w14:paraId="561C34B1"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14,00</w:t>
            </w:r>
          </w:p>
        </w:tc>
      </w:tr>
      <w:tr w:rsidR="007A29BB" w:rsidRPr="001F1C6F" w14:paraId="5847D668" w14:textId="77777777" w:rsidTr="00DA3702">
        <w:trPr>
          <w:jc w:val="center"/>
        </w:trPr>
        <w:tc>
          <w:tcPr>
            <w:tcW w:w="2544"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F78B918"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 xml:space="preserve">750 </w:t>
            </w:r>
            <w:r w:rsidRPr="00D534CE">
              <w:rPr>
                <w:rFonts w:eastAsia="Times New Roman"/>
                <w:lang w:val="es-ES"/>
              </w:rPr>
              <w:t>–</w:t>
            </w:r>
            <w:r>
              <w:rPr>
                <w:rFonts w:eastAsia="Times New Roman"/>
                <w:lang w:val="es-ES"/>
              </w:rPr>
              <w:t xml:space="preserve"> 1049</w:t>
            </w:r>
          </w:p>
        </w:tc>
        <w:tc>
          <w:tcPr>
            <w:tcW w:w="2126"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5617728"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43</w:t>
            </w:r>
          </w:p>
        </w:tc>
        <w:tc>
          <w:tcPr>
            <w:tcW w:w="198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724FE2B"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&gt; 40</w:t>
            </w:r>
            <w:r w:rsidRPr="00D534CE">
              <w:rPr>
                <w:rFonts w:eastAsia="Times New Roman"/>
                <w:lang w:val="es-ES"/>
              </w:rPr>
              <w:t xml:space="preserve"> – </w:t>
            </w:r>
            <w:r>
              <w:rPr>
                <w:rFonts w:eastAsia="Times New Roman"/>
                <w:lang w:val="es-ES"/>
              </w:rPr>
              <w:t>60</w:t>
            </w:r>
          </w:p>
        </w:tc>
        <w:tc>
          <w:tcPr>
            <w:tcW w:w="1841" w:type="dxa"/>
            <w:tcBorders>
              <w:top w:val="single" w:sz="6" w:space="0" w:color="9CC2E5"/>
              <w:left w:val="single" w:sz="6" w:space="0" w:color="9CC2E5"/>
              <w:bottom w:val="single" w:sz="6" w:space="0" w:color="9CC2E5"/>
              <w:right w:val="single" w:sz="6" w:space="0" w:color="9CC2E5"/>
            </w:tcBorders>
            <w:shd w:val="clear" w:color="auto" w:fill="DEEAF6"/>
          </w:tcPr>
          <w:p w14:paraId="513779C8"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17,44</w:t>
            </w:r>
          </w:p>
        </w:tc>
      </w:tr>
      <w:tr w:rsidR="007A29BB" w:rsidRPr="001F1C6F" w14:paraId="6D20EBF5" w14:textId="77777777" w:rsidTr="00DA3702">
        <w:trPr>
          <w:trHeight w:val="242"/>
          <w:jc w:val="center"/>
        </w:trPr>
        <w:tc>
          <w:tcPr>
            <w:tcW w:w="2544"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56F92B12"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 xml:space="preserve">1050 </w:t>
            </w:r>
            <w:r w:rsidRPr="00D534CE">
              <w:rPr>
                <w:rFonts w:eastAsia="Times New Roman"/>
                <w:lang w:val="es-ES"/>
              </w:rPr>
              <w:t>–</w:t>
            </w:r>
            <w:r>
              <w:rPr>
                <w:rFonts w:eastAsia="Times New Roman"/>
                <w:lang w:val="es-ES"/>
              </w:rPr>
              <w:t xml:space="preserve"> 1489</w:t>
            </w:r>
          </w:p>
        </w:tc>
        <w:tc>
          <w:tcPr>
            <w:tcW w:w="2126"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2FF642D5"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53</w:t>
            </w:r>
          </w:p>
        </w:tc>
        <w:tc>
          <w:tcPr>
            <w:tcW w:w="1985"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156EB16F"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&gt; 60</w:t>
            </w:r>
            <w:r w:rsidRPr="00D534CE">
              <w:rPr>
                <w:rFonts w:eastAsia="Times New Roman"/>
                <w:lang w:val="es-ES"/>
              </w:rPr>
              <w:t xml:space="preserve"> – </w:t>
            </w:r>
            <w:r>
              <w:rPr>
                <w:rFonts w:eastAsia="Times New Roman"/>
                <w:lang w:val="es-ES"/>
              </w:rPr>
              <w:t>75</w:t>
            </w:r>
          </w:p>
        </w:tc>
        <w:tc>
          <w:tcPr>
            <w:tcW w:w="1841" w:type="dxa"/>
            <w:tcBorders>
              <w:top w:val="single" w:sz="6" w:space="0" w:color="9CC2E5"/>
              <w:left w:val="single" w:sz="6" w:space="0" w:color="9CC2E5"/>
              <w:bottom w:val="single" w:sz="6" w:space="0" w:color="9CC2E5"/>
              <w:right w:val="single" w:sz="6" w:space="0" w:color="9CC2E5"/>
            </w:tcBorders>
          </w:tcPr>
          <w:p w14:paraId="5299B0D0"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19,81</w:t>
            </w:r>
          </w:p>
        </w:tc>
      </w:tr>
      <w:tr w:rsidR="007A29BB" w:rsidRPr="001F1C6F" w14:paraId="69C3DB25" w14:textId="77777777" w:rsidTr="00DA3702">
        <w:trPr>
          <w:trHeight w:val="276"/>
          <w:jc w:val="center"/>
        </w:trPr>
        <w:tc>
          <w:tcPr>
            <w:tcW w:w="2544"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3091263" w14:textId="6E144180" w:rsidR="007A29BB" w:rsidRPr="00130C34" w:rsidRDefault="00813629" w:rsidP="00713C53">
            <w:pPr>
              <w:suppressAutoHyphens w:val="0"/>
              <w:spacing w:before="0" w:after="0"/>
              <w:jc w:val="center"/>
              <w:textAlignment w:val="auto"/>
              <w:rPr>
                <w:rFonts w:eastAsia="Times New Roman"/>
                <w:lang w:val="es-ES"/>
              </w:rPr>
            </w:pPr>
            <w:r w:rsidRPr="00813629">
              <w:rPr>
                <w:rFonts w:eastAsia="Times New Roman"/>
                <w:lang w:val="es-ES"/>
              </w:rPr>
              <w:t>≥</w:t>
            </w:r>
            <w:r>
              <w:rPr>
                <w:rFonts w:eastAsia="Times New Roman"/>
                <w:lang w:val="es-ES"/>
              </w:rPr>
              <w:t xml:space="preserve"> </w:t>
            </w:r>
            <w:r w:rsidR="007A29BB" w:rsidRPr="00713C53">
              <w:rPr>
                <w:rFonts w:eastAsia="Times New Roman"/>
                <w:lang w:val="es-ES"/>
              </w:rPr>
              <w:t>1490</w:t>
            </w:r>
            <w:r w:rsidR="00713C53">
              <w:rPr>
                <w:rFonts w:eastAsia="Times New Roman"/>
                <w:lang w:val="es-ES"/>
              </w:rPr>
              <w:t xml:space="preserve"> *)</w:t>
            </w:r>
          </w:p>
        </w:tc>
        <w:tc>
          <w:tcPr>
            <w:tcW w:w="2126"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E132786"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72</w:t>
            </w:r>
          </w:p>
        </w:tc>
        <w:tc>
          <w:tcPr>
            <w:tcW w:w="198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FE00511"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&gt; 75</w:t>
            </w:r>
          </w:p>
        </w:tc>
        <w:tc>
          <w:tcPr>
            <w:tcW w:w="1841" w:type="dxa"/>
            <w:tcBorders>
              <w:top w:val="single" w:sz="6" w:space="0" w:color="9CC2E5"/>
              <w:left w:val="single" w:sz="6" w:space="0" w:color="9CC2E5"/>
              <w:bottom w:val="single" w:sz="6" w:space="0" w:color="9CC2E5"/>
              <w:right w:val="single" w:sz="6" w:space="0" w:color="9CC2E5"/>
            </w:tcBorders>
            <w:shd w:val="clear" w:color="auto" w:fill="DEEAF6"/>
          </w:tcPr>
          <w:p w14:paraId="402F184B"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20,69</w:t>
            </w:r>
          </w:p>
        </w:tc>
      </w:tr>
    </w:tbl>
    <w:p w14:paraId="19BB1BD8" w14:textId="77837649" w:rsidR="007A29BB" w:rsidRPr="0011646A" w:rsidRDefault="00813629" w:rsidP="00813629">
      <w:pPr>
        <w:pStyle w:val="ListParagraph"/>
        <w:suppressAutoHyphens w:val="0"/>
        <w:spacing w:before="0" w:after="0"/>
        <w:ind w:left="0"/>
        <w:rPr>
          <w:lang w:val="es-PA"/>
        </w:rPr>
      </w:pPr>
      <w:r w:rsidRPr="00372406">
        <w:rPr>
          <w:sz w:val="20"/>
          <w:szCs w:val="20"/>
          <w:lang w:val="es-ES"/>
        </w:rPr>
        <w:t xml:space="preserve">*) </w:t>
      </w:r>
      <w:r w:rsidR="00713C53">
        <w:rPr>
          <w:sz w:val="20"/>
          <w:szCs w:val="20"/>
          <w:lang w:val="es-ES"/>
        </w:rPr>
        <w:t>Rangos</w:t>
      </w:r>
      <w:r>
        <w:rPr>
          <w:sz w:val="20"/>
          <w:szCs w:val="20"/>
          <w:lang w:val="es-ES"/>
        </w:rPr>
        <w:t xml:space="preserve"> actualizados de acuerdo a NOM-028-ENER-201</w:t>
      </w:r>
      <w:r w:rsidR="005A199A">
        <w:rPr>
          <w:sz w:val="20"/>
          <w:szCs w:val="20"/>
          <w:lang w:val="es-ES"/>
        </w:rPr>
        <w:t>7</w:t>
      </w:r>
      <w:r>
        <w:rPr>
          <w:sz w:val="20"/>
          <w:szCs w:val="20"/>
          <w:lang w:val="es-ES"/>
        </w:rPr>
        <w:t xml:space="preserve">   </w:t>
      </w:r>
    </w:p>
    <w:p w14:paraId="3A27FB8B" w14:textId="77777777" w:rsidR="007A29BB" w:rsidRDefault="007A29BB" w:rsidP="007A29BB">
      <w:pPr>
        <w:pStyle w:val="ListParagraph"/>
        <w:suppressAutoHyphens w:val="0"/>
        <w:ind w:left="0"/>
        <w:rPr>
          <w:lang w:val="es-ES"/>
        </w:rPr>
      </w:pPr>
    </w:p>
    <w:p w14:paraId="2AE9E7AD" w14:textId="77777777" w:rsidR="007A29BB" w:rsidRDefault="007A29BB" w:rsidP="007A29BB">
      <w:pPr>
        <w:pStyle w:val="Caption"/>
        <w:spacing w:after="0"/>
        <w:rPr>
          <w:lang w:val="es-ES"/>
        </w:rPr>
      </w:pPr>
      <w:r w:rsidRPr="00713C53">
        <w:rPr>
          <w:lang w:val="es-ES"/>
        </w:rPr>
        <w:t>PROY-NOM-028-ENER-2017:</w:t>
      </w:r>
      <w:r w:rsidRPr="00F63609">
        <w:rPr>
          <w:lang w:val="es-ES"/>
        </w:rPr>
        <w:t xml:space="preserve"> Lámparas para uso general</w:t>
      </w:r>
    </w:p>
    <w:p w14:paraId="6A69AC11" w14:textId="77777777" w:rsidR="007A29BB" w:rsidRDefault="007A29BB" w:rsidP="007A29BB">
      <w:pPr>
        <w:pStyle w:val="Caption"/>
        <w:spacing w:after="0"/>
        <w:rPr>
          <w:lang w:val="es-ES"/>
        </w:rPr>
      </w:pPr>
      <w:r w:rsidRPr="00F63609">
        <w:rPr>
          <w:lang w:val="es-ES"/>
        </w:rPr>
        <w:t xml:space="preserve">Valores mínimos de eficacia para lámparas incandescentes, incandescentes con halógenos </w:t>
      </w:r>
      <w:r>
        <w:rPr>
          <w:lang w:val="es-ES"/>
        </w:rPr>
        <w:t>de espectro general y modificado, a partir de 1 de enero de 2019</w:t>
      </w:r>
    </w:p>
    <w:p w14:paraId="72FAE84E" w14:textId="77777777" w:rsidR="007A29BB" w:rsidRDefault="007A29BB" w:rsidP="007A29BB">
      <w:pPr>
        <w:spacing w:before="0" w:after="140"/>
        <w:jc w:val="center"/>
        <w:rPr>
          <w:rFonts w:cstheme="minorHAnsi"/>
          <w:color w:val="002B7F"/>
          <w:sz w:val="18"/>
          <w:lang w:val="es-PA"/>
        </w:rPr>
      </w:pPr>
      <w:r w:rsidRPr="00A96F74">
        <w:rPr>
          <w:i/>
          <w:color w:val="002B7F"/>
          <w:sz w:val="18"/>
          <w:lang w:val="es-ES"/>
        </w:rPr>
        <w:t>Fuente:</w:t>
      </w:r>
      <w:r w:rsidRPr="00E2630F">
        <w:rPr>
          <w:lang w:val="es-ES"/>
        </w:rPr>
        <w:t xml:space="preserve"> </w:t>
      </w:r>
      <w:r w:rsidRPr="00E2630F">
        <w:rPr>
          <w:rFonts w:cstheme="minorHAnsi"/>
          <w:color w:val="002B7F"/>
          <w:sz w:val="18"/>
          <w:lang w:val="es-PA"/>
        </w:rPr>
        <w:t xml:space="preserve">Elaboración propia en base de </w:t>
      </w:r>
      <w:r>
        <w:rPr>
          <w:rFonts w:cstheme="minorHAnsi"/>
          <w:color w:val="002B7F"/>
          <w:sz w:val="18"/>
          <w:lang w:val="es-PA"/>
        </w:rPr>
        <w:t>PROY-NOM-028-ENER-2017</w:t>
      </w:r>
    </w:p>
    <w:tbl>
      <w:tblPr>
        <w:tblW w:w="3833" w:type="pct"/>
        <w:jc w:val="center"/>
        <w:tblCellMar>
          <w:left w:w="10" w:type="dxa"/>
          <w:right w:w="10" w:type="dxa"/>
        </w:tblCellMar>
        <w:tblLook w:val="0000" w:firstRow="0" w:lastRow="0" w:firstColumn="0" w:lastColumn="0" w:noHBand="0" w:noVBand="0"/>
      </w:tblPr>
      <w:tblGrid>
        <w:gridCol w:w="4251"/>
        <w:gridCol w:w="2268"/>
      </w:tblGrid>
      <w:tr w:rsidR="007A29BB" w:rsidRPr="006C6495" w14:paraId="2402D674" w14:textId="77777777" w:rsidTr="00DA3702">
        <w:trPr>
          <w:jc w:val="center"/>
        </w:trPr>
        <w:tc>
          <w:tcPr>
            <w:tcW w:w="4251" w:type="dxa"/>
            <w:tcBorders>
              <w:top w:val="single" w:sz="6" w:space="0" w:color="5B9BD5"/>
              <w:bottom w:val="single" w:sz="6" w:space="0" w:color="5B9BD5"/>
            </w:tcBorders>
            <w:shd w:val="clear" w:color="auto" w:fill="5B9BD5"/>
            <w:tcMar>
              <w:top w:w="0" w:type="dxa"/>
              <w:left w:w="108" w:type="dxa"/>
              <w:bottom w:w="0" w:type="dxa"/>
              <w:right w:w="108" w:type="dxa"/>
            </w:tcMar>
          </w:tcPr>
          <w:p w14:paraId="1EAEFA44" w14:textId="77777777" w:rsidR="007A29BB" w:rsidRPr="00F87425" w:rsidRDefault="007A29BB" w:rsidP="00DA3702">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Intervalo flujo luminoso nominal (lm)</w:t>
            </w:r>
          </w:p>
        </w:tc>
        <w:tc>
          <w:tcPr>
            <w:tcW w:w="2268" w:type="dxa"/>
            <w:tcBorders>
              <w:top w:val="single" w:sz="6" w:space="0" w:color="5B9BD5"/>
              <w:bottom w:val="single" w:sz="6" w:space="0" w:color="5B9BD5"/>
            </w:tcBorders>
            <w:shd w:val="clear" w:color="auto" w:fill="5B9BD5"/>
            <w:tcMar>
              <w:top w:w="0" w:type="dxa"/>
              <w:left w:w="108" w:type="dxa"/>
              <w:bottom w:w="0" w:type="dxa"/>
              <w:right w:w="108" w:type="dxa"/>
            </w:tcMar>
          </w:tcPr>
          <w:p w14:paraId="39C3B4FB" w14:textId="77777777" w:rsidR="007A29BB" w:rsidRPr="00F87425" w:rsidRDefault="007A29BB" w:rsidP="00DA3702">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Eficacia mínima (lm/W)</w:t>
            </w:r>
          </w:p>
        </w:tc>
      </w:tr>
      <w:tr w:rsidR="007A29BB" w:rsidRPr="00F87425" w14:paraId="4A1B1659" w14:textId="77777777" w:rsidTr="00DA3702">
        <w:trPr>
          <w:jc w:val="center"/>
        </w:trPr>
        <w:tc>
          <w:tcPr>
            <w:tcW w:w="42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BE9EEBE" w14:textId="77777777" w:rsidR="007A29BB" w:rsidRPr="00F87425" w:rsidRDefault="007A29BB" w:rsidP="00DA3702">
            <w:pPr>
              <w:suppressAutoHyphens w:val="0"/>
              <w:spacing w:before="0" w:after="0"/>
              <w:jc w:val="center"/>
              <w:textAlignment w:val="auto"/>
              <w:rPr>
                <w:rFonts w:eastAsia="Times New Roman"/>
                <w:lang w:val="es-ES"/>
              </w:rPr>
            </w:pPr>
            <w:r w:rsidRPr="0089509A">
              <w:rPr>
                <w:rFonts w:eastAsia="Times New Roman"/>
                <w:lang w:val="es-ES"/>
              </w:rPr>
              <w:t xml:space="preserve">φ ≤ </w:t>
            </w:r>
            <w:r>
              <w:rPr>
                <w:rFonts w:eastAsia="Times New Roman"/>
                <w:lang w:val="es-ES"/>
              </w:rPr>
              <w:t>562</w:t>
            </w:r>
          </w:p>
        </w:tc>
        <w:tc>
          <w:tcPr>
            <w:tcW w:w="226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878B740"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60</w:t>
            </w:r>
          </w:p>
        </w:tc>
      </w:tr>
      <w:tr w:rsidR="007A29BB" w:rsidRPr="00F87425" w14:paraId="2E81EC4D" w14:textId="77777777" w:rsidTr="00DA3702">
        <w:trPr>
          <w:jc w:val="center"/>
        </w:trPr>
        <w:tc>
          <w:tcPr>
            <w:tcW w:w="42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C35372A" w14:textId="77777777" w:rsidR="007A29BB" w:rsidRPr="00F87425" w:rsidRDefault="007A29BB" w:rsidP="00DA3702">
            <w:pPr>
              <w:suppressAutoHyphens w:val="0"/>
              <w:spacing w:before="0" w:after="0"/>
              <w:jc w:val="center"/>
              <w:textAlignment w:val="auto"/>
              <w:rPr>
                <w:rFonts w:eastAsia="Times New Roman"/>
                <w:lang w:val="es-ES"/>
              </w:rPr>
            </w:pPr>
            <w:r w:rsidRPr="00372406">
              <w:rPr>
                <w:rFonts w:eastAsia="Times New Roman"/>
                <w:lang w:val="es-ES"/>
              </w:rPr>
              <w:t>562 &lt; φ ≤ 787</w:t>
            </w:r>
          </w:p>
        </w:tc>
        <w:tc>
          <w:tcPr>
            <w:tcW w:w="226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0921022"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60</w:t>
            </w:r>
          </w:p>
        </w:tc>
      </w:tr>
      <w:tr w:rsidR="007A29BB" w:rsidRPr="00F87425" w14:paraId="249DCA68" w14:textId="77777777" w:rsidTr="00DA3702">
        <w:trPr>
          <w:trHeight w:val="242"/>
          <w:jc w:val="center"/>
        </w:trPr>
        <w:tc>
          <w:tcPr>
            <w:tcW w:w="4251"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49531ADE" w14:textId="77777777" w:rsidR="007A29BB" w:rsidRPr="00F87425" w:rsidRDefault="007A29BB" w:rsidP="00DA3702">
            <w:pPr>
              <w:suppressAutoHyphens w:val="0"/>
              <w:spacing w:before="0" w:after="0"/>
              <w:jc w:val="center"/>
              <w:textAlignment w:val="auto"/>
              <w:rPr>
                <w:rFonts w:eastAsia="Times New Roman"/>
                <w:lang w:val="es-ES"/>
              </w:rPr>
            </w:pPr>
            <w:r w:rsidRPr="00372406">
              <w:rPr>
                <w:rFonts w:eastAsia="Times New Roman"/>
                <w:lang w:val="es-ES"/>
              </w:rPr>
              <w:t>787 &lt; φ ≤ 1117</w:t>
            </w:r>
          </w:p>
        </w:tc>
        <w:tc>
          <w:tcPr>
            <w:tcW w:w="2268"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143A88C6"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60</w:t>
            </w:r>
          </w:p>
        </w:tc>
      </w:tr>
      <w:tr w:rsidR="007A29BB" w:rsidRPr="00F87425" w14:paraId="0FAFE8BF" w14:textId="77777777" w:rsidTr="00DA3702">
        <w:trPr>
          <w:trHeight w:val="276"/>
          <w:jc w:val="center"/>
        </w:trPr>
        <w:tc>
          <w:tcPr>
            <w:tcW w:w="42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46AAD47" w14:textId="77777777" w:rsidR="007A29BB" w:rsidRPr="00F87425" w:rsidRDefault="007A29BB" w:rsidP="00DA3702">
            <w:pPr>
              <w:suppressAutoHyphens w:val="0"/>
              <w:spacing w:before="0" w:after="0"/>
              <w:jc w:val="center"/>
              <w:textAlignment w:val="auto"/>
              <w:rPr>
                <w:rFonts w:eastAsia="Times New Roman"/>
                <w:lang w:val="es-ES"/>
              </w:rPr>
            </w:pPr>
            <w:r w:rsidRPr="00372406">
              <w:rPr>
                <w:rFonts w:eastAsia="Times New Roman"/>
                <w:lang w:val="es-ES"/>
              </w:rPr>
              <w:t>1117 &lt; φ ≤ 1950</w:t>
            </w:r>
          </w:p>
        </w:tc>
        <w:tc>
          <w:tcPr>
            <w:tcW w:w="226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B867129"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60</w:t>
            </w:r>
          </w:p>
        </w:tc>
      </w:tr>
      <w:tr w:rsidR="007A29BB" w:rsidRPr="00F87425" w14:paraId="25860795" w14:textId="77777777" w:rsidTr="00DA3702">
        <w:trPr>
          <w:trHeight w:val="276"/>
          <w:jc w:val="center"/>
        </w:trPr>
        <w:tc>
          <w:tcPr>
            <w:tcW w:w="42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A80995D" w14:textId="27F90536" w:rsidR="007A29BB" w:rsidRPr="00F87425" w:rsidRDefault="00713C53" w:rsidP="00DA3702">
            <w:pPr>
              <w:suppressAutoHyphens w:val="0"/>
              <w:spacing w:before="0" w:after="0"/>
              <w:jc w:val="center"/>
              <w:textAlignment w:val="auto"/>
              <w:rPr>
                <w:rFonts w:eastAsia="Times New Roman"/>
                <w:lang w:val="es-ES"/>
              </w:rPr>
            </w:pPr>
            <w:r w:rsidRPr="00713C53">
              <w:rPr>
                <w:rFonts w:eastAsia="Times New Roman"/>
                <w:lang w:val="es-ES"/>
              </w:rPr>
              <w:t xml:space="preserve">φ </w:t>
            </w:r>
            <w:r w:rsidR="007A29BB" w:rsidRPr="00372406">
              <w:rPr>
                <w:rFonts w:eastAsia="Times New Roman"/>
                <w:lang w:val="es-ES"/>
              </w:rPr>
              <w:t>&gt; 1950</w:t>
            </w:r>
          </w:p>
        </w:tc>
        <w:tc>
          <w:tcPr>
            <w:tcW w:w="226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288648B"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60</w:t>
            </w:r>
          </w:p>
        </w:tc>
      </w:tr>
    </w:tbl>
    <w:p w14:paraId="21DDA5DD" w14:textId="77777777" w:rsidR="007A29BB" w:rsidRDefault="007A29BB" w:rsidP="007A29BB">
      <w:pPr>
        <w:pStyle w:val="ListParagraph"/>
        <w:suppressAutoHyphens w:val="0"/>
        <w:ind w:left="0"/>
        <w:rPr>
          <w:lang w:val="es-ES"/>
        </w:rPr>
      </w:pPr>
    </w:p>
    <w:p w14:paraId="4F30D4BE" w14:textId="77777777" w:rsidR="007A29BB" w:rsidRPr="00BF7375" w:rsidRDefault="007A29BB" w:rsidP="007A29BB">
      <w:pPr>
        <w:pStyle w:val="Caption"/>
        <w:spacing w:after="0"/>
        <w:rPr>
          <w:lang w:val="es-ES"/>
        </w:rPr>
      </w:pPr>
      <w:r w:rsidRPr="00BF7375">
        <w:rPr>
          <w:lang w:val="es-ES"/>
        </w:rPr>
        <w:t>NOM-028-ENER-2010: Lámparas fluorescentes lineales (T5, T8)</w:t>
      </w:r>
    </w:p>
    <w:p w14:paraId="1F5E657A" w14:textId="77777777" w:rsidR="007A29BB" w:rsidRPr="00A96F74" w:rsidRDefault="007A29BB" w:rsidP="007A29BB">
      <w:pPr>
        <w:spacing w:before="0" w:after="140"/>
        <w:jc w:val="center"/>
        <w:rPr>
          <w:color w:val="002B7F"/>
          <w:lang w:val="es-ES"/>
        </w:rPr>
      </w:pPr>
      <w:r w:rsidRPr="00A96F74">
        <w:rPr>
          <w:i/>
          <w:color w:val="002B7F"/>
          <w:sz w:val="18"/>
          <w:lang w:val="es-ES"/>
        </w:rPr>
        <w:t>Fuente:</w:t>
      </w:r>
      <w:r w:rsidRPr="00E2630F">
        <w:rPr>
          <w:lang w:val="es-ES"/>
        </w:rPr>
        <w:t xml:space="preserve"> </w:t>
      </w:r>
      <w:r w:rsidRPr="00E2630F">
        <w:rPr>
          <w:rFonts w:cstheme="minorHAnsi"/>
          <w:color w:val="002B7F"/>
          <w:sz w:val="18"/>
          <w:lang w:val="es-PA"/>
        </w:rPr>
        <w:t xml:space="preserve">Elaboración propia en base de </w:t>
      </w:r>
      <w:r>
        <w:rPr>
          <w:rFonts w:cstheme="minorHAnsi"/>
          <w:color w:val="002B7F"/>
          <w:sz w:val="18"/>
          <w:lang w:val="es-PA"/>
        </w:rPr>
        <w:t>NOM-028-ENER</w:t>
      </w:r>
      <w:r w:rsidRPr="00E2630F">
        <w:rPr>
          <w:rFonts w:cstheme="minorHAnsi"/>
          <w:color w:val="002B7F"/>
          <w:sz w:val="18"/>
          <w:lang w:val="es-PA"/>
        </w:rPr>
        <w:t>-</w:t>
      </w:r>
      <w:r>
        <w:rPr>
          <w:rFonts w:cstheme="minorHAnsi"/>
          <w:color w:val="002B7F"/>
          <w:sz w:val="18"/>
          <w:lang w:val="es-PA"/>
        </w:rPr>
        <w:t>2010</w:t>
      </w:r>
    </w:p>
    <w:tbl>
      <w:tblPr>
        <w:tblW w:w="4667" w:type="pct"/>
        <w:jc w:val="center"/>
        <w:tblCellMar>
          <w:left w:w="10" w:type="dxa"/>
          <w:right w:w="10" w:type="dxa"/>
        </w:tblCellMar>
        <w:tblLook w:val="0000" w:firstRow="0" w:lastRow="0" w:firstColumn="0" w:lastColumn="0" w:noHBand="0" w:noVBand="0"/>
      </w:tblPr>
      <w:tblGrid>
        <w:gridCol w:w="2827"/>
        <w:gridCol w:w="2268"/>
        <w:gridCol w:w="1418"/>
        <w:gridCol w:w="1417"/>
      </w:tblGrid>
      <w:tr w:rsidR="007A29BB" w:rsidRPr="006C6495" w14:paraId="3FF03114" w14:textId="77777777" w:rsidTr="00DA3702">
        <w:trPr>
          <w:jc w:val="center"/>
        </w:trPr>
        <w:tc>
          <w:tcPr>
            <w:tcW w:w="2827"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0367B4BE" w14:textId="77777777" w:rsidR="007A29BB" w:rsidRPr="00F87425" w:rsidRDefault="007A29BB" w:rsidP="00DA3702">
            <w:pPr>
              <w:suppressAutoHyphens w:val="0"/>
              <w:spacing w:before="0" w:after="0"/>
              <w:jc w:val="left"/>
              <w:textAlignment w:val="auto"/>
              <w:rPr>
                <w:rFonts w:eastAsia="Times New Roman"/>
                <w:b/>
                <w:color w:val="FFFFFF" w:themeColor="background1"/>
                <w:lang w:val="es-ES"/>
              </w:rPr>
            </w:pPr>
            <w:r>
              <w:rPr>
                <w:rFonts w:eastAsia="Times New Roman"/>
                <w:b/>
                <w:color w:val="FFFFFF" w:themeColor="background1"/>
                <w:lang w:val="es-ES"/>
              </w:rPr>
              <w:t>Tipo de lámpara</w:t>
            </w:r>
          </w:p>
        </w:tc>
        <w:tc>
          <w:tcPr>
            <w:tcW w:w="2268" w:type="dxa"/>
            <w:tcBorders>
              <w:top w:val="single" w:sz="6" w:space="0" w:color="5B9BD5"/>
              <w:bottom w:val="single" w:sz="6" w:space="0" w:color="5B9BD5"/>
            </w:tcBorders>
            <w:shd w:val="clear" w:color="auto" w:fill="5B9BD5"/>
            <w:tcMar>
              <w:top w:w="0" w:type="dxa"/>
              <w:left w:w="108" w:type="dxa"/>
              <w:bottom w:w="0" w:type="dxa"/>
              <w:right w:w="108" w:type="dxa"/>
            </w:tcMar>
          </w:tcPr>
          <w:p w14:paraId="3C8D9213" w14:textId="77777777" w:rsidR="007A29BB" w:rsidRPr="00F87425" w:rsidRDefault="007A29BB" w:rsidP="00DA3702">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 xml:space="preserve">Temperatura de color </w:t>
            </w:r>
          </w:p>
        </w:tc>
        <w:tc>
          <w:tcPr>
            <w:tcW w:w="2835" w:type="dxa"/>
            <w:gridSpan w:val="2"/>
            <w:tcBorders>
              <w:top w:val="single" w:sz="6" w:space="0" w:color="5B9BD5"/>
              <w:bottom w:val="single" w:sz="6" w:space="0" w:color="5B9BD5"/>
            </w:tcBorders>
            <w:shd w:val="clear" w:color="auto" w:fill="5B9BD5"/>
            <w:tcMar>
              <w:top w:w="0" w:type="dxa"/>
              <w:left w:w="108" w:type="dxa"/>
              <w:bottom w:w="0" w:type="dxa"/>
              <w:right w:w="108" w:type="dxa"/>
            </w:tcMar>
          </w:tcPr>
          <w:p w14:paraId="1E29AD75" w14:textId="77777777" w:rsidR="007A29BB" w:rsidRDefault="007A29BB" w:rsidP="00DA3702">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Eficacia mínima (lm/W) *)</w:t>
            </w:r>
          </w:p>
        </w:tc>
      </w:tr>
      <w:tr w:rsidR="007A29BB" w:rsidRPr="00F87425" w14:paraId="696DB74A" w14:textId="77777777" w:rsidTr="00DA3702">
        <w:trPr>
          <w:jc w:val="center"/>
        </w:trPr>
        <w:tc>
          <w:tcPr>
            <w:tcW w:w="2827" w:type="dxa"/>
            <w:tcBorders>
              <w:top w:val="single" w:sz="6" w:space="0" w:color="9CC2E5"/>
              <w:left w:val="single" w:sz="6" w:space="0" w:color="9CC2E5"/>
              <w:bottom w:val="single" w:sz="6" w:space="0" w:color="9CC2E5"/>
              <w:right w:val="single" w:sz="6" w:space="0" w:color="9CC2E5"/>
            </w:tcBorders>
            <w:shd w:val="clear" w:color="auto" w:fill="9CC2E5" w:themeFill="accent1" w:themeFillTint="99"/>
            <w:tcMar>
              <w:top w:w="0" w:type="dxa"/>
              <w:left w:w="108" w:type="dxa"/>
              <w:bottom w:w="0" w:type="dxa"/>
              <w:right w:w="108" w:type="dxa"/>
            </w:tcMar>
          </w:tcPr>
          <w:p w14:paraId="7C97A25B" w14:textId="77777777" w:rsidR="007A29BB" w:rsidRPr="00F87425" w:rsidRDefault="007A29BB" w:rsidP="00DA3702">
            <w:pPr>
              <w:suppressAutoHyphens w:val="0"/>
              <w:spacing w:before="0" w:after="0"/>
              <w:jc w:val="center"/>
              <w:textAlignment w:val="auto"/>
              <w:rPr>
                <w:rFonts w:eastAsia="Times New Roman"/>
                <w:lang w:val="es-ES"/>
              </w:rPr>
            </w:pPr>
          </w:p>
        </w:tc>
        <w:tc>
          <w:tcPr>
            <w:tcW w:w="2268" w:type="dxa"/>
            <w:tcBorders>
              <w:top w:val="single" w:sz="6" w:space="0" w:color="9CC2E5"/>
              <w:left w:val="single" w:sz="6" w:space="0" w:color="9CC2E5"/>
              <w:bottom w:val="single" w:sz="6" w:space="0" w:color="9CC2E5"/>
              <w:right w:val="single" w:sz="6" w:space="0" w:color="9CC2E5"/>
            </w:tcBorders>
            <w:shd w:val="clear" w:color="auto" w:fill="9CC2E5"/>
            <w:tcMar>
              <w:top w:w="0" w:type="dxa"/>
              <w:left w:w="108" w:type="dxa"/>
              <w:bottom w:w="0" w:type="dxa"/>
              <w:right w:w="108" w:type="dxa"/>
            </w:tcMar>
          </w:tcPr>
          <w:p w14:paraId="603C71F2" w14:textId="77777777" w:rsidR="007A29BB" w:rsidRDefault="007A29BB" w:rsidP="00DA3702">
            <w:pPr>
              <w:suppressAutoHyphens w:val="0"/>
              <w:spacing w:before="0" w:after="0"/>
              <w:jc w:val="center"/>
              <w:textAlignment w:val="auto"/>
              <w:rPr>
                <w:rFonts w:eastAsia="Times New Roman"/>
                <w:lang w:val="es-ES"/>
              </w:rPr>
            </w:pPr>
          </w:p>
        </w:tc>
        <w:tc>
          <w:tcPr>
            <w:tcW w:w="1418" w:type="dxa"/>
            <w:tcBorders>
              <w:top w:val="single" w:sz="6" w:space="0" w:color="9CC2E5"/>
              <w:left w:val="single" w:sz="6" w:space="0" w:color="9CC2E5"/>
              <w:bottom w:val="single" w:sz="6" w:space="0" w:color="9CC2E5"/>
              <w:right w:val="single" w:sz="6" w:space="0" w:color="9CC2E5"/>
            </w:tcBorders>
            <w:shd w:val="clear" w:color="auto" w:fill="9CC2E5" w:themeFill="accent1" w:themeFillTint="99"/>
            <w:tcMar>
              <w:top w:w="0" w:type="dxa"/>
              <w:left w:w="108" w:type="dxa"/>
              <w:bottom w:w="0" w:type="dxa"/>
              <w:right w:w="108" w:type="dxa"/>
            </w:tcMar>
          </w:tcPr>
          <w:p w14:paraId="09EC388B" w14:textId="77777777" w:rsidR="007A29BB" w:rsidRPr="00C03774" w:rsidRDefault="007A29BB" w:rsidP="00DA3702">
            <w:pPr>
              <w:suppressAutoHyphens w:val="0"/>
              <w:spacing w:before="0" w:after="0"/>
              <w:jc w:val="center"/>
              <w:textAlignment w:val="auto"/>
              <w:rPr>
                <w:rFonts w:eastAsia="Times New Roman"/>
                <w:b/>
                <w:lang w:val="es-ES"/>
              </w:rPr>
            </w:pPr>
            <w:r w:rsidRPr="00C03774">
              <w:rPr>
                <w:rFonts w:eastAsia="Times New Roman"/>
                <w:b/>
                <w:color w:val="FFFFFF" w:themeColor="background1"/>
                <w:lang w:val="es-ES"/>
              </w:rPr>
              <w:t>201</w:t>
            </w:r>
            <w:r>
              <w:rPr>
                <w:rFonts w:eastAsia="Times New Roman"/>
                <w:b/>
                <w:color w:val="FFFFFF" w:themeColor="background1"/>
                <w:lang w:val="es-ES"/>
              </w:rPr>
              <w:t>1</w:t>
            </w:r>
          </w:p>
        </w:tc>
        <w:tc>
          <w:tcPr>
            <w:tcW w:w="1417" w:type="dxa"/>
            <w:tcBorders>
              <w:top w:val="single" w:sz="6" w:space="0" w:color="9CC2E5"/>
              <w:left w:val="single" w:sz="6" w:space="0" w:color="9CC2E5"/>
              <w:bottom w:val="single" w:sz="6" w:space="0" w:color="9CC2E5"/>
              <w:right w:val="single" w:sz="6" w:space="0" w:color="9CC2E5"/>
            </w:tcBorders>
            <w:shd w:val="clear" w:color="auto" w:fill="9CC2E5" w:themeFill="accent1" w:themeFillTint="99"/>
          </w:tcPr>
          <w:p w14:paraId="4641E7FD" w14:textId="77777777" w:rsidR="007A29BB" w:rsidRPr="00C03774" w:rsidRDefault="007A29BB" w:rsidP="00DA3702">
            <w:pPr>
              <w:suppressAutoHyphens w:val="0"/>
              <w:spacing w:before="0" w:after="0"/>
              <w:jc w:val="center"/>
              <w:textAlignment w:val="auto"/>
              <w:rPr>
                <w:rFonts w:eastAsia="Times New Roman"/>
                <w:b/>
                <w:lang w:val="es-ES"/>
              </w:rPr>
            </w:pPr>
            <w:r w:rsidRPr="00C03774">
              <w:rPr>
                <w:rFonts w:eastAsia="Times New Roman"/>
                <w:b/>
                <w:color w:val="FFFFFF" w:themeColor="background1"/>
                <w:lang w:val="es-ES"/>
              </w:rPr>
              <w:t>201</w:t>
            </w:r>
            <w:r>
              <w:rPr>
                <w:rFonts w:eastAsia="Times New Roman"/>
                <w:b/>
                <w:color w:val="FFFFFF" w:themeColor="background1"/>
                <w:lang w:val="es-ES"/>
              </w:rPr>
              <w:t>2 **)</w:t>
            </w:r>
          </w:p>
        </w:tc>
      </w:tr>
      <w:tr w:rsidR="007A29BB" w:rsidRPr="00F87425" w14:paraId="21960021" w14:textId="77777777" w:rsidTr="00DA3702">
        <w:trPr>
          <w:jc w:val="center"/>
        </w:trPr>
        <w:tc>
          <w:tcPr>
            <w:tcW w:w="282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11D7EAE" w14:textId="77777777" w:rsidR="007A29BB" w:rsidRPr="00F87425" w:rsidRDefault="007A29BB" w:rsidP="00DA3702">
            <w:pPr>
              <w:suppressAutoHyphens w:val="0"/>
              <w:spacing w:before="0" w:after="0"/>
              <w:jc w:val="left"/>
              <w:textAlignment w:val="auto"/>
              <w:rPr>
                <w:rFonts w:eastAsia="Times New Roman"/>
                <w:lang w:val="es-ES"/>
              </w:rPr>
            </w:pPr>
            <w:r w:rsidRPr="00F75448">
              <w:rPr>
                <w:rFonts w:eastAsia="Times New Roman"/>
                <w:lang w:val="es-ES"/>
              </w:rPr>
              <w:t>56 cm (2 pies)</w:t>
            </w:r>
          </w:p>
        </w:tc>
        <w:tc>
          <w:tcPr>
            <w:tcW w:w="226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391A929" w14:textId="77777777" w:rsidR="007A29BB" w:rsidRPr="00C03774" w:rsidRDefault="007A29BB" w:rsidP="00DA3702">
            <w:pPr>
              <w:suppressAutoHyphens w:val="0"/>
              <w:spacing w:before="0" w:after="0"/>
              <w:jc w:val="center"/>
              <w:textAlignment w:val="auto"/>
              <w:rPr>
                <w:rFonts w:eastAsia="Times New Roman"/>
                <w:lang w:val="es-ES"/>
              </w:rPr>
            </w:pPr>
            <w:r w:rsidRPr="00C03774">
              <w:rPr>
                <w:rFonts w:eastAsia="Times New Roman"/>
                <w:lang w:val="es-ES"/>
              </w:rPr>
              <w:t>≤4,500K</w:t>
            </w:r>
          </w:p>
          <w:p w14:paraId="16135C78" w14:textId="77777777" w:rsidR="007A29BB" w:rsidRPr="00F87425" w:rsidRDefault="007A29BB" w:rsidP="00DA3702">
            <w:pPr>
              <w:suppressAutoHyphens w:val="0"/>
              <w:spacing w:before="0" w:after="0"/>
              <w:jc w:val="center"/>
              <w:textAlignment w:val="auto"/>
              <w:rPr>
                <w:rFonts w:eastAsia="Times New Roman"/>
                <w:lang w:val="es-ES"/>
              </w:rPr>
            </w:pPr>
            <w:r w:rsidRPr="00C03774">
              <w:rPr>
                <w:rFonts w:eastAsia="Times New Roman"/>
                <w:lang w:val="es-ES"/>
              </w:rPr>
              <w:t>&gt;4,500K</w:t>
            </w:r>
          </w:p>
        </w:tc>
        <w:tc>
          <w:tcPr>
            <w:tcW w:w="141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FCF2182" w14:textId="77777777" w:rsidR="007A29BB" w:rsidRPr="00BD2F71" w:rsidRDefault="007A29BB" w:rsidP="00DA3702">
            <w:pPr>
              <w:suppressAutoHyphens w:val="0"/>
              <w:spacing w:before="0" w:after="0"/>
              <w:jc w:val="center"/>
              <w:textAlignment w:val="auto"/>
              <w:rPr>
                <w:rFonts w:eastAsia="Times New Roman"/>
                <w:lang w:val="es-ES"/>
              </w:rPr>
            </w:pPr>
            <w:r w:rsidRPr="00BD2F71">
              <w:rPr>
                <w:rFonts w:eastAsia="Times New Roman"/>
                <w:lang w:val="es-ES"/>
              </w:rPr>
              <w:t>79</w:t>
            </w:r>
          </w:p>
          <w:p w14:paraId="48458817" w14:textId="77777777" w:rsidR="007A29BB" w:rsidRPr="00F87425" w:rsidRDefault="007A29BB" w:rsidP="00DA3702">
            <w:pPr>
              <w:suppressAutoHyphens w:val="0"/>
              <w:spacing w:before="0" w:after="0"/>
              <w:jc w:val="center"/>
              <w:textAlignment w:val="auto"/>
              <w:rPr>
                <w:rFonts w:eastAsia="Times New Roman"/>
                <w:lang w:val="es-ES"/>
              </w:rPr>
            </w:pPr>
            <w:r w:rsidRPr="00BD2F71">
              <w:rPr>
                <w:rFonts w:eastAsia="Times New Roman"/>
                <w:lang w:val="es-ES"/>
              </w:rPr>
              <w:t>72</w:t>
            </w:r>
          </w:p>
        </w:tc>
        <w:tc>
          <w:tcPr>
            <w:tcW w:w="1417" w:type="dxa"/>
            <w:tcBorders>
              <w:top w:val="single" w:sz="6" w:space="0" w:color="9CC2E5"/>
              <w:left w:val="single" w:sz="6" w:space="0" w:color="9CC2E5"/>
              <w:bottom w:val="single" w:sz="6" w:space="0" w:color="9CC2E5"/>
              <w:right w:val="single" w:sz="6" w:space="0" w:color="9CC2E5"/>
            </w:tcBorders>
          </w:tcPr>
          <w:p w14:paraId="2E82AA9B" w14:textId="77777777" w:rsidR="007A29BB" w:rsidRPr="00BD2F71" w:rsidRDefault="007A29BB" w:rsidP="00DA3702">
            <w:pPr>
              <w:suppressAutoHyphens w:val="0"/>
              <w:spacing w:before="0" w:after="0"/>
              <w:jc w:val="center"/>
              <w:textAlignment w:val="auto"/>
              <w:rPr>
                <w:rFonts w:eastAsia="Times New Roman"/>
                <w:lang w:val="es-ES"/>
              </w:rPr>
            </w:pPr>
            <w:r w:rsidRPr="00BD2F71">
              <w:rPr>
                <w:rFonts w:eastAsia="Times New Roman"/>
                <w:lang w:val="es-ES"/>
              </w:rPr>
              <w:t>81</w:t>
            </w:r>
          </w:p>
          <w:p w14:paraId="65D7C463" w14:textId="77777777" w:rsidR="007A29BB" w:rsidRPr="00F87425" w:rsidRDefault="007A29BB" w:rsidP="00DA3702">
            <w:pPr>
              <w:suppressAutoHyphens w:val="0"/>
              <w:spacing w:before="0" w:after="0"/>
              <w:jc w:val="center"/>
              <w:textAlignment w:val="auto"/>
              <w:rPr>
                <w:rFonts w:eastAsia="Times New Roman"/>
                <w:lang w:val="es-ES"/>
              </w:rPr>
            </w:pPr>
            <w:r w:rsidRPr="00BD2F71">
              <w:rPr>
                <w:rFonts w:eastAsia="Times New Roman"/>
                <w:lang w:val="es-ES"/>
              </w:rPr>
              <w:t>74</w:t>
            </w:r>
          </w:p>
        </w:tc>
      </w:tr>
      <w:tr w:rsidR="007A29BB" w:rsidRPr="00F87425" w14:paraId="234E28B6" w14:textId="77777777" w:rsidTr="00DA3702">
        <w:trPr>
          <w:jc w:val="center"/>
        </w:trPr>
        <w:tc>
          <w:tcPr>
            <w:tcW w:w="282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28FB6A0" w14:textId="77777777" w:rsidR="007A29BB" w:rsidRPr="00F87425" w:rsidRDefault="007A29BB" w:rsidP="00DA3702">
            <w:pPr>
              <w:suppressAutoHyphens w:val="0"/>
              <w:spacing w:before="0" w:after="0"/>
              <w:jc w:val="left"/>
              <w:textAlignment w:val="auto"/>
              <w:rPr>
                <w:rFonts w:eastAsia="Times New Roman"/>
                <w:lang w:val="es-ES"/>
              </w:rPr>
            </w:pPr>
            <w:r w:rsidRPr="00F75448">
              <w:rPr>
                <w:rFonts w:eastAsia="Times New Roman"/>
                <w:lang w:val="es-ES"/>
              </w:rPr>
              <w:t>56 cm (2 pies) high output</w:t>
            </w:r>
          </w:p>
        </w:tc>
        <w:tc>
          <w:tcPr>
            <w:tcW w:w="226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E5DDA4A" w14:textId="77777777" w:rsidR="007A29BB" w:rsidRPr="00C03774" w:rsidRDefault="007A29BB" w:rsidP="00DA3702">
            <w:pPr>
              <w:suppressAutoHyphens w:val="0"/>
              <w:spacing w:before="0" w:after="0"/>
              <w:jc w:val="center"/>
              <w:textAlignment w:val="auto"/>
              <w:rPr>
                <w:rFonts w:eastAsia="Times New Roman"/>
                <w:lang w:val="es-ES"/>
              </w:rPr>
            </w:pPr>
            <w:r w:rsidRPr="00C03774">
              <w:rPr>
                <w:rFonts w:eastAsia="Times New Roman"/>
                <w:lang w:val="es-ES"/>
              </w:rPr>
              <w:t>≤4,500K</w:t>
            </w:r>
          </w:p>
          <w:p w14:paraId="618C0B44" w14:textId="77777777" w:rsidR="007A29BB" w:rsidRPr="00F87425" w:rsidRDefault="007A29BB" w:rsidP="00DA3702">
            <w:pPr>
              <w:suppressAutoHyphens w:val="0"/>
              <w:spacing w:before="0" w:after="0"/>
              <w:jc w:val="center"/>
              <w:textAlignment w:val="auto"/>
              <w:rPr>
                <w:rFonts w:eastAsia="Times New Roman"/>
                <w:lang w:val="es-ES"/>
              </w:rPr>
            </w:pPr>
            <w:r w:rsidRPr="00C03774">
              <w:rPr>
                <w:rFonts w:eastAsia="Times New Roman"/>
                <w:lang w:val="es-ES"/>
              </w:rPr>
              <w:t>&gt;4,500K</w:t>
            </w:r>
          </w:p>
        </w:tc>
        <w:tc>
          <w:tcPr>
            <w:tcW w:w="141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4992D5B" w14:textId="77777777" w:rsidR="007A29BB" w:rsidRPr="00BD2F71" w:rsidRDefault="007A29BB" w:rsidP="00DA3702">
            <w:pPr>
              <w:suppressAutoHyphens w:val="0"/>
              <w:spacing w:before="0" w:after="0"/>
              <w:jc w:val="center"/>
              <w:textAlignment w:val="auto"/>
              <w:rPr>
                <w:rFonts w:eastAsia="Times New Roman"/>
                <w:lang w:val="es-ES"/>
              </w:rPr>
            </w:pPr>
            <w:r w:rsidRPr="00BD2F71">
              <w:rPr>
                <w:rFonts w:eastAsia="Times New Roman"/>
                <w:lang w:val="es-ES"/>
              </w:rPr>
              <w:t>67</w:t>
            </w:r>
          </w:p>
          <w:p w14:paraId="136DED5A" w14:textId="77777777" w:rsidR="007A29BB" w:rsidRPr="00F87425" w:rsidRDefault="007A29BB" w:rsidP="00DA3702">
            <w:pPr>
              <w:suppressAutoHyphens w:val="0"/>
              <w:spacing w:before="0" w:after="0"/>
              <w:jc w:val="center"/>
              <w:textAlignment w:val="auto"/>
              <w:rPr>
                <w:rFonts w:eastAsia="Times New Roman"/>
                <w:lang w:val="es-ES"/>
              </w:rPr>
            </w:pPr>
            <w:r w:rsidRPr="00BD2F71">
              <w:rPr>
                <w:rFonts w:eastAsia="Times New Roman"/>
                <w:lang w:val="es-ES"/>
              </w:rPr>
              <w:t>61</w:t>
            </w:r>
          </w:p>
        </w:tc>
        <w:tc>
          <w:tcPr>
            <w:tcW w:w="1417" w:type="dxa"/>
            <w:tcBorders>
              <w:top w:val="single" w:sz="6" w:space="0" w:color="9CC2E5"/>
              <w:left w:val="single" w:sz="6" w:space="0" w:color="9CC2E5"/>
              <w:bottom w:val="single" w:sz="6" w:space="0" w:color="9CC2E5"/>
              <w:right w:val="single" w:sz="6" w:space="0" w:color="9CC2E5"/>
            </w:tcBorders>
            <w:shd w:val="clear" w:color="auto" w:fill="DEEAF6"/>
          </w:tcPr>
          <w:p w14:paraId="7B3761BF" w14:textId="77777777" w:rsidR="007A29BB" w:rsidRPr="00BD2F71" w:rsidRDefault="007A29BB" w:rsidP="00DA3702">
            <w:pPr>
              <w:suppressAutoHyphens w:val="0"/>
              <w:spacing w:before="0" w:after="0"/>
              <w:jc w:val="center"/>
              <w:textAlignment w:val="auto"/>
              <w:rPr>
                <w:rFonts w:eastAsia="Times New Roman"/>
                <w:lang w:val="es-ES"/>
              </w:rPr>
            </w:pPr>
            <w:r w:rsidRPr="00BD2F71">
              <w:rPr>
                <w:rFonts w:eastAsia="Times New Roman"/>
                <w:lang w:val="es-ES"/>
              </w:rPr>
              <w:t>76</w:t>
            </w:r>
          </w:p>
          <w:p w14:paraId="16ADC43D" w14:textId="77777777" w:rsidR="007A29BB" w:rsidRPr="00F87425" w:rsidRDefault="007A29BB" w:rsidP="00DA3702">
            <w:pPr>
              <w:suppressAutoHyphens w:val="0"/>
              <w:spacing w:before="0" w:after="0"/>
              <w:jc w:val="center"/>
              <w:textAlignment w:val="auto"/>
              <w:rPr>
                <w:rFonts w:eastAsia="Times New Roman"/>
                <w:lang w:val="es-ES"/>
              </w:rPr>
            </w:pPr>
            <w:r w:rsidRPr="00BD2F71">
              <w:rPr>
                <w:rFonts w:eastAsia="Times New Roman"/>
                <w:lang w:val="es-ES"/>
              </w:rPr>
              <w:t>73</w:t>
            </w:r>
          </w:p>
        </w:tc>
      </w:tr>
      <w:tr w:rsidR="007A29BB" w:rsidRPr="00F87425" w14:paraId="0DF5BB48" w14:textId="77777777" w:rsidTr="00DA3702">
        <w:trPr>
          <w:trHeight w:val="242"/>
          <w:jc w:val="center"/>
        </w:trPr>
        <w:tc>
          <w:tcPr>
            <w:tcW w:w="2827"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087C8BB6" w14:textId="77777777" w:rsidR="007A29BB" w:rsidRPr="00F87425" w:rsidRDefault="007A29BB" w:rsidP="00DA3702">
            <w:pPr>
              <w:suppressAutoHyphens w:val="0"/>
              <w:spacing w:before="0" w:after="0"/>
              <w:jc w:val="left"/>
              <w:textAlignment w:val="auto"/>
              <w:rPr>
                <w:rFonts w:eastAsia="Times New Roman"/>
                <w:lang w:val="es-ES"/>
              </w:rPr>
            </w:pPr>
            <w:r w:rsidRPr="00F75448">
              <w:rPr>
                <w:rFonts w:eastAsia="Times New Roman"/>
                <w:lang w:val="es-ES"/>
              </w:rPr>
              <w:t>86 cm (3 pies)</w:t>
            </w:r>
          </w:p>
        </w:tc>
        <w:tc>
          <w:tcPr>
            <w:tcW w:w="2268"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2D08846F" w14:textId="77777777" w:rsidR="007A29BB" w:rsidRPr="00C03774" w:rsidRDefault="007A29BB" w:rsidP="00DA3702">
            <w:pPr>
              <w:suppressAutoHyphens w:val="0"/>
              <w:spacing w:before="0" w:after="0"/>
              <w:jc w:val="center"/>
              <w:textAlignment w:val="auto"/>
              <w:rPr>
                <w:rFonts w:eastAsia="Times New Roman"/>
                <w:lang w:val="es-ES"/>
              </w:rPr>
            </w:pPr>
            <w:r w:rsidRPr="00C03774">
              <w:rPr>
                <w:rFonts w:eastAsia="Times New Roman"/>
                <w:lang w:val="es-ES"/>
              </w:rPr>
              <w:t>≤4,500K</w:t>
            </w:r>
          </w:p>
          <w:p w14:paraId="3ACD5C75" w14:textId="77777777" w:rsidR="007A29BB" w:rsidRPr="00F87425" w:rsidRDefault="007A29BB" w:rsidP="00DA3702">
            <w:pPr>
              <w:suppressAutoHyphens w:val="0"/>
              <w:spacing w:before="0" w:after="0"/>
              <w:jc w:val="center"/>
              <w:textAlignment w:val="auto"/>
              <w:rPr>
                <w:rFonts w:eastAsia="Times New Roman"/>
                <w:lang w:val="es-ES"/>
              </w:rPr>
            </w:pPr>
            <w:r w:rsidRPr="00C03774">
              <w:rPr>
                <w:rFonts w:eastAsia="Times New Roman"/>
                <w:lang w:val="es-ES"/>
              </w:rPr>
              <w:t>&gt;4,500K</w:t>
            </w:r>
          </w:p>
        </w:tc>
        <w:tc>
          <w:tcPr>
            <w:tcW w:w="1418"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7360CEF1" w14:textId="77777777" w:rsidR="007A29BB" w:rsidRPr="00BD2F71" w:rsidRDefault="007A29BB" w:rsidP="00DA3702">
            <w:pPr>
              <w:suppressAutoHyphens w:val="0"/>
              <w:spacing w:before="0" w:after="0"/>
              <w:jc w:val="center"/>
              <w:textAlignment w:val="auto"/>
              <w:rPr>
                <w:rFonts w:eastAsia="Times New Roman"/>
                <w:lang w:val="es-ES"/>
              </w:rPr>
            </w:pPr>
            <w:r w:rsidRPr="00BD2F71">
              <w:rPr>
                <w:rFonts w:eastAsia="Times New Roman"/>
                <w:lang w:val="es-ES"/>
              </w:rPr>
              <w:t>83</w:t>
            </w:r>
          </w:p>
          <w:p w14:paraId="63EFD69B" w14:textId="77777777" w:rsidR="007A29BB" w:rsidRPr="00F87425" w:rsidRDefault="007A29BB" w:rsidP="00DA3702">
            <w:pPr>
              <w:suppressAutoHyphens w:val="0"/>
              <w:spacing w:before="0" w:after="0"/>
              <w:jc w:val="center"/>
              <w:textAlignment w:val="auto"/>
              <w:rPr>
                <w:rFonts w:eastAsia="Times New Roman"/>
                <w:lang w:val="es-ES"/>
              </w:rPr>
            </w:pPr>
            <w:r w:rsidRPr="00BD2F71">
              <w:rPr>
                <w:rFonts w:eastAsia="Times New Roman"/>
                <w:lang w:val="es-ES"/>
              </w:rPr>
              <w:t>77</w:t>
            </w:r>
          </w:p>
        </w:tc>
        <w:tc>
          <w:tcPr>
            <w:tcW w:w="1417" w:type="dxa"/>
            <w:tcBorders>
              <w:top w:val="single" w:sz="6" w:space="0" w:color="9CC2E5"/>
              <w:left w:val="single" w:sz="6" w:space="0" w:color="9CC2E5"/>
              <w:bottom w:val="single" w:sz="6" w:space="0" w:color="9CC2E5"/>
              <w:right w:val="single" w:sz="6" w:space="0" w:color="9CC2E5"/>
            </w:tcBorders>
          </w:tcPr>
          <w:p w14:paraId="0308D73F" w14:textId="77777777" w:rsidR="007A29BB" w:rsidRPr="00BD2F71" w:rsidRDefault="007A29BB" w:rsidP="00DA3702">
            <w:pPr>
              <w:suppressAutoHyphens w:val="0"/>
              <w:spacing w:before="0" w:after="0"/>
              <w:jc w:val="center"/>
              <w:textAlignment w:val="auto"/>
              <w:rPr>
                <w:rFonts w:eastAsia="Times New Roman"/>
                <w:lang w:val="es-ES"/>
              </w:rPr>
            </w:pPr>
            <w:r w:rsidRPr="00BD2F71">
              <w:rPr>
                <w:rFonts w:eastAsia="Times New Roman"/>
                <w:lang w:val="es-ES"/>
              </w:rPr>
              <w:t>87</w:t>
            </w:r>
          </w:p>
          <w:p w14:paraId="053644B0" w14:textId="77777777" w:rsidR="007A29BB" w:rsidRPr="00F87425" w:rsidRDefault="007A29BB" w:rsidP="00DA3702">
            <w:pPr>
              <w:suppressAutoHyphens w:val="0"/>
              <w:spacing w:before="0" w:after="0"/>
              <w:jc w:val="center"/>
              <w:textAlignment w:val="auto"/>
              <w:rPr>
                <w:rFonts w:eastAsia="Times New Roman"/>
                <w:lang w:val="es-ES"/>
              </w:rPr>
            </w:pPr>
            <w:r w:rsidRPr="00BD2F71">
              <w:rPr>
                <w:rFonts w:eastAsia="Times New Roman"/>
                <w:lang w:val="es-ES"/>
              </w:rPr>
              <w:t>82</w:t>
            </w:r>
          </w:p>
        </w:tc>
      </w:tr>
      <w:tr w:rsidR="007A29BB" w:rsidRPr="00F87425" w14:paraId="19B232D8" w14:textId="77777777" w:rsidTr="00DA3702">
        <w:trPr>
          <w:trHeight w:val="276"/>
          <w:jc w:val="center"/>
        </w:trPr>
        <w:tc>
          <w:tcPr>
            <w:tcW w:w="282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71E6B20" w14:textId="77777777" w:rsidR="007A29BB" w:rsidRPr="00F87425" w:rsidRDefault="007A29BB" w:rsidP="00DA3702">
            <w:pPr>
              <w:suppressAutoHyphens w:val="0"/>
              <w:spacing w:before="0" w:after="0"/>
              <w:jc w:val="left"/>
              <w:textAlignment w:val="auto"/>
              <w:rPr>
                <w:rFonts w:eastAsia="Times New Roman"/>
                <w:lang w:val="es-ES"/>
              </w:rPr>
            </w:pPr>
            <w:r w:rsidRPr="00F75448">
              <w:rPr>
                <w:rFonts w:eastAsia="Times New Roman"/>
                <w:lang w:val="es-ES"/>
              </w:rPr>
              <w:t>86 cm (3 pies) high output</w:t>
            </w:r>
          </w:p>
        </w:tc>
        <w:tc>
          <w:tcPr>
            <w:tcW w:w="226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5007B22" w14:textId="77777777" w:rsidR="007A29BB" w:rsidRPr="00C03774" w:rsidRDefault="007A29BB" w:rsidP="00DA3702">
            <w:pPr>
              <w:suppressAutoHyphens w:val="0"/>
              <w:spacing w:before="0" w:after="0"/>
              <w:jc w:val="center"/>
              <w:textAlignment w:val="auto"/>
              <w:rPr>
                <w:rFonts w:eastAsia="Times New Roman"/>
                <w:lang w:val="es-ES"/>
              </w:rPr>
            </w:pPr>
            <w:r w:rsidRPr="00C03774">
              <w:rPr>
                <w:rFonts w:eastAsia="Times New Roman"/>
                <w:lang w:val="es-ES"/>
              </w:rPr>
              <w:t>≤4,500K</w:t>
            </w:r>
          </w:p>
          <w:p w14:paraId="0E80BB02" w14:textId="77777777" w:rsidR="007A29BB" w:rsidRPr="00F87425" w:rsidRDefault="007A29BB" w:rsidP="00DA3702">
            <w:pPr>
              <w:suppressAutoHyphens w:val="0"/>
              <w:spacing w:before="0" w:after="0"/>
              <w:jc w:val="center"/>
              <w:textAlignment w:val="auto"/>
              <w:rPr>
                <w:rFonts w:eastAsia="Times New Roman"/>
                <w:lang w:val="es-ES"/>
              </w:rPr>
            </w:pPr>
            <w:r w:rsidRPr="00C03774">
              <w:rPr>
                <w:rFonts w:eastAsia="Times New Roman"/>
                <w:lang w:val="es-ES"/>
              </w:rPr>
              <w:t>&gt;4,500K</w:t>
            </w:r>
          </w:p>
        </w:tc>
        <w:tc>
          <w:tcPr>
            <w:tcW w:w="141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B92E9E1" w14:textId="77777777" w:rsidR="007A29BB" w:rsidRPr="00BD2F71" w:rsidRDefault="007A29BB" w:rsidP="00DA3702">
            <w:pPr>
              <w:suppressAutoHyphens w:val="0"/>
              <w:spacing w:before="0" w:after="0"/>
              <w:jc w:val="center"/>
              <w:textAlignment w:val="auto"/>
              <w:rPr>
                <w:rFonts w:eastAsia="Times New Roman"/>
                <w:lang w:val="es-ES"/>
              </w:rPr>
            </w:pPr>
            <w:r w:rsidRPr="00BD2F71">
              <w:rPr>
                <w:rFonts w:eastAsia="Times New Roman"/>
                <w:lang w:val="es-ES"/>
              </w:rPr>
              <w:t>73</w:t>
            </w:r>
          </w:p>
          <w:p w14:paraId="4E2358BE" w14:textId="77777777" w:rsidR="007A29BB" w:rsidRPr="00F87425" w:rsidRDefault="007A29BB" w:rsidP="00DA3702">
            <w:pPr>
              <w:suppressAutoHyphens w:val="0"/>
              <w:spacing w:before="0" w:after="0"/>
              <w:jc w:val="center"/>
              <w:textAlignment w:val="auto"/>
              <w:rPr>
                <w:rFonts w:eastAsia="Times New Roman"/>
                <w:lang w:val="es-ES"/>
              </w:rPr>
            </w:pPr>
            <w:r w:rsidRPr="00BD2F71">
              <w:rPr>
                <w:rFonts w:eastAsia="Times New Roman"/>
                <w:lang w:val="es-ES"/>
              </w:rPr>
              <w:t>67</w:t>
            </w:r>
          </w:p>
        </w:tc>
        <w:tc>
          <w:tcPr>
            <w:tcW w:w="1417" w:type="dxa"/>
            <w:tcBorders>
              <w:top w:val="single" w:sz="6" w:space="0" w:color="9CC2E5"/>
              <w:left w:val="single" w:sz="6" w:space="0" w:color="9CC2E5"/>
              <w:bottom w:val="single" w:sz="6" w:space="0" w:color="9CC2E5"/>
              <w:right w:val="single" w:sz="6" w:space="0" w:color="9CC2E5"/>
            </w:tcBorders>
            <w:shd w:val="clear" w:color="auto" w:fill="DEEAF6"/>
          </w:tcPr>
          <w:p w14:paraId="3D10628A" w14:textId="77777777" w:rsidR="007A29BB" w:rsidRPr="00BD2F71" w:rsidRDefault="007A29BB" w:rsidP="00DA3702">
            <w:pPr>
              <w:suppressAutoHyphens w:val="0"/>
              <w:spacing w:before="0" w:after="0"/>
              <w:jc w:val="center"/>
              <w:textAlignment w:val="auto"/>
              <w:rPr>
                <w:rFonts w:eastAsia="Times New Roman"/>
                <w:lang w:val="es-ES"/>
              </w:rPr>
            </w:pPr>
            <w:r w:rsidRPr="00BD2F71">
              <w:rPr>
                <w:rFonts w:eastAsia="Times New Roman"/>
                <w:lang w:val="es-ES"/>
              </w:rPr>
              <w:t>88</w:t>
            </w:r>
          </w:p>
          <w:p w14:paraId="38A12917" w14:textId="77777777" w:rsidR="007A29BB" w:rsidRPr="00F87425" w:rsidRDefault="007A29BB" w:rsidP="00DA3702">
            <w:pPr>
              <w:suppressAutoHyphens w:val="0"/>
              <w:spacing w:before="0" w:after="0"/>
              <w:jc w:val="center"/>
              <w:textAlignment w:val="auto"/>
              <w:rPr>
                <w:rFonts w:eastAsia="Times New Roman"/>
                <w:lang w:val="es-ES"/>
              </w:rPr>
            </w:pPr>
            <w:r w:rsidRPr="00BD2F71">
              <w:rPr>
                <w:rFonts w:eastAsia="Times New Roman"/>
                <w:lang w:val="es-ES"/>
              </w:rPr>
              <w:t>82</w:t>
            </w:r>
          </w:p>
        </w:tc>
      </w:tr>
      <w:tr w:rsidR="007A29BB" w:rsidRPr="00F87425" w14:paraId="30FBA493" w14:textId="77777777" w:rsidTr="00DA3702">
        <w:trPr>
          <w:trHeight w:val="276"/>
          <w:jc w:val="center"/>
        </w:trPr>
        <w:tc>
          <w:tcPr>
            <w:tcW w:w="282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45559FD" w14:textId="77777777" w:rsidR="007A29BB" w:rsidRPr="00C03774" w:rsidRDefault="007A29BB" w:rsidP="00DA3702">
            <w:pPr>
              <w:suppressAutoHyphens w:val="0"/>
              <w:spacing w:before="0" w:after="0"/>
              <w:jc w:val="left"/>
              <w:textAlignment w:val="auto"/>
              <w:rPr>
                <w:rFonts w:eastAsia="Times New Roman"/>
              </w:rPr>
            </w:pPr>
            <w:r w:rsidRPr="00F75448">
              <w:rPr>
                <w:rFonts w:eastAsia="Times New Roman"/>
              </w:rPr>
              <w:t>116 cm (4 pies)</w:t>
            </w:r>
          </w:p>
        </w:tc>
        <w:tc>
          <w:tcPr>
            <w:tcW w:w="226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96A30BA" w14:textId="77777777" w:rsidR="007A29BB" w:rsidRPr="00C03774" w:rsidRDefault="007A29BB" w:rsidP="00DA3702">
            <w:pPr>
              <w:suppressAutoHyphens w:val="0"/>
              <w:spacing w:before="0" w:after="0"/>
              <w:jc w:val="center"/>
              <w:textAlignment w:val="auto"/>
              <w:rPr>
                <w:rFonts w:eastAsia="Times New Roman"/>
              </w:rPr>
            </w:pPr>
            <w:r w:rsidRPr="00C03774">
              <w:rPr>
                <w:rFonts w:eastAsia="Times New Roman"/>
              </w:rPr>
              <w:t>≤4,500K</w:t>
            </w:r>
          </w:p>
          <w:p w14:paraId="39DC260A" w14:textId="77777777" w:rsidR="007A29BB" w:rsidRPr="00C03774" w:rsidRDefault="007A29BB" w:rsidP="00DA3702">
            <w:pPr>
              <w:suppressAutoHyphens w:val="0"/>
              <w:spacing w:before="0" w:after="0"/>
              <w:jc w:val="center"/>
              <w:textAlignment w:val="auto"/>
              <w:rPr>
                <w:rFonts w:eastAsia="Times New Roman"/>
              </w:rPr>
            </w:pPr>
            <w:r w:rsidRPr="00C03774">
              <w:rPr>
                <w:rFonts w:eastAsia="Times New Roman"/>
              </w:rPr>
              <w:t>&gt;4,500K</w:t>
            </w:r>
          </w:p>
        </w:tc>
        <w:tc>
          <w:tcPr>
            <w:tcW w:w="141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DAC18A3" w14:textId="77777777" w:rsidR="007A29BB" w:rsidRPr="00BD2F71" w:rsidRDefault="007A29BB" w:rsidP="00DA3702">
            <w:pPr>
              <w:suppressAutoHyphens w:val="0"/>
              <w:spacing w:before="0" w:after="0"/>
              <w:jc w:val="center"/>
              <w:textAlignment w:val="auto"/>
              <w:rPr>
                <w:rFonts w:eastAsia="Times New Roman"/>
              </w:rPr>
            </w:pPr>
            <w:r w:rsidRPr="00BD2F71">
              <w:rPr>
                <w:rFonts w:eastAsia="Times New Roman"/>
              </w:rPr>
              <w:t>85</w:t>
            </w:r>
          </w:p>
          <w:p w14:paraId="5E39F83C" w14:textId="77777777" w:rsidR="007A29BB" w:rsidRPr="00C03774" w:rsidRDefault="007A29BB" w:rsidP="00DA3702">
            <w:pPr>
              <w:suppressAutoHyphens w:val="0"/>
              <w:spacing w:before="0" w:after="0"/>
              <w:jc w:val="center"/>
              <w:textAlignment w:val="auto"/>
              <w:rPr>
                <w:rFonts w:eastAsia="Times New Roman"/>
              </w:rPr>
            </w:pPr>
            <w:r w:rsidRPr="00BD2F71">
              <w:rPr>
                <w:rFonts w:eastAsia="Times New Roman"/>
              </w:rPr>
              <w:t>79</w:t>
            </w:r>
          </w:p>
        </w:tc>
        <w:tc>
          <w:tcPr>
            <w:tcW w:w="1417" w:type="dxa"/>
            <w:tcBorders>
              <w:top w:val="single" w:sz="6" w:space="0" w:color="9CC2E5"/>
              <w:left w:val="single" w:sz="6" w:space="0" w:color="9CC2E5"/>
              <w:bottom w:val="single" w:sz="6" w:space="0" w:color="9CC2E5"/>
              <w:right w:val="single" w:sz="6" w:space="0" w:color="9CC2E5"/>
            </w:tcBorders>
            <w:shd w:val="clear" w:color="auto" w:fill="auto"/>
          </w:tcPr>
          <w:p w14:paraId="70F4F986" w14:textId="77777777" w:rsidR="007A29BB" w:rsidRPr="00BD2F71" w:rsidRDefault="007A29BB" w:rsidP="00DA3702">
            <w:pPr>
              <w:suppressAutoHyphens w:val="0"/>
              <w:spacing w:before="0" w:after="0"/>
              <w:jc w:val="center"/>
              <w:textAlignment w:val="auto"/>
              <w:rPr>
                <w:rFonts w:eastAsia="Times New Roman"/>
              </w:rPr>
            </w:pPr>
            <w:r w:rsidRPr="00BD2F71">
              <w:rPr>
                <w:rFonts w:eastAsia="Times New Roman"/>
              </w:rPr>
              <w:t>90</w:t>
            </w:r>
          </w:p>
          <w:p w14:paraId="011580D2" w14:textId="77777777" w:rsidR="007A29BB" w:rsidRPr="00C03774" w:rsidRDefault="007A29BB" w:rsidP="00DA3702">
            <w:pPr>
              <w:suppressAutoHyphens w:val="0"/>
              <w:spacing w:before="0" w:after="0"/>
              <w:jc w:val="center"/>
              <w:textAlignment w:val="auto"/>
              <w:rPr>
                <w:rFonts w:eastAsia="Times New Roman"/>
              </w:rPr>
            </w:pPr>
            <w:r w:rsidRPr="00BD2F71">
              <w:rPr>
                <w:rFonts w:eastAsia="Times New Roman"/>
              </w:rPr>
              <w:t>83</w:t>
            </w:r>
          </w:p>
        </w:tc>
      </w:tr>
      <w:tr w:rsidR="007A29BB" w:rsidRPr="00F87425" w14:paraId="59FDA78A" w14:textId="77777777" w:rsidTr="00DA3702">
        <w:trPr>
          <w:trHeight w:val="276"/>
          <w:jc w:val="center"/>
        </w:trPr>
        <w:tc>
          <w:tcPr>
            <w:tcW w:w="282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0E55C4B" w14:textId="77777777" w:rsidR="007A29BB" w:rsidRPr="00C03774" w:rsidRDefault="007A29BB" w:rsidP="00DA3702">
            <w:pPr>
              <w:suppressAutoHyphens w:val="0"/>
              <w:spacing w:before="0" w:after="0"/>
              <w:jc w:val="left"/>
              <w:textAlignment w:val="auto"/>
              <w:rPr>
                <w:rFonts w:eastAsia="Times New Roman"/>
              </w:rPr>
            </w:pPr>
            <w:r w:rsidRPr="00F75448">
              <w:rPr>
                <w:rFonts w:eastAsia="Times New Roman"/>
              </w:rPr>
              <w:t>116 cm (4 pies) high output</w:t>
            </w:r>
          </w:p>
        </w:tc>
        <w:tc>
          <w:tcPr>
            <w:tcW w:w="226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A1273C3" w14:textId="77777777" w:rsidR="007A29BB" w:rsidRPr="00C03774" w:rsidRDefault="007A29BB" w:rsidP="00DA3702">
            <w:pPr>
              <w:suppressAutoHyphens w:val="0"/>
              <w:spacing w:before="0" w:after="0"/>
              <w:jc w:val="center"/>
              <w:textAlignment w:val="auto"/>
              <w:rPr>
                <w:rFonts w:eastAsia="Times New Roman"/>
              </w:rPr>
            </w:pPr>
            <w:r w:rsidRPr="00C03774">
              <w:rPr>
                <w:rFonts w:eastAsia="Times New Roman"/>
              </w:rPr>
              <w:t>≤4,500K</w:t>
            </w:r>
          </w:p>
          <w:p w14:paraId="70EFDF25" w14:textId="77777777" w:rsidR="007A29BB" w:rsidRPr="00C03774" w:rsidRDefault="007A29BB" w:rsidP="00DA3702">
            <w:pPr>
              <w:suppressAutoHyphens w:val="0"/>
              <w:spacing w:before="0" w:after="0"/>
              <w:jc w:val="center"/>
              <w:textAlignment w:val="auto"/>
              <w:rPr>
                <w:rFonts w:eastAsia="Times New Roman"/>
              </w:rPr>
            </w:pPr>
            <w:r w:rsidRPr="00C03774">
              <w:rPr>
                <w:rFonts w:eastAsia="Times New Roman"/>
              </w:rPr>
              <w:t>&gt;4,500K</w:t>
            </w:r>
          </w:p>
        </w:tc>
        <w:tc>
          <w:tcPr>
            <w:tcW w:w="141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D509071" w14:textId="77777777" w:rsidR="007A29BB" w:rsidRPr="00BD2F71" w:rsidRDefault="007A29BB" w:rsidP="00DA3702">
            <w:pPr>
              <w:suppressAutoHyphens w:val="0"/>
              <w:spacing w:before="0" w:after="0"/>
              <w:jc w:val="center"/>
              <w:textAlignment w:val="auto"/>
              <w:rPr>
                <w:rFonts w:eastAsia="Times New Roman"/>
              </w:rPr>
            </w:pPr>
            <w:r w:rsidRPr="00BD2F71">
              <w:rPr>
                <w:rFonts w:eastAsia="Times New Roman"/>
              </w:rPr>
              <w:t>76</w:t>
            </w:r>
          </w:p>
          <w:p w14:paraId="56C21E95" w14:textId="77777777" w:rsidR="007A29BB" w:rsidRPr="00C03774" w:rsidRDefault="007A29BB" w:rsidP="00DA3702">
            <w:pPr>
              <w:suppressAutoHyphens w:val="0"/>
              <w:spacing w:before="0" w:after="0"/>
              <w:jc w:val="center"/>
              <w:textAlignment w:val="auto"/>
              <w:rPr>
                <w:rFonts w:eastAsia="Times New Roman"/>
              </w:rPr>
            </w:pPr>
            <w:r w:rsidRPr="00BD2F71">
              <w:rPr>
                <w:rFonts w:eastAsia="Times New Roman"/>
              </w:rPr>
              <w:t>69</w:t>
            </w:r>
          </w:p>
        </w:tc>
        <w:tc>
          <w:tcPr>
            <w:tcW w:w="1417" w:type="dxa"/>
            <w:tcBorders>
              <w:top w:val="single" w:sz="6" w:space="0" w:color="9CC2E5"/>
              <w:left w:val="single" w:sz="6" w:space="0" w:color="9CC2E5"/>
              <w:bottom w:val="single" w:sz="6" w:space="0" w:color="9CC2E5"/>
              <w:right w:val="single" w:sz="6" w:space="0" w:color="9CC2E5"/>
            </w:tcBorders>
            <w:shd w:val="clear" w:color="auto" w:fill="DEEAF6"/>
          </w:tcPr>
          <w:p w14:paraId="701C2AAB" w14:textId="77777777" w:rsidR="007A29BB" w:rsidRPr="00BD2F71" w:rsidRDefault="007A29BB" w:rsidP="00DA3702">
            <w:pPr>
              <w:suppressAutoHyphens w:val="0"/>
              <w:spacing w:before="0" w:after="0"/>
              <w:jc w:val="center"/>
              <w:textAlignment w:val="auto"/>
              <w:rPr>
                <w:rFonts w:eastAsia="Times New Roman"/>
              </w:rPr>
            </w:pPr>
            <w:r w:rsidRPr="00BD2F71">
              <w:rPr>
                <w:rFonts w:eastAsia="Times New Roman"/>
              </w:rPr>
              <w:t>82</w:t>
            </w:r>
          </w:p>
          <w:p w14:paraId="039DDB95" w14:textId="77777777" w:rsidR="007A29BB" w:rsidRPr="00C03774" w:rsidRDefault="007A29BB" w:rsidP="00DA3702">
            <w:pPr>
              <w:suppressAutoHyphens w:val="0"/>
              <w:spacing w:before="0" w:after="0"/>
              <w:jc w:val="center"/>
              <w:textAlignment w:val="auto"/>
              <w:rPr>
                <w:rFonts w:eastAsia="Times New Roman"/>
              </w:rPr>
            </w:pPr>
            <w:r w:rsidRPr="00BD2F71">
              <w:rPr>
                <w:rFonts w:eastAsia="Times New Roman"/>
              </w:rPr>
              <w:t>78</w:t>
            </w:r>
          </w:p>
        </w:tc>
      </w:tr>
      <w:tr w:rsidR="007A29BB" w:rsidRPr="00F87425" w14:paraId="6F891C5C" w14:textId="77777777" w:rsidTr="00DA3702">
        <w:trPr>
          <w:trHeight w:val="276"/>
          <w:jc w:val="center"/>
        </w:trPr>
        <w:tc>
          <w:tcPr>
            <w:tcW w:w="282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3112CC0" w14:textId="77777777" w:rsidR="007A29BB" w:rsidRPr="00C03774" w:rsidRDefault="007A29BB" w:rsidP="00DA3702">
            <w:pPr>
              <w:suppressAutoHyphens w:val="0"/>
              <w:spacing w:before="0" w:after="0"/>
              <w:jc w:val="left"/>
              <w:textAlignment w:val="auto"/>
              <w:rPr>
                <w:rFonts w:eastAsia="Times New Roman"/>
              </w:rPr>
            </w:pPr>
            <w:r w:rsidRPr="00F75448">
              <w:rPr>
                <w:rFonts w:eastAsia="Times New Roman"/>
              </w:rPr>
              <w:t>146 cm (5 pies)</w:t>
            </w:r>
          </w:p>
        </w:tc>
        <w:tc>
          <w:tcPr>
            <w:tcW w:w="226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4EEB6DC" w14:textId="77777777" w:rsidR="007A29BB" w:rsidRPr="00200E79" w:rsidRDefault="007A29BB" w:rsidP="00DA3702">
            <w:pPr>
              <w:suppressAutoHyphens w:val="0"/>
              <w:spacing w:before="0" w:after="0"/>
              <w:jc w:val="center"/>
              <w:textAlignment w:val="auto"/>
              <w:rPr>
                <w:rFonts w:eastAsia="Times New Roman"/>
              </w:rPr>
            </w:pPr>
            <w:r w:rsidRPr="00200E79">
              <w:rPr>
                <w:rFonts w:eastAsia="Times New Roman"/>
              </w:rPr>
              <w:t>≤4,500K</w:t>
            </w:r>
          </w:p>
          <w:p w14:paraId="04EA1288" w14:textId="77777777" w:rsidR="007A29BB" w:rsidRPr="00C03774" w:rsidRDefault="007A29BB" w:rsidP="00DA3702">
            <w:pPr>
              <w:suppressAutoHyphens w:val="0"/>
              <w:spacing w:before="0" w:after="0"/>
              <w:jc w:val="center"/>
              <w:textAlignment w:val="auto"/>
              <w:rPr>
                <w:rFonts w:eastAsia="Times New Roman"/>
              </w:rPr>
            </w:pPr>
            <w:r w:rsidRPr="00200E79">
              <w:rPr>
                <w:rFonts w:eastAsia="Times New Roman"/>
              </w:rPr>
              <w:t>&gt;4,500K</w:t>
            </w:r>
          </w:p>
        </w:tc>
        <w:tc>
          <w:tcPr>
            <w:tcW w:w="141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2D5A195" w14:textId="77777777" w:rsidR="007A29BB" w:rsidRPr="00BD2F71" w:rsidRDefault="007A29BB" w:rsidP="00DA3702">
            <w:pPr>
              <w:suppressAutoHyphens w:val="0"/>
              <w:spacing w:before="0" w:after="0"/>
              <w:jc w:val="center"/>
              <w:textAlignment w:val="auto"/>
              <w:rPr>
                <w:rFonts w:eastAsia="Times New Roman"/>
              </w:rPr>
            </w:pPr>
            <w:r w:rsidRPr="00BD2F71">
              <w:rPr>
                <w:rFonts w:eastAsia="Times New Roman"/>
              </w:rPr>
              <w:t>87</w:t>
            </w:r>
          </w:p>
          <w:p w14:paraId="78A4911D" w14:textId="77777777" w:rsidR="007A29BB" w:rsidRPr="00130C34" w:rsidRDefault="007A29BB" w:rsidP="00DA3702">
            <w:pPr>
              <w:suppressAutoHyphens w:val="0"/>
              <w:spacing w:before="0" w:after="0"/>
              <w:jc w:val="center"/>
              <w:textAlignment w:val="auto"/>
              <w:rPr>
                <w:rFonts w:eastAsia="Times New Roman"/>
              </w:rPr>
            </w:pPr>
            <w:r w:rsidRPr="00BD2F71">
              <w:rPr>
                <w:rFonts w:eastAsia="Times New Roman"/>
              </w:rPr>
              <w:t>80</w:t>
            </w:r>
          </w:p>
        </w:tc>
        <w:tc>
          <w:tcPr>
            <w:tcW w:w="1417" w:type="dxa"/>
            <w:tcBorders>
              <w:top w:val="single" w:sz="6" w:space="0" w:color="9CC2E5"/>
              <w:left w:val="single" w:sz="6" w:space="0" w:color="9CC2E5"/>
              <w:bottom w:val="single" w:sz="6" w:space="0" w:color="9CC2E5"/>
              <w:right w:val="single" w:sz="6" w:space="0" w:color="9CC2E5"/>
            </w:tcBorders>
            <w:shd w:val="clear" w:color="auto" w:fill="auto"/>
          </w:tcPr>
          <w:p w14:paraId="5C600A62" w14:textId="77777777" w:rsidR="007A29BB" w:rsidRPr="00BD2F71" w:rsidRDefault="007A29BB" w:rsidP="00DA3702">
            <w:pPr>
              <w:suppressAutoHyphens w:val="0"/>
              <w:spacing w:before="0" w:after="0"/>
              <w:jc w:val="center"/>
              <w:textAlignment w:val="auto"/>
              <w:rPr>
                <w:rFonts w:eastAsia="Times New Roman"/>
              </w:rPr>
            </w:pPr>
            <w:r w:rsidRPr="00BD2F71">
              <w:rPr>
                <w:rFonts w:eastAsia="Times New Roman"/>
              </w:rPr>
              <w:t>89</w:t>
            </w:r>
          </w:p>
          <w:p w14:paraId="6B7B2D63" w14:textId="77777777" w:rsidR="007A29BB" w:rsidRPr="00130C34" w:rsidRDefault="007A29BB" w:rsidP="00DA3702">
            <w:pPr>
              <w:suppressAutoHyphens w:val="0"/>
              <w:spacing w:before="0" w:after="0"/>
              <w:jc w:val="center"/>
              <w:textAlignment w:val="auto"/>
              <w:rPr>
                <w:rFonts w:eastAsia="Times New Roman"/>
              </w:rPr>
            </w:pPr>
            <w:r w:rsidRPr="00BD2F71">
              <w:rPr>
                <w:rFonts w:eastAsia="Times New Roman"/>
              </w:rPr>
              <w:t>82</w:t>
            </w:r>
          </w:p>
        </w:tc>
      </w:tr>
      <w:tr w:rsidR="007A29BB" w:rsidRPr="00F87425" w14:paraId="4E766A46" w14:textId="77777777" w:rsidTr="00DA3702">
        <w:trPr>
          <w:trHeight w:val="276"/>
          <w:jc w:val="center"/>
        </w:trPr>
        <w:tc>
          <w:tcPr>
            <w:tcW w:w="282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A11D6C0" w14:textId="77777777" w:rsidR="007A29BB" w:rsidRPr="00C03774" w:rsidRDefault="007A29BB" w:rsidP="00DA3702">
            <w:pPr>
              <w:suppressAutoHyphens w:val="0"/>
              <w:spacing w:before="0" w:after="0"/>
              <w:jc w:val="left"/>
              <w:textAlignment w:val="auto"/>
              <w:rPr>
                <w:rFonts w:eastAsia="Times New Roman"/>
              </w:rPr>
            </w:pPr>
            <w:r w:rsidRPr="00F75448">
              <w:rPr>
                <w:rFonts w:eastAsia="Times New Roman"/>
              </w:rPr>
              <w:t>146 cm (5 pies) high output</w:t>
            </w:r>
          </w:p>
        </w:tc>
        <w:tc>
          <w:tcPr>
            <w:tcW w:w="226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9688228" w14:textId="77777777" w:rsidR="007A29BB" w:rsidRPr="00200E79" w:rsidRDefault="007A29BB" w:rsidP="00DA3702">
            <w:pPr>
              <w:suppressAutoHyphens w:val="0"/>
              <w:spacing w:before="0" w:after="0"/>
              <w:jc w:val="center"/>
              <w:textAlignment w:val="auto"/>
              <w:rPr>
                <w:rFonts w:eastAsia="Times New Roman"/>
              </w:rPr>
            </w:pPr>
            <w:r w:rsidRPr="00200E79">
              <w:rPr>
                <w:rFonts w:eastAsia="Times New Roman"/>
              </w:rPr>
              <w:t>≤4,500K</w:t>
            </w:r>
          </w:p>
          <w:p w14:paraId="5955FC7D" w14:textId="77777777" w:rsidR="007A29BB" w:rsidRPr="00C03774" w:rsidRDefault="007A29BB" w:rsidP="00DA3702">
            <w:pPr>
              <w:suppressAutoHyphens w:val="0"/>
              <w:spacing w:before="0" w:after="0"/>
              <w:jc w:val="center"/>
              <w:textAlignment w:val="auto"/>
              <w:rPr>
                <w:rFonts w:eastAsia="Times New Roman"/>
              </w:rPr>
            </w:pPr>
            <w:r w:rsidRPr="00200E79">
              <w:rPr>
                <w:rFonts w:eastAsia="Times New Roman"/>
              </w:rPr>
              <w:t>&gt;4,500K</w:t>
            </w:r>
          </w:p>
        </w:tc>
        <w:tc>
          <w:tcPr>
            <w:tcW w:w="141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2C43DF2" w14:textId="77777777" w:rsidR="007A29BB" w:rsidRPr="00BD2F71" w:rsidRDefault="007A29BB" w:rsidP="00DA3702">
            <w:pPr>
              <w:suppressAutoHyphens w:val="0"/>
              <w:spacing w:before="0" w:after="0"/>
              <w:jc w:val="center"/>
              <w:textAlignment w:val="auto"/>
              <w:rPr>
                <w:rFonts w:eastAsia="Times New Roman"/>
              </w:rPr>
            </w:pPr>
            <w:r w:rsidRPr="00BD2F71">
              <w:rPr>
                <w:rFonts w:eastAsia="Times New Roman"/>
              </w:rPr>
              <w:t>71</w:t>
            </w:r>
          </w:p>
          <w:p w14:paraId="4D895464" w14:textId="77777777" w:rsidR="007A29BB" w:rsidRPr="00130C34" w:rsidRDefault="007A29BB" w:rsidP="00DA3702">
            <w:pPr>
              <w:suppressAutoHyphens w:val="0"/>
              <w:spacing w:before="0" w:after="0"/>
              <w:jc w:val="center"/>
              <w:textAlignment w:val="auto"/>
              <w:rPr>
                <w:rFonts w:eastAsia="Times New Roman"/>
              </w:rPr>
            </w:pPr>
            <w:r w:rsidRPr="00BD2F71">
              <w:rPr>
                <w:rFonts w:eastAsia="Times New Roman"/>
              </w:rPr>
              <w:t>66</w:t>
            </w:r>
          </w:p>
        </w:tc>
        <w:tc>
          <w:tcPr>
            <w:tcW w:w="1417" w:type="dxa"/>
            <w:tcBorders>
              <w:top w:val="single" w:sz="6" w:space="0" w:color="9CC2E5"/>
              <w:left w:val="single" w:sz="6" w:space="0" w:color="9CC2E5"/>
              <w:bottom w:val="single" w:sz="6" w:space="0" w:color="9CC2E5"/>
              <w:right w:val="single" w:sz="6" w:space="0" w:color="9CC2E5"/>
            </w:tcBorders>
            <w:shd w:val="clear" w:color="auto" w:fill="DEEAF6"/>
          </w:tcPr>
          <w:p w14:paraId="28775440" w14:textId="77777777" w:rsidR="007A29BB" w:rsidRPr="00BD2F71" w:rsidRDefault="007A29BB" w:rsidP="00DA3702">
            <w:pPr>
              <w:suppressAutoHyphens w:val="0"/>
              <w:spacing w:before="0" w:after="0"/>
              <w:jc w:val="center"/>
              <w:textAlignment w:val="auto"/>
              <w:rPr>
                <w:rFonts w:eastAsia="Times New Roman"/>
              </w:rPr>
            </w:pPr>
            <w:r w:rsidRPr="00BD2F71">
              <w:rPr>
                <w:rFonts w:eastAsia="Times New Roman"/>
              </w:rPr>
              <w:t>77</w:t>
            </w:r>
          </w:p>
          <w:p w14:paraId="04E7DF83" w14:textId="77777777" w:rsidR="007A29BB" w:rsidRPr="00130C34" w:rsidRDefault="007A29BB" w:rsidP="00DA3702">
            <w:pPr>
              <w:suppressAutoHyphens w:val="0"/>
              <w:spacing w:before="0" w:after="0"/>
              <w:jc w:val="center"/>
              <w:textAlignment w:val="auto"/>
              <w:rPr>
                <w:rFonts w:eastAsia="Times New Roman"/>
              </w:rPr>
            </w:pPr>
            <w:r w:rsidRPr="00BD2F71">
              <w:rPr>
                <w:rFonts w:eastAsia="Times New Roman"/>
              </w:rPr>
              <w:t>74</w:t>
            </w:r>
          </w:p>
        </w:tc>
      </w:tr>
    </w:tbl>
    <w:p w14:paraId="2FD7D66C" w14:textId="4E81B6BD" w:rsidR="007A29BB" w:rsidRPr="00372406" w:rsidRDefault="007A29BB" w:rsidP="007A29BB">
      <w:pPr>
        <w:pStyle w:val="ListParagraph"/>
        <w:suppressAutoHyphens w:val="0"/>
        <w:spacing w:before="0" w:after="0"/>
        <w:ind w:left="0"/>
        <w:rPr>
          <w:sz w:val="20"/>
          <w:szCs w:val="20"/>
          <w:lang w:val="es-ES"/>
        </w:rPr>
      </w:pPr>
      <w:r w:rsidRPr="00372406">
        <w:rPr>
          <w:sz w:val="20"/>
          <w:szCs w:val="20"/>
          <w:lang w:val="es-ES"/>
        </w:rPr>
        <w:t xml:space="preserve">      *) LFL T5</w:t>
      </w:r>
      <w:r>
        <w:rPr>
          <w:sz w:val="20"/>
          <w:szCs w:val="20"/>
          <w:lang w:val="es-ES"/>
        </w:rPr>
        <w:t xml:space="preserve">   **) I</w:t>
      </w:r>
      <w:r w:rsidRPr="00372406">
        <w:rPr>
          <w:sz w:val="20"/>
          <w:szCs w:val="20"/>
          <w:lang w:val="es-ES"/>
        </w:rPr>
        <w:t>déntico a valor</w:t>
      </w:r>
      <w:r>
        <w:rPr>
          <w:sz w:val="20"/>
          <w:szCs w:val="20"/>
          <w:lang w:val="es-ES"/>
        </w:rPr>
        <w:t>es definido</w:t>
      </w:r>
      <w:r w:rsidRPr="00372406">
        <w:rPr>
          <w:sz w:val="20"/>
          <w:szCs w:val="20"/>
          <w:lang w:val="es-ES"/>
        </w:rPr>
        <w:t>s en PROY-NOM-028-ENER-2017</w:t>
      </w:r>
      <w:r w:rsidR="005A199A">
        <w:rPr>
          <w:sz w:val="20"/>
          <w:szCs w:val="20"/>
          <w:lang w:val="es-ES"/>
        </w:rPr>
        <w:t xml:space="preserve"> y NOM-028-ENER-2017</w:t>
      </w:r>
    </w:p>
    <w:p w14:paraId="0649C2A8" w14:textId="77777777" w:rsidR="007A29BB" w:rsidRDefault="007A29BB" w:rsidP="007A29BB">
      <w:pPr>
        <w:pStyle w:val="ListParagraph"/>
        <w:suppressAutoHyphens w:val="0"/>
        <w:ind w:left="0"/>
        <w:rPr>
          <w:lang w:val="es-ES"/>
        </w:rPr>
      </w:pPr>
    </w:p>
    <w:p w14:paraId="56BD5D34" w14:textId="77777777" w:rsidR="007A29BB" w:rsidRDefault="007A29BB" w:rsidP="007A29BB">
      <w:pPr>
        <w:pStyle w:val="Caption"/>
        <w:spacing w:after="0"/>
        <w:rPr>
          <w:lang w:val="es-ES"/>
        </w:rPr>
      </w:pPr>
      <w:r w:rsidRPr="00F75448">
        <w:rPr>
          <w:lang w:val="es-ES"/>
        </w:rPr>
        <w:t>NOM-028-ENER-2010: Lámparas</w:t>
      </w:r>
      <w:r>
        <w:rPr>
          <w:lang w:val="es-ES"/>
        </w:rPr>
        <w:t xml:space="preserve"> de descarga de alta intensidad</w:t>
      </w:r>
    </w:p>
    <w:p w14:paraId="39AD7A3E" w14:textId="77777777" w:rsidR="007A29BB" w:rsidRPr="00A96F74" w:rsidRDefault="007A29BB" w:rsidP="007A29BB">
      <w:pPr>
        <w:spacing w:before="0" w:after="140"/>
        <w:jc w:val="center"/>
        <w:rPr>
          <w:color w:val="002B7F"/>
          <w:lang w:val="es-ES"/>
        </w:rPr>
      </w:pPr>
      <w:r w:rsidRPr="00A96F74">
        <w:rPr>
          <w:i/>
          <w:color w:val="002B7F"/>
          <w:sz w:val="18"/>
          <w:lang w:val="es-ES"/>
        </w:rPr>
        <w:t>Fuente:</w:t>
      </w:r>
      <w:r w:rsidRPr="00E2630F">
        <w:rPr>
          <w:lang w:val="es-ES"/>
        </w:rPr>
        <w:t xml:space="preserve"> </w:t>
      </w:r>
      <w:r w:rsidRPr="00E2630F">
        <w:rPr>
          <w:rFonts w:cstheme="minorHAnsi"/>
          <w:color w:val="002B7F"/>
          <w:sz w:val="18"/>
          <w:lang w:val="es-PA"/>
        </w:rPr>
        <w:t xml:space="preserve">Elaboración propia en base de </w:t>
      </w:r>
      <w:r>
        <w:rPr>
          <w:rFonts w:cstheme="minorHAnsi"/>
          <w:color w:val="002B7F"/>
          <w:sz w:val="18"/>
          <w:lang w:val="es-PA"/>
        </w:rPr>
        <w:t>NOM-028-ENER</w:t>
      </w:r>
      <w:r w:rsidRPr="00E2630F">
        <w:rPr>
          <w:rFonts w:cstheme="minorHAnsi"/>
          <w:color w:val="002B7F"/>
          <w:sz w:val="18"/>
          <w:lang w:val="es-PA"/>
        </w:rPr>
        <w:t>-</w:t>
      </w:r>
      <w:r>
        <w:rPr>
          <w:rFonts w:cstheme="minorHAnsi"/>
          <w:color w:val="002B7F"/>
          <w:sz w:val="18"/>
          <w:lang w:val="es-PA"/>
        </w:rPr>
        <w:t>2010</w:t>
      </w:r>
    </w:p>
    <w:tbl>
      <w:tblPr>
        <w:tblW w:w="5084" w:type="pct"/>
        <w:jc w:val="center"/>
        <w:tblCellMar>
          <w:left w:w="10" w:type="dxa"/>
          <w:right w:w="10" w:type="dxa"/>
        </w:tblCellMar>
        <w:tblLook w:val="0000" w:firstRow="0" w:lastRow="0" w:firstColumn="0" w:lastColumn="0" w:noHBand="0" w:noVBand="0"/>
      </w:tblPr>
      <w:tblGrid>
        <w:gridCol w:w="2969"/>
        <w:gridCol w:w="2693"/>
        <w:gridCol w:w="2977"/>
      </w:tblGrid>
      <w:tr w:rsidR="007A29BB" w:rsidRPr="006C6495" w14:paraId="6DDD9FFC" w14:textId="77777777" w:rsidTr="00DA3702">
        <w:trPr>
          <w:jc w:val="center"/>
        </w:trPr>
        <w:tc>
          <w:tcPr>
            <w:tcW w:w="2969"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4F377B02" w14:textId="77777777" w:rsidR="007A29BB" w:rsidRPr="00F87425" w:rsidRDefault="007A29BB" w:rsidP="00DA3702">
            <w:pPr>
              <w:suppressAutoHyphens w:val="0"/>
              <w:spacing w:before="0" w:after="0"/>
              <w:jc w:val="left"/>
              <w:textAlignment w:val="auto"/>
              <w:rPr>
                <w:rFonts w:eastAsia="Times New Roman"/>
                <w:b/>
                <w:color w:val="FFFFFF" w:themeColor="background1"/>
                <w:lang w:val="es-ES"/>
              </w:rPr>
            </w:pPr>
            <w:r>
              <w:rPr>
                <w:rFonts w:eastAsia="Times New Roman"/>
                <w:b/>
                <w:color w:val="FFFFFF" w:themeColor="background1"/>
                <w:lang w:val="es-ES"/>
              </w:rPr>
              <w:t>Tipo de lámpara</w:t>
            </w:r>
          </w:p>
        </w:tc>
        <w:tc>
          <w:tcPr>
            <w:tcW w:w="2693" w:type="dxa"/>
            <w:tcBorders>
              <w:top w:val="single" w:sz="6" w:space="0" w:color="5B9BD5"/>
              <w:bottom w:val="single" w:sz="6" w:space="0" w:color="5B9BD5"/>
            </w:tcBorders>
            <w:shd w:val="clear" w:color="auto" w:fill="5B9BD5"/>
            <w:tcMar>
              <w:top w:w="0" w:type="dxa"/>
              <w:left w:w="108" w:type="dxa"/>
              <w:bottom w:w="0" w:type="dxa"/>
              <w:right w:w="108" w:type="dxa"/>
            </w:tcMar>
          </w:tcPr>
          <w:p w14:paraId="1E76D771" w14:textId="77777777" w:rsidR="007A29BB" w:rsidRPr="00F87425" w:rsidRDefault="007A29BB" w:rsidP="00DA3702">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Rango de potencia (W)</w:t>
            </w:r>
          </w:p>
        </w:tc>
        <w:tc>
          <w:tcPr>
            <w:tcW w:w="2977" w:type="dxa"/>
            <w:tcBorders>
              <w:top w:val="single" w:sz="6" w:space="0" w:color="5B9BD5"/>
              <w:bottom w:val="single" w:sz="6" w:space="0" w:color="5B9BD5"/>
            </w:tcBorders>
            <w:shd w:val="clear" w:color="auto" w:fill="5B9BD5"/>
            <w:tcMar>
              <w:top w:w="0" w:type="dxa"/>
              <w:left w:w="108" w:type="dxa"/>
              <w:bottom w:w="0" w:type="dxa"/>
              <w:right w:w="108" w:type="dxa"/>
            </w:tcMar>
          </w:tcPr>
          <w:p w14:paraId="5033CA1D" w14:textId="77777777" w:rsidR="007A29BB" w:rsidRPr="00F87425" w:rsidRDefault="007A29BB" w:rsidP="00DA3702">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Eficacia mínima (lm/W) *)</w:t>
            </w:r>
          </w:p>
        </w:tc>
      </w:tr>
      <w:tr w:rsidR="007A29BB" w:rsidRPr="00F87425" w14:paraId="2695E129" w14:textId="77777777" w:rsidTr="00DA3702">
        <w:trPr>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A4F8480" w14:textId="77777777" w:rsidR="007A29BB" w:rsidRPr="00F87425" w:rsidRDefault="007A29BB" w:rsidP="00DA3702">
            <w:pPr>
              <w:suppressAutoHyphens w:val="0"/>
              <w:spacing w:before="0" w:after="0"/>
              <w:jc w:val="left"/>
              <w:textAlignment w:val="auto"/>
              <w:rPr>
                <w:rFonts w:eastAsia="Times New Roman"/>
                <w:lang w:val="es-ES"/>
              </w:rPr>
            </w:pPr>
            <w:r w:rsidRPr="0014670C">
              <w:rPr>
                <w:rFonts w:eastAsia="Times New Roman"/>
                <w:lang w:val="es-ES"/>
              </w:rPr>
              <w:t>Vapor de mercurio</w:t>
            </w:r>
          </w:p>
        </w:tc>
        <w:tc>
          <w:tcPr>
            <w:tcW w:w="269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79B0961" w14:textId="77777777" w:rsidR="007A29BB" w:rsidRPr="00F87425" w:rsidRDefault="007A29BB" w:rsidP="00DA3702">
            <w:pPr>
              <w:suppressAutoHyphens w:val="0"/>
              <w:spacing w:before="0" w:after="0"/>
              <w:jc w:val="center"/>
              <w:textAlignment w:val="auto"/>
              <w:rPr>
                <w:rFonts w:eastAsia="Times New Roman"/>
                <w:lang w:val="es-ES"/>
              </w:rPr>
            </w:pPr>
            <w:r w:rsidRPr="0016210E">
              <w:rPr>
                <w:rFonts w:eastAsia="Times New Roman"/>
                <w:lang w:val="es-ES"/>
              </w:rPr>
              <w:t>–</w:t>
            </w:r>
          </w:p>
        </w:tc>
        <w:tc>
          <w:tcPr>
            <w:tcW w:w="297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1C390C6"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60</w:t>
            </w:r>
          </w:p>
        </w:tc>
      </w:tr>
      <w:tr w:rsidR="007A29BB" w:rsidRPr="00F87425" w14:paraId="6C49F79D" w14:textId="77777777" w:rsidTr="00DA3702">
        <w:trPr>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EEBA494" w14:textId="77777777" w:rsidR="007A29BB" w:rsidRPr="00F87425" w:rsidRDefault="007A29BB" w:rsidP="00DA3702">
            <w:pPr>
              <w:suppressAutoHyphens w:val="0"/>
              <w:spacing w:before="0" w:after="0"/>
              <w:jc w:val="left"/>
              <w:textAlignment w:val="auto"/>
              <w:rPr>
                <w:rFonts w:eastAsia="Times New Roman"/>
                <w:lang w:val="es-ES"/>
              </w:rPr>
            </w:pPr>
            <w:r w:rsidRPr="0016210E">
              <w:rPr>
                <w:rFonts w:eastAsia="Times New Roman"/>
                <w:lang w:val="es-ES"/>
              </w:rPr>
              <w:t>Aditivos metálicos de cuarzo</w:t>
            </w:r>
          </w:p>
        </w:tc>
        <w:tc>
          <w:tcPr>
            <w:tcW w:w="2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115B4EF" w14:textId="77777777" w:rsidR="007A29BB" w:rsidRPr="00F87425" w:rsidRDefault="007A29BB" w:rsidP="00DA3702">
            <w:pPr>
              <w:suppressAutoHyphens w:val="0"/>
              <w:spacing w:before="0" w:after="0"/>
              <w:jc w:val="center"/>
              <w:textAlignment w:val="auto"/>
              <w:rPr>
                <w:rFonts w:eastAsia="Times New Roman"/>
                <w:lang w:val="es-ES"/>
              </w:rPr>
            </w:pPr>
            <w:r w:rsidRPr="0016210E">
              <w:rPr>
                <w:rFonts w:eastAsia="Times New Roman"/>
                <w:lang w:val="es-ES"/>
              </w:rPr>
              <w:t>&lt; 175</w:t>
            </w:r>
          </w:p>
        </w:tc>
        <w:tc>
          <w:tcPr>
            <w:tcW w:w="297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8CAEF46"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60</w:t>
            </w:r>
          </w:p>
        </w:tc>
      </w:tr>
      <w:tr w:rsidR="007A29BB" w:rsidRPr="00F87425" w14:paraId="1ED9923E" w14:textId="77777777" w:rsidTr="00DA3702">
        <w:trPr>
          <w:trHeight w:val="242"/>
          <w:jc w:val="center"/>
        </w:trPr>
        <w:tc>
          <w:tcPr>
            <w:tcW w:w="2969"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6CAD4229" w14:textId="77777777" w:rsidR="007A29BB" w:rsidRPr="00F87425" w:rsidRDefault="007A29BB" w:rsidP="00DA3702">
            <w:pPr>
              <w:suppressAutoHyphens w:val="0"/>
              <w:spacing w:before="0" w:after="0"/>
              <w:jc w:val="left"/>
              <w:textAlignment w:val="auto"/>
              <w:rPr>
                <w:rFonts w:eastAsia="Times New Roman"/>
                <w:lang w:val="es-ES"/>
              </w:rPr>
            </w:pPr>
          </w:p>
        </w:tc>
        <w:tc>
          <w:tcPr>
            <w:tcW w:w="2693"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4DD0101C" w14:textId="77777777" w:rsidR="007A29BB" w:rsidRPr="00F87425" w:rsidRDefault="007A29BB" w:rsidP="00DA3702">
            <w:pPr>
              <w:suppressAutoHyphens w:val="0"/>
              <w:spacing w:before="0" w:after="0"/>
              <w:jc w:val="center"/>
              <w:textAlignment w:val="auto"/>
              <w:rPr>
                <w:rFonts w:eastAsia="Times New Roman"/>
                <w:lang w:val="es-ES"/>
              </w:rPr>
            </w:pPr>
            <w:r w:rsidRPr="0016210E">
              <w:rPr>
                <w:rFonts w:eastAsia="Times New Roman"/>
                <w:lang w:val="es-ES"/>
              </w:rPr>
              <w:t>≥ 175</w:t>
            </w:r>
          </w:p>
        </w:tc>
        <w:tc>
          <w:tcPr>
            <w:tcW w:w="2977"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4206EDB2"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65</w:t>
            </w:r>
          </w:p>
        </w:tc>
      </w:tr>
      <w:tr w:rsidR="007A29BB" w:rsidRPr="00F87425" w14:paraId="129785B5" w14:textId="77777777" w:rsidTr="00DA3702">
        <w:trPr>
          <w:trHeight w:val="276"/>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BCC206E" w14:textId="77777777" w:rsidR="007A29BB" w:rsidRPr="00F87425" w:rsidRDefault="007A29BB" w:rsidP="00DA3702">
            <w:pPr>
              <w:suppressAutoHyphens w:val="0"/>
              <w:spacing w:before="0" w:after="0"/>
              <w:jc w:val="left"/>
              <w:textAlignment w:val="auto"/>
              <w:rPr>
                <w:rFonts w:eastAsia="Times New Roman"/>
                <w:lang w:val="es-ES"/>
              </w:rPr>
            </w:pPr>
            <w:r w:rsidRPr="0016210E">
              <w:rPr>
                <w:rFonts w:eastAsia="Times New Roman"/>
                <w:lang w:val="es-ES"/>
              </w:rPr>
              <w:t>Aditivos metálicos cerámicos</w:t>
            </w:r>
          </w:p>
        </w:tc>
        <w:tc>
          <w:tcPr>
            <w:tcW w:w="2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104CF84" w14:textId="77777777" w:rsidR="007A29BB" w:rsidRPr="00F87425" w:rsidRDefault="007A29BB" w:rsidP="00DA3702">
            <w:pPr>
              <w:suppressAutoHyphens w:val="0"/>
              <w:spacing w:before="0" w:after="0"/>
              <w:jc w:val="center"/>
              <w:textAlignment w:val="auto"/>
              <w:rPr>
                <w:rFonts w:eastAsia="Times New Roman"/>
                <w:lang w:val="es-ES"/>
              </w:rPr>
            </w:pPr>
            <w:r w:rsidRPr="0016210E">
              <w:rPr>
                <w:rFonts w:eastAsia="Times New Roman"/>
                <w:lang w:val="es-ES"/>
              </w:rPr>
              <w:t>–</w:t>
            </w:r>
          </w:p>
        </w:tc>
        <w:tc>
          <w:tcPr>
            <w:tcW w:w="297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099AD3B"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70</w:t>
            </w:r>
          </w:p>
        </w:tc>
      </w:tr>
      <w:tr w:rsidR="007A29BB" w:rsidRPr="00F87425" w14:paraId="685BB186" w14:textId="77777777" w:rsidTr="00DA3702">
        <w:trPr>
          <w:trHeight w:val="276"/>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9F1247E" w14:textId="77777777" w:rsidR="007A29BB" w:rsidRPr="00F87425" w:rsidRDefault="007A29BB" w:rsidP="00DA3702">
            <w:pPr>
              <w:suppressAutoHyphens w:val="0"/>
              <w:spacing w:before="0" w:after="0"/>
              <w:jc w:val="left"/>
              <w:textAlignment w:val="auto"/>
              <w:rPr>
                <w:rFonts w:eastAsia="Times New Roman"/>
                <w:lang w:val="es-ES"/>
              </w:rPr>
            </w:pPr>
            <w:r w:rsidRPr="0016210E">
              <w:rPr>
                <w:rFonts w:eastAsia="Times New Roman"/>
                <w:lang w:val="es-ES"/>
              </w:rPr>
              <w:t>Vapor de sodio alta presión</w:t>
            </w:r>
          </w:p>
        </w:tc>
        <w:tc>
          <w:tcPr>
            <w:tcW w:w="269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311CCA8" w14:textId="77777777" w:rsidR="007A29BB" w:rsidRPr="00F87425" w:rsidRDefault="007A29BB" w:rsidP="00DA3702">
            <w:pPr>
              <w:suppressAutoHyphens w:val="0"/>
              <w:spacing w:before="0" w:after="0"/>
              <w:jc w:val="center"/>
              <w:textAlignment w:val="auto"/>
              <w:rPr>
                <w:rFonts w:eastAsia="Times New Roman"/>
                <w:lang w:val="es-ES"/>
              </w:rPr>
            </w:pPr>
            <w:r w:rsidRPr="0016210E">
              <w:rPr>
                <w:rFonts w:eastAsia="Times New Roman"/>
                <w:lang w:val="es-ES"/>
              </w:rPr>
              <w:t>≤ 100</w:t>
            </w:r>
          </w:p>
        </w:tc>
        <w:tc>
          <w:tcPr>
            <w:tcW w:w="297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CE500C8"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75</w:t>
            </w:r>
          </w:p>
        </w:tc>
      </w:tr>
      <w:tr w:rsidR="007A29BB" w:rsidRPr="00F87425" w14:paraId="57EA1706" w14:textId="77777777" w:rsidTr="00DA3702">
        <w:trPr>
          <w:trHeight w:val="276"/>
          <w:jc w:val="center"/>
        </w:trPr>
        <w:tc>
          <w:tcPr>
            <w:tcW w:w="2969"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0B65CB7" w14:textId="77777777" w:rsidR="007A29BB" w:rsidRPr="00F87425" w:rsidRDefault="007A29BB" w:rsidP="00DA3702">
            <w:pPr>
              <w:suppressAutoHyphens w:val="0"/>
              <w:spacing w:before="0" w:after="0"/>
              <w:jc w:val="left"/>
              <w:textAlignment w:val="auto"/>
              <w:rPr>
                <w:rFonts w:eastAsia="Times New Roman"/>
                <w:lang w:val="es-ES"/>
              </w:rPr>
            </w:pPr>
          </w:p>
        </w:tc>
        <w:tc>
          <w:tcPr>
            <w:tcW w:w="2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F0F95B3" w14:textId="77777777" w:rsidR="007A29BB" w:rsidRPr="00F87425" w:rsidRDefault="007A29BB" w:rsidP="00DA3702">
            <w:pPr>
              <w:suppressAutoHyphens w:val="0"/>
              <w:spacing w:before="0" w:after="0"/>
              <w:jc w:val="center"/>
              <w:textAlignment w:val="auto"/>
              <w:rPr>
                <w:rFonts w:eastAsia="Times New Roman"/>
                <w:lang w:val="es-ES"/>
              </w:rPr>
            </w:pPr>
            <w:r w:rsidRPr="0016210E">
              <w:rPr>
                <w:rFonts w:eastAsia="Times New Roman"/>
                <w:lang w:val="es-ES"/>
              </w:rPr>
              <w:t>&gt; 100</w:t>
            </w:r>
          </w:p>
        </w:tc>
        <w:tc>
          <w:tcPr>
            <w:tcW w:w="297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3EEB6DD"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90</w:t>
            </w:r>
          </w:p>
        </w:tc>
      </w:tr>
    </w:tbl>
    <w:p w14:paraId="4A8219BF" w14:textId="3375C45B" w:rsidR="007A29BB" w:rsidRPr="00372406" w:rsidRDefault="007A29BB" w:rsidP="007A29BB">
      <w:pPr>
        <w:pStyle w:val="ListParagraph"/>
        <w:suppressAutoHyphens w:val="0"/>
        <w:spacing w:before="0" w:after="0"/>
        <w:ind w:left="0"/>
        <w:rPr>
          <w:sz w:val="20"/>
          <w:szCs w:val="20"/>
          <w:lang w:val="es-ES"/>
        </w:rPr>
      </w:pPr>
      <w:r w:rsidRPr="00372406">
        <w:rPr>
          <w:sz w:val="20"/>
          <w:szCs w:val="20"/>
          <w:lang w:val="es-ES"/>
        </w:rPr>
        <w:t>*) Idéntico a valores definidos en PROY-NOM-028-ENER-2017</w:t>
      </w:r>
      <w:r w:rsidR="005A199A">
        <w:rPr>
          <w:sz w:val="20"/>
          <w:szCs w:val="20"/>
          <w:lang w:val="es-ES"/>
        </w:rPr>
        <w:t xml:space="preserve"> y NOM-028-ENER-2017</w:t>
      </w:r>
    </w:p>
    <w:p w14:paraId="7C2282AF" w14:textId="56D38BAC" w:rsidR="007A29BB" w:rsidRDefault="007A29BB" w:rsidP="007A29BB">
      <w:pPr>
        <w:pStyle w:val="ListParagraph"/>
        <w:suppressAutoHyphens w:val="0"/>
        <w:ind w:left="0"/>
        <w:rPr>
          <w:lang w:val="es-ES"/>
        </w:rPr>
      </w:pPr>
    </w:p>
    <w:p w14:paraId="0CA21E94" w14:textId="6534F42E" w:rsidR="007A29BB" w:rsidRDefault="007A29BB" w:rsidP="007A29BB">
      <w:pPr>
        <w:pStyle w:val="ListParagraph"/>
        <w:suppressAutoHyphens w:val="0"/>
        <w:ind w:left="0"/>
        <w:rPr>
          <w:lang w:val="es-ES"/>
        </w:rPr>
      </w:pPr>
    </w:p>
    <w:p w14:paraId="3B887728" w14:textId="77777777" w:rsidR="007A29BB" w:rsidRDefault="007A29BB" w:rsidP="007A29BB">
      <w:pPr>
        <w:pStyle w:val="ListParagraph"/>
        <w:suppressAutoHyphens w:val="0"/>
        <w:ind w:left="0"/>
        <w:rPr>
          <w:lang w:val="es-ES"/>
        </w:rPr>
      </w:pPr>
    </w:p>
    <w:p w14:paraId="52FC6CA8" w14:textId="77777777" w:rsidR="007A29BB" w:rsidRDefault="007A29BB" w:rsidP="007A29BB">
      <w:pPr>
        <w:pStyle w:val="Caption"/>
        <w:spacing w:after="0"/>
        <w:rPr>
          <w:lang w:val="es-ES"/>
        </w:rPr>
      </w:pPr>
      <w:r>
        <w:rPr>
          <w:lang w:val="es-ES"/>
        </w:rPr>
        <w:t>NOM-017-ENER/SCFI-2012</w:t>
      </w:r>
      <w:r w:rsidRPr="00F87425">
        <w:rPr>
          <w:lang w:val="es-ES"/>
        </w:rPr>
        <w:t xml:space="preserve">: </w:t>
      </w:r>
      <w:r w:rsidRPr="00775B8B">
        <w:rPr>
          <w:lang w:val="es-ES"/>
        </w:rPr>
        <w:t>Lámparas fluorescentes compactas</w:t>
      </w:r>
      <w:r>
        <w:rPr>
          <w:lang w:val="es-ES"/>
        </w:rPr>
        <w:t xml:space="preserve"> autobalastradas</w:t>
      </w:r>
    </w:p>
    <w:p w14:paraId="38E15740" w14:textId="77777777" w:rsidR="007A29BB" w:rsidRDefault="007A29BB" w:rsidP="007A29BB">
      <w:pPr>
        <w:spacing w:before="0" w:after="140"/>
        <w:jc w:val="center"/>
        <w:rPr>
          <w:rFonts w:cstheme="minorHAnsi"/>
          <w:color w:val="002B7F"/>
          <w:sz w:val="18"/>
          <w:lang w:val="es-PA"/>
        </w:rPr>
      </w:pPr>
      <w:r w:rsidRPr="00A96F74">
        <w:rPr>
          <w:i/>
          <w:color w:val="002B7F"/>
          <w:sz w:val="18"/>
          <w:lang w:val="es-ES"/>
        </w:rPr>
        <w:t>Fuente:</w:t>
      </w:r>
      <w:r w:rsidRPr="00E2630F">
        <w:rPr>
          <w:lang w:val="es-ES"/>
        </w:rPr>
        <w:t xml:space="preserve"> </w:t>
      </w:r>
      <w:r w:rsidRPr="00E2630F">
        <w:rPr>
          <w:rFonts w:cstheme="minorHAnsi"/>
          <w:color w:val="002B7F"/>
          <w:sz w:val="18"/>
          <w:lang w:val="es-PA"/>
        </w:rPr>
        <w:t xml:space="preserve">Elaboración propia en base de </w:t>
      </w:r>
      <w:r>
        <w:rPr>
          <w:rFonts w:cstheme="minorHAnsi"/>
          <w:color w:val="002B7F"/>
          <w:sz w:val="18"/>
          <w:lang w:val="es-PA"/>
        </w:rPr>
        <w:t>NOM-017-ENER/SCFI-2012</w:t>
      </w:r>
    </w:p>
    <w:tbl>
      <w:tblPr>
        <w:tblW w:w="5000" w:type="pct"/>
        <w:jc w:val="center"/>
        <w:tblCellMar>
          <w:left w:w="10" w:type="dxa"/>
          <w:right w:w="10" w:type="dxa"/>
        </w:tblCellMar>
        <w:tblLook w:val="0000" w:firstRow="0" w:lastRow="0" w:firstColumn="0" w:lastColumn="0" w:noHBand="0" w:noVBand="0"/>
      </w:tblPr>
      <w:tblGrid>
        <w:gridCol w:w="2544"/>
        <w:gridCol w:w="2126"/>
        <w:gridCol w:w="1985"/>
        <w:gridCol w:w="1841"/>
      </w:tblGrid>
      <w:tr w:rsidR="007A29BB" w:rsidRPr="00914127" w14:paraId="01B3F91D" w14:textId="77777777" w:rsidTr="00DA3702">
        <w:trPr>
          <w:jc w:val="center"/>
        </w:trPr>
        <w:tc>
          <w:tcPr>
            <w:tcW w:w="2544"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37DD1382" w14:textId="77777777" w:rsidR="007A29BB" w:rsidRPr="00130C34" w:rsidRDefault="007A29BB" w:rsidP="00DA3702">
            <w:pPr>
              <w:suppressAutoHyphens w:val="0"/>
              <w:spacing w:before="0" w:after="0"/>
              <w:jc w:val="center"/>
              <w:textAlignment w:val="auto"/>
              <w:rPr>
                <w:rFonts w:eastAsia="Times New Roman"/>
                <w:b/>
                <w:color w:val="FFFFFF" w:themeColor="background1"/>
                <w:lang w:val="es-ES"/>
              </w:rPr>
            </w:pPr>
            <w:r>
              <w:rPr>
                <w:rFonts w:eastAsia="Times New Roman"/>
                <w:b/>
                <w:color w:val="FFFFFF" w:themeColor="background1"/>
                <w:lang w:val="es-ES"/>
              </w:rPr>
              <w:t>Intervalo de potencia (W)</w:t>
            </w:r>
          </w:p>
        </w:tc>
        <w:tc>
          <w:tcPr>
            <w:tcW w:w="5952" w:type="dxa"/>
            <w:gridSpan w:val="3"/>
            <w:tcBorders>
              <w:top w:val="single" w:sz="6" w:space="0" w:color="5B9BD5"/>
              <w:bottom w:val="single" w:sz="6" w:space="0" w:color="5B9BD5"/>
            </w:tcBorders>
            <w:shd w:val="clear" w:color="auto" w:fill="5B9BD5"/>
            <w:tcMar>
              <w:top w:w="0" w:type="dxa"/>
              <w:left w:w="108" w:type="dxa"/>
              <w:bottom w:w="0" w:type="dxa"/>
              <w:right w:w="108" w:type="dxa"/>
            </w:tcMar>
          </w:tcPr>
          <w:p w14:paraId="3742333A" w14:textId="77777777" w:rsidR="007A29BB" w:rsidRPr="00130C34" w:rsidRDefault="007A29BB" w:rsidP="00DA3702">
            <w:pPr>
              <w:suppressAutoHyphens w:val="0"/>
              <w:spacing w:before="0" w:after="0"/>
              <w:jc w:val="center"/>
              <w:textAlignment w:val="auto"/>
              <w:rPr>
                <w:rFonts w:cs="Calibri"/>
                <w:b/>
                <w:bCs/>
                <w:color w:val="FFFFFF" w:themeColor="background1"/>
                <w:lang w:val="es-PA"/>
              </w:rPr>
            </w:pPr>
            <w:r>
              <w:rPr>
                <w:rFonts w:eastAsia="Times New Roman"/>
                <w:color w:val="FFFFFF" w:themeColor="background1"/>
                <w:lang w:val="es-ES"/>
              </w:rPr>
              <w:t>Eficacia luminosa mínima (lm/W)</w:t>
            </w:r>
          </w:p>
        </w:tc>
      </w:tr>
      <w:tr w:rsidR="007A29BB" w:rsidRPr="00130C34" w14:paraId="141769F4" w14:textId="77777777" w:rsidTr="00DA3702">
        <w:trPr>
          <w:jc w:val="center"/>
        </w:trPr>
        <w:tc>
          <w:tcPr>
            <w:tcW w:w="2544" w:type="dxa"/>
            <w:tcBorders>
              <w:top w:val="single" w:sz="6" w:space="0" w:color="5B9BD5"/>
              <w:left w:val="single" w:sz="6" w:space="0" w:color="5B9BD5"/>
              <w:bottom w:val="single" w:sz="6" w:space="0" w:color="5B9BD5"/>
            </w:tcBorders>
            <w:shd w:val="clear" w:color="auto" w:fill="9CC2E5"/>
            <w:tcMar>
              <w:top w:w="0" w:type="dxa"/>
              <w:left w:w="108" w:type="dxa"/>
              <w:bottom w:w="0" w:type="dxa"/>
              <w:right w:w="108" w:type="dxa"/>
            </w:tcMar>
          </w:tcPr>
          <w:p w14:paraId="7068741F" w14:textId="77777777" w:rsidR="007A29BB" w:rsidRDefault="007A29BB" w:rsidP="00DA3702">
            <w:pPr>
              <w:suppressAutoHyphens w:val="0"/>
              <w:spacing w:before="0" w:after="0"/>
              <w:jc w:val="center"/>
              <w:textAlignment w:val="auto"/>
              <w:rPr>
                <w:rFonts w:eastAsia="Times New Roman"/>
                <w:b/>
                <w:color w:val="FFFFFF" w:themeColor="background1"/>
                <w:lang w:val="es-ES"/>
              </w:rPr>
            </w:pPr>
          </w:p>
        </w:tc>
        <w:tc>
          <w:tcPr>
            <w:tcW w:w="2126" w:type="dxa"/>
            <w:tcBorders>
              <w:top w:val="single" w:sz="6" w:space="0" w:color="5B9BD5"/>
              <w:bottom w:val="single" w:sz="6" w:space="0" w:color="5B9BD5"/>
            </w:tcBorders>
            <w:shd w:val="clear" w:color="auto" w:fill="9CC2E5"/>
            <w:tcMar>
              <w:top w:w="0" w:type="dxa"/>
              <w:left w:w="108" w:type="dxa"/>
              <w:bottom w:w="0" w:type="dxa"/>
              <w:right w:w="108" w:type="dxa"/>
            </w:tcMar>
          </w:tcPr>
          <w:p w14:paraId="723BB801" w14:textId="77777777" w:rsidR="007A29BB" w:rsidRDefault="007A29BB" w:rsidP="00DA3702">
            <w:pPr>
              <w:suppressAutoHyphens w:val="0"/>
              <w:spacing w:before="0" w:after="0"/>
              <w:jc w:val="center"/>
              <w:textAlignment w:val="auto"/>
              <w:rPr>
                <w:rFonts w:eastAsia="Times New Roman"/>
                <w:color w:val="FFFFFF" w:themeColor="background1"/>
                <w:lang w:val="es-ES"/>
              </w:rPr>
            </w:pPr>
            <w:r>
              <w:rPr>
                <w:rFonts w:eastAsia="Times New Roman"/>
                <w:color w:val="FFFFFF" w:themeColor="background1"/>
                <w:lang w:val="es-ES"/>
              </w:rPr>
              <w:t>sin evolvente</w:t>
            </w:r>
          </w:p>
        </w:tc>
        <w:tc>
          <w:tcPr>
            <w:tcW w:w="1985" w:type="dxa"/>
            <w:tcBorders>
              <w:top w:val="single" w:sz="6" w:space="0" w:color="5B9BD5"/>
              <w:bottom w:val="single" w:sz="6" w:space="0" w:color="5B9BD5"/>
            </w:tcBorders>
            <w:shd w:val="clear" w:color="auto" w:fill="9CC2E5"/>
            <w:tcMar>
              <w:top w:w="0" w:type="dxa"/>
              <w:left w:w="108" w:type="dxa"/>
              <w:bottom w:w="0" w:type="dxa"/>
              <w:right w:w="108" w:type="dxa"/>
            </w:tcMar>
          </w:tcPr>
          <w:p w14:paraId="780F011C" w14:textId="77777777" w:rsidR="007A29BB" w:rsidRPr="00130C34" w:rsidRDefault="007A29BB" w:rsidP="00DA3702">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con evolvente</w:t>
            </w:r>
          </w:p>
        </w:tc>
        <w:tc>
          <w:tcPr>
            <w:tcW w:w="1841" w:type="dxa"/>
            <w:tcBorders>
              <w:top w:val="single" w:sz="6" w:space="0" w:color="5B9BD5"/>
              <w:bottom w:val="single" w:sz="6" w:space="0" w:color="5B9BD5"/>
            </w:tcBorders>
            <w:shd w:val="clear" w:color="auto" w:fill="9CC2E5"/>
          </w:tcPr>
          <w:p w14:paraId="72AA8E06" w14:textId="77777777" w:rsidR="007A29BB" w:rsidRPr="00130C34" w:rsidRDefault="007A29BB" w:rsidP="00DA3702">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con reflector</w:t>
            </w:r>
          </w:p>
        </w:tc>
      </w:tr>
      <w:tr w:rsidR="007A29BB" w:rsidRPr="001F1C6F" w14:paraId="176AA045" w14:textId="77777777" w:rsidTr="00DA3702">
        <w:trPr>
          <w:jc w:val="center"/>
        </w:trPr>
        <w:tc>
          <w:tcPr>
            <w:tcW w:w="2544"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1486D29" w14:textId="77777777" w:rsidR="007A29BB" w:rsidRPr="00130C34" w:rsidRDefault="007A29BB" w:rsidP="00DA3702">
            <w:pPr>
              <w:suppressAutoHyphens w:val="0"/>
              <w:spacing w:before="0" w:after="0"/>
              <w:jc w:val="center"/>
              <w:textAlignment w:val="auto"/>
              <w:rPr>
                <w:rFonts w:eastAsia="Times New Roman"/>
                <w:lang w:val="es-ES"/>
              </w:rPr>
            </w:pPr>
            <w:r w:rsidRPr="0054361C">
              <w:rPr>
                <w:rFonts w:eastAsia="Times New Roman"/>
                <w:lang w:val="es-ES"/>
              </w:rPr>
              <w:t>P &gt; 22</w:t>
            </w:r>
          </w:p>
        </w:tc>
        <w:tc>
          <w:tcPr>
            <w:tcW w:w="2126"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290AE96"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60</w:t>
            </w:r>
          </w:p>
        </w:tc>
        <w:tc>
          <w:tcPr>
            <w:tcW w:w="198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3869186"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52</w:t>
            </w:r>
          </w:p>
        </w:tc>
        <w:tc>
          <w:tcPr>
            <w:tcW w:w="1841" w:type="dxa"/>
            <w:tcBorders>
              <w:top w:val="single" w:sz="6" w:space="0" w:color="9CC2E5"/>
              <w:left w:val="single" w:sz="6" w:space="0" w:color="9CC2E5"/>
              <w:bottom w:val="single" w:sz="6" w:space="0" w:color="9CC2E5"/>
              <w:right w:val="single" w:sz="6" w:space="0" w:color="9CC2E5"/>
            </w:tcBorders>
          </w:tcPr>
          <w:p w14:paraId="0C89A424"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40</w:t>
            </w:r>
          </w:p>
        </w:tc>
      </w:tr>
      <w:tr w:rsidR="007A29BB" w:rsidRPr="001F1C6F" w14:paraId="451D89B3" w14:textId="77777777" w:rsidTr="00DA3702">
        <w:trPr>
          <w:jc w:val="center"/>
        </w:trPr>
        <w:tc>
          <w:tcPr>
            <w:tcW w:w="2544"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0932A77" w14:textId="77777777" w:rsidR="007A29BB" w:rsidRPr="00130C34" w:rsidRDefault="007A29BB" w:rsidP="00DA3702">
            <w:pPr>
              <w:suppressAutoHyphens w:val="0"/>
              <w:spacing w:before="0" w:after="0"/>
              <w:jc w:val="center"/>
              <w:textAlignment w:val="auto"/>
              <w:rPr>
                <w:rFonts w:eastAsia="Times New Roman"/>
                <w:lang w:val="es-ES"/>
              </w:rPr>
            </w:pPr>
            <w:r w:rsidRPr="0054361C">
              <w:rPr>
                <w:rFonts w:eastAsia="Times New Roman"/>
                <w:lang w:val="es-ES"/>
              </w:rPr>
              <w:t>18 &lt; P ≤ 22</w:t>
            </w:r>
          </w:p>
        </w:tc>
        <w:tc>
          <w:tcPr>
            <w:tcW w:w="2126"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8D1084C"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57</w:t>
            </w:r>
          </w:p>
        </w:tc>
        <w:tc>
          <w:tcPr>
            <w:tcW w:w="198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6382931"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48</w:t>
            </w:r>
          </w:p>
        </w:tc>
        <w:tc>
          <w:tcPr>
            <w:tcW w:w="1841" w:type="dxa"/>
            <w:tcBorders>
              <w:top w:val="single" w:sz="6" w:space="0" w:color="9CC2E5"/>
              <w:left w:val="single" w:sz="6" w:space="0" w:color="9CC2E5"/>
              <w:bottom w:val="single" w:sz="6" w:space="0" w:color="9CC2E5"/>
              <w:right w:val="single" w:sz="6" w:space="0" w:color="9CC2E5"/>
            </w:tcBorders>
            <w:shd w:val="clear" w:color="auto" w:fill="DEEAF6"/>
          </w:tcPr>
          <w:p w14:paraId="139137FC"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40</w:t>
            </w:r>
          </w:p>
        </w:tc>
      </w:tr>
      <w:tr w:rsidR="007A29BB" w:rsidRPr="001F1C6F" w14:paraId="5DA982FE" w14:textId="77777777" w:rsidTr="00DA3702">
        <w:trPr>
          <w:trHeight w:val="242"/>
          <w:jc w:val="center"/>
        </w:trPr>
        <w:tc>
          <w:tcPr>
            <w:tcW w:w="2544"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193878FD" w14:textId="77777777" w:rsidR="007A29BB" w:rsidRPr="00130C34" w:rsidRDefault="007A29BB" w:rsidP="00DA3702">
            <w:pPr>
              <w:suppressAutoHyphens w:val="0"/>
              <w:spacing w:before="0" w:after="0"/>
              <w:jc w:val="center"/>
              <w:textAlignment w:val="auto"/>
              <w:rPr>
                <w:rFonts w:eastAsia="Times New Roman"/>
                <w:lang w:val="es-ES"/>
              </w:rPr>
            </w:pPr>
            <w:r w:rsidRPr="0054361C">
              <w:rPr>
                <w:rFonts w:eastAsia="Times New Roman"/>
                <w:lang w:val="es-ES"/>
              </w:rPr>
              <w:t>14 &lt; P ≤ 18</w:t>
            </w:r>
          </w:p>
        </w:tc>
        <w:tc>
          <w:tcPr>
            <w:tcW w:w="2126"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26863709"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52</w:t>
            </w:r>
          </w:p>
        </w:tc>
        <w:tc>
          <w:tcPr>
            <w:tcW w:w="1985"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05FA25CC"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46</w:t>
            </w:r>
          </w:p>
        </w:tc>
        <w:tc>
          <w:tcPr>
            <w:tcW w:w="1841" w:type="dxa"/>
            <w:tcBorders>
              <w:top w:val="single" w:sz="6" w:space="0" w:color="9CC2E5"/>
              <w:left w:val="single" w:sz="6" w:space="0" w:color="9CC2E5"/>
              <w:bottom w:val="single" w:sz="6" w:space="0" w:color="9CC2E5"/>
              <w:right w:val="single" w:sz="6" w:space="0" w:color="9CC2E5"/>
            </w:tcBorders>
          </w:tcPr>
          <w:p w14:paraId="6888A832"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33</w:t>
            </w:r>
          </w:p>
        </w:tc>
      </w:tr>
      <w:tr w:rsidR="007A29BB" w:rsidRPr="001F1C6F" w14:paraId="09E49F3E" w14:textId="77777777" w:rsidTr="00DA3702">
        <w:trPr>
          <w:trHeight w:val="276"/>
          <w:jc w:val="center"/>
        </w:trPr>
        <w:tc>
          <w:tcPr>
            <w:tcW w:w="2544"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B133BA4" w14:textId="77777777" w:rsidR="007A29BB" w:rsidRPr="00130C34" w:rsidRDefault="007A29BB" w:rsidP="00DA3702">
            <w:pPr>
              <w:suppressAutoHyphens w:val="0"/>
              <w:spacing w:before="0" w:after="0"/>
              <w:jc w:val="center"/>
              <w:textAlignment w:val="auto"/>
              <w:rPr>
                <w:rFonts w:eastAsia="Times New Roman"/>
                <w:lang w:val="es-ES"/>
              </w:rPr>
            </w:pPr>
            <w:r w:rsidRPr="0054361C">
              <w:rPr>
                <w:rFonts w:eastAsia="Times New Roman"/>
                <w:lang w:val="es-ES"/>
              </w:rPr>
              <w:t>10 &lt; P ≤ 14</w:t>
            </w:r>
          </w:p>
        </w:tc>
        <w:tc>
          <w:tcPr>
            <w:tcW w:w="2126"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BE3D599"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50</w:t>
            </w:r>
          </w:p>
        </w:tc>
        <w:tc>
          <w:tcPr>
            <w:tcW w:w="198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E863250"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40</w:t>
            </w:r>
          </w:p>
        </w:tc>
        <w:tc>
          <w:tcPr>
            <w:tcW w:w="1841" w:type="dxa"/>
            <w:tcBorders>
              <w:top w:val="single" w:sz="6" w:space="0" w:color="9CC2E5"/>
              <w:left w:val="single" w:sz="6" w:space="0" w:color="9CC2E5"/>
              <w:bottom w:val="single" w:sz="6" w:space="0" w:color="9CC2E5"/>
              <w:right w:val="single" w:sz="6" w:space="0" w:color="9CC2E5"/>
            </w:tcBorders>
            <w:shd w:val="clear" w:color="auto" w:fill="DEEAF6"/>
          </w:tcPr>
          <w:p w14:paraId="6D44F7D5" w14:textId="77777777" w:rsidR="007A29BB" w:rsidRPr="00130C34" w:rsidRDefault="007A29BB" w:rsidP="00DA3702">
            <w:pPr>
              <w:suppressAutoHyphens w:val="0"/>
              <w:spacing w:before="0" w:after="0"/>
              <w:jc w:val="center"/>
              <w:textAlignment w:val="auto"/>
              <w:rPr>
                <w:rFonts w:eastAsia="Times New Roman"/>
                <w:lang w:val="es-ES"/>
              </w:rPr>
            </w:pPr>
            <w:r>
              <w:rPr>
                <w:rFonts w:eastAsia="Times New Roman"/>
                <w:lang w:val="es-ES"/>
              </w:rPr>
              <w:t>33</w:t>
            </w:r>
          </w:p>
        </w:tc>
      </w:tr>
      <w:tr w:rsidR="007A29BB" w:rsidRPr="001F1C6F" w14:paraId="4E20D37C" w14:textId="77777777" w:rsidTr="00DA3702">
        <w:trPr>
          <w:trHeight w:val="276"/>
          <w:jc w:val="center"/>
        </w:trPr>
        <w:tc>
          <w:tcPr>
            <w:tcW w:w="2544"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2BDC08D" w14:textId="77777777" w:rsidR="007A29BB" w:rsidRPr="0054361C" w:rsidRDefault="007A29BB" w:rsidP="00DA3702">
            <w:pPr>
              <w:suppressAutoHyphens w:val="0"/>
              <w:spacing w:before="0" w:after="0"/>
              <w:jc w:val="center"/>
              <w:textAlignment w:val="auto"/>
              <w:rPr>
                <w:rFonts w:eastAsia="Times New Roman"/>
                <w:lang w:val="es-ES"/>
              </w:rPr>
            </w:pPr>
            <w:r w:rsidRPr="0054361C">
              <w:rPr>
                <w:rFonts w:eastAsia="Times New Roman"/>
                <w:lang w:val="es-ES"/>
              </w:rPr>
              <w:t>7 &lt; P ≤ 10</w:t>
            </w:r>
          </w:p>
        </w:tc>
        <w:tc>
          <w:tcPr>
            <w:tcW w:w="2126"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490AF72" w14:textId="77777777" w:rsidR="007A29BB" w:rsidRDefault="007A29BB" w:rsidP="00DA3702">
            <w:pPr>
              <w:suppressAutoHyphens w:val="0"/>
              <w:spacing w:before="0" w:after="0"/>
              <w:jc w:val="center"/>
              <w:textAlignment w:val="auto"/>
              <w:rPr>
                <w:rFonts w:eastAsia="Times New Roman"/>
                <w:lang w:val="es-ES"/>
              </w:rPr>
            </w:pPr>
            <w:r>
              <w:rPr>
                <w:rFonts w:eastAsia="Times New Roman"/>
                <w:lang w:val="es-ES"/>
              </w:rPr>
              <w:t>48</w:t>
            </w:r>
          </w:p>
        </w:tc>
        <w:tc>
          <w:tcPr>
            <w:tcW w:w="198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DA79A88" w14:textId="77777777" w:rsidR="007A29BB" w:rsidRPr="00D534CE" w:rsidRDefault="007A29BB" w:rsidP="00DA3702">
            <w:pPr>
              <w:suppressAutoHyphens w:val="0"/>
              <w:spacing w:before="0" w:after="0"/>
              <w:jc w:val="center"/>
              <w:textAlignment w:val="auto"/>
              <w:rPr>
                <w:rFonts w:eastAsia="Times New Roman"/>
                <w:lang w:val="es-ES"/>
              </w:rPr>
            </w:pPr>
            <w:r>
              <w:rPr>
                <w:rFonts w:eastAsia="Times New Roman"/>
                <w:lang w:val="es-ES"/>
              </w:rPr>
              <w:t>38</w:t>
            </w:r>
          </w:p>
        </w:tc>
        <w:tc>
          <w:tcPr>
            <w:tcW w:w="1841" w:type="dxa"/>
            <w:tcBorders>
              <w:top w:val="single" w:sz="6" w:space="0" w:color="9CC2E5"/>
              <w:left w:val="single" w:sz="6" w:space="0" w:color="9CC2E5"/>
              <w:bottom w:val="single" w:sz="6" w:space="0" w:color="9CC2E5"/>
              <w:right w:val="single" w:sz="6" w:space="0" w:color="9CC2E5"/>
            </w:tcBorders>
            <w:shd w:val="clear" w:color="auto" w:fill="auto"/>
          </w:tcPr>
          <w:p w14:paraId="41E01F62" w14:textId="77777777" w:rsidR="007A29BB" w:rsidRPr="00D534CE" w:rsidRDefault="007A29BB" w:rsidP="00DA3702">
            <w:pPr>
              <w:suppressAutoHyphens w:val="0"/>
              <w:spacing w:before="0" w:after="0"/>
              <w:jc w:val="center"/>
              <w:textAlignment w:val="auto"/>
              <w:rPr>
                <w:rFonts w:eastAsia="Times New Roman"/>
                <w:lang w:val="es-ES"/>
              </w:rPr>
            </w:pPr>
            <w:r>
              <w:rPr>
                <w:rFonts w:eastAsia="Times New Roman"/>
                <w:lang w:val="es-ES"/>
              </w:rPr>
              <w:t>33</w:t>
            </w:r>
          </w:p>
        </w:tc>
      </w:tr>
      <w:tr w:rsidR="007A29BB" w:rsidRPr="001F1C6F" w14:paraId="0336C6E7" w14:textId="77777777" w:rsidTr="00DA3702">
        <w:trPr>
          <w:trHeight w:val="276"/>
          <w:jc w:val="center"/>
        </w:trPr>
        <w:tc>
          <w:tcPr>
            <w:tcW w:w="2544"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C5E1091" w14:textId="77777777" w:rsidR="007A29BB" w:rsidRPr="0054361C" w:rsidRDefault="007A29BB" w:rsidP="00DA3702">
            <w:pPr>
              <w:suppressAutoHyphens w:val="0"/>
              <w:spacing w:before="0" w:after="0"/>
              <w:jc w:val="center"/>
              <w:textAlignment w:val="auto"/>
              <w:rPr>
                <w:rFonts w:eastAsia="Times New Roman"/>
                <w:lang w:val="es-ES"/>
              </w:rPr>
            </w:pPr>
            <w:r w:rsidRPr="0054361C">
              <w:rPr>
                <w:rFonts w:eastAsia="Times New Roman"/>
                <w:lang w:val="es-ES"/>
              </w:rPr>
              <w:t>P ≤ 7</w:t>
            </w:r>
          </w:p>
        </w:tc>
        <w:tc>
          <w:tcPr>
            <w:tcW w:w="2126"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FAE6052" w14:textId="77777777" w:rsidR="007A29BB" w:rsidRDefault="007A29BB" w:rsidP="00DA3702">
            <w:pPr>
              <w:suppressAutoHyphens w:val="0"/>
              <w:spacing w:before="0" w:after="0"/>
              <w:jc w:val="center"/>
              <w:textAlignment w:val="auto"/>
              <w:rPr>
                <w:rFonts w:eastAsia="Times New Roman"/>
                <w:lang w:val="es-ES"/>
              </w:rPr>
            </w:pPr>
            <w:r>
              <w:rPr>
                <w:rFonts w:eastAsia="Times New Roman"/>
                <w:lang w:val="es-ES"/>
              </w:rPr>
              <w:t>45</w:t>
            </w:r>
          </w:p>
        </w:tc>
        <w:tc>
          <w:tcPr>
            <w:tcW w:w="198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FB1F4DD" w14:textId="77777777" w:rsidR="007A29BB" w:rsidRPr="00D534CE" w:rsidRDefault="007A29BB" w:rsidP="00DA3702">
            <w:pPr>
              <w:suppressAutoHyphens w:val="0"/>
              <w:spacing w:before="0" w:after="0"/>
              <w:jc w:val="center"/>
              <w:textAlignment w:val="auto"/>
              <w:rPr>
                <w:rFonts w:eastAsia="Times New Roman"/>
                <w:lang w:val="es-ES"/>
              </w:rPr>
            </w:pPr>
            <w:r>
              <w:rPr>
                <w:rFonts w:eastAsia="Times New Roman"/>
                <w:lang w:val="es-ES"/>
              </w:rPr>
              <w:t>35</w:t>
            </w:r>
          </w:p>
        </w:tc>
        <w:tc>
          <w:tcPr>
            <w:tcW w:w="1841" w:type="dxa"/>
            <w:tcBorders>
              <w:top w:val="single" w:sz="6" w:space="0" w:color="9CC2E5"/>
              <w:left w:val="single" w:sz="6" w:space="0" w:color="9CC2E5"/>
              <w:bottom w:val="single" w:sz="6" w:space="0" w:color="9CC2E5"/>
              <w:right w:val="single" w:sz="6" w:space="0" w:color="9CC2E5"/>
            </w:tcBorders>
            <w:shd w:val="clear" w:color="auto" w:fill="DEEAF6"/>
          </w:tcPr>
          <w:p w14:paraId="690BC2A3" w14:textId="77777777" w:rsidR="007A29BB" w:rsidRPr="00D534CE" w:rsidRDefault="007A29BB" w:rsidP="00DA3702">
            <w:pPr>
              <w:suppressAutoHyphens w:val="0"/>
              <w:spacing w:before="0" w:after="0"/>
              <w:jc w:val="center"/>
              <w:textAlignment w:val="auto"/>
              <w:rPr>
                <w:rFonts w:eastAsia="Times New Roman"/>
                <w:lang w:val="es-ES"/>
              </w:rPr>
            </w:pPr>
            <w:r>
              <w:rPr>
                <w:rFonts w:eastAsia="Times New Roman"/>
                <w:lang w:val="es-ES"/>
              </w:rPr>
              <w:t>33</w:t>
            </w:r>
          </w:p>
        </w:tc>
      </w:tr>
    </w:tbl>
    <w:p w14:paraId="313FBA57" w14:textId="63F890FE" w:rsidR="007A29BB" w:rsidRDefault="007A29BB" w:rsidP="007A29BB">
      <w:pPr>
        <w:spacing w:before="0" w:after="140"/>
        <w:jc w:val="center"/>
        <w:rPr>
          <w:rFonts w:cstheme="minorHAnsi"/>
          <w:color w:val="002B7F"/>
          <w:sz w:val="18"/>
          <w:lang w:val="es-PA"/>
        </w:rPr>
      </w:pPr>
    </w:p>
    <w:p w14:paraId="51DF516A" w14:textId="77777777" w:rsidR="007A29BB" w:rsidRDefault="007A29BB" w:rsidP="007A29BB">
      <w:pPr>
        <w:spacing w:before="0" w:after="140"/>
        <w:jc w:val="center"/>
        <w:rPr>
          <w:rFonts w:cstheme="minorHAnsi"/>
          <w:color w:val="002B7F"/>
          <w:sz w:val="18"/>
          <w:lang w:val="es-PA"/>
        </w:rPr>
      </w:pPr>
    </w:p>
    <w:p w14:paraId="74DC77B0" w14:textId="77777777" w:rsidR="007A29BB" w:rsidRDefault="007A29BB" w:rsidP="007A29BB">
      <w:pPr>
        <w:pStyle w:val="Caption"/>
        <w:spacing w:after="0"/>
        <w:rPr>
          <w:lang w:val="es-ES"/>
        </w:rPr>
      </w:pPr>
      <w:r w:rsidRPr="0016210E">
        <w:rPr>
          <w:lang w:val="es-ES"/>
        </w:rPr>
        <w:t>NOM-030-ENER-2016: Lámparas LED integradas para uso general</w:t>
      </w:r>
    </w:p>
    <w:p w14:paraId="48E8A435" w14:textId="77777777" w:rsidR="007A29BB" w:rsidRDefault="007A29BB" w:rsidP="007A29BB">
      <w:pPr>
        <w:spacing w:before="0" w:after="140"/>
        <w:jc w:val="center"/>
        <w:rPr>
          <w:rFonts w:cstheme="minorHAnsi"/>
          <w:color w:val="002B7F"/>
          <w:sz w:val="18"/>
          <w:lang w:val="es-PA"/>
        </w:rPr>
      </w:pPr>
      <w:r w:rsidRPr="00A96F74">
        <w:rPr>
          <w:i/>
          <w:color w:val="002B7F"/>
          <w:sz w:val="18"/>
          <w:lang w:val="es-ES"/>
        </w:rPr>
        <w:t>Fuente:</w:t>
      </w:r>
      <w:r w:rsidRPr="00E2630F">
        <w:rPr>
          <w:lang w:val="es-ES"/>
        </w:rPr>
        <w:t xml:space="preserve"> </w:t>
      </w:r>
      <w:r w:rsidRPr="00E2630F">
        <w:rPr>
          <w:rFonts w:cstheme="minorHAnsi"/>
          <w:color w:val="002B7F"/>
          <w:sz w:val="18"/>
          <w:lang w:val="es-PA"/>
        </w:rPr>
        <w:t xml:space="preserve">Elaboración propia en base de </w:t>
      </w:r>
      <w:r>
        <w:rPr>
          <w:rFonts w:cstheme="minorHAnsi"/>
          <w:color w:val="002B7F"/>
          <w:sz w:val="18"/>
          <w:lang w:val="es-PA"/>
        </w:rPr>
        <w:t>NOM-030-ENER-2016</w:t>
      </w:r>
    </w:p>
    <w:tbl>
      <w:tblPr>
        <w:tblW w:w="5084" w:type="pct"/>
        <w:jc w:val="center"/>
        <w:tblCellMar>
          <w:left w:w="10" w:type="dxa"/>
          <w:right w:w="10" w:type="dxa"/>
        </w:tblCellMar>
        <w:tblLook w:val="0000" w:firstRow="0" w:lastRow="0" w:firstColumn="0" w:lastColumn="0" w:noHBand="0" w:noVBand="0"/>
      </w:tblPr>
      <w:tblGrid>
        <w:gridCol w:w="3820"/>
        <w:gridCol w:w="2551"/>
        <w:gridCol w:w="2268"/>
      </w:tblGrid>
      <w:tr w:rsidR="007A29BB" w:rsidRPr="006C6495" w14:paraId="352C3EBD" w14:textId="77777777" w:rsidTr="00DA3702">
        <w:trPr>
          <w:jc w:val="center"/>
        </w:trPr>
        <w:tc>
          <w:tcPr>
            <w:tcW w:w="3820"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1FF0561B" w14:textId="77777777" w:rsidR="007A29BB" w:rsidRPr="00F87425" w:rsidRDefault="007A29BB" w:rsidP="00DA3702">
            <w:pPr>
              <w:suppressAutoHyphens w:val="0"/>
              <w:spacing w:before="0" w:after="0"/>
              <w:jc w:val="left"/>
              <w:textAlignment w:val="auto"/>
              <w:rPr>
                <w:rFonts w:eastAsia="Times New Roman"/>
                <w:b/>
                <w:color w:val="FFFFFF" w:themeColor="background1"/>
                <w:lang w:val="es-ES"/>
              </w:rPr>
            </w:pPr>
            <w:r>
              <w:rPr>
                <w:rFonts w:eastAsia="Times New Roman"/>
                <w:b/>
                <w:color w:val="FFFFFF" w:themeColor="background1"/>
                <w:lang w:val="es-ES"/>
              </w:rPr>
              <w:t>Tipo de lámpara</w:t>
            </w:r>
          </w:p>
        </w:tc>
        <w:tc>
          <w:tcPr>
            <w:tcW w:w="2551" w:type="dxa"/>
            <w:tcBorders>
              <w:top w:val="single" w:sz="6" w:space="0" w:color="5B9BD5"/>
              <w:bottom w:val="single" w:sz="6" w:space="0" w:color="5B9BD5"/>
            </w:tcBorders>
            <w:shd w:val="clear" w:color="auto" w:fill="5B9BD5"/>
            <w:tcMar>
              <w:top w:w="0" w:type="dxa"/>
              <w:left w:w="108" w:type="dxa"/>
              <w:bottom w:w="0" w:type="dxa"/>
              <w:right w:w="108" w:type="dxa"/>
            </w:tcMar>
          </w:tcPr>
          <w:p w14:paraId="6223FCE8" w14:textId="77777777" w:rsidR="007A29BB" w:rsidRPr="00F87425" w:rsidRDefault="007A29BB" w:rsidP="00DA3702">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Intervalo flujo luminoso nominal (lm)</w:t>
            </w:r>
          </w:p>
        </w:tc>
        <w:tc>
          <w:tcPr>
            <w:tcW w:w="2268" w:type="dxa"/>
            <w:tcBorders>
              <w:top w:val="single" w:sz="6" w:space="0" w:color="5B9BD5"/>
              <w:bottom w:val="single" w:sz="6" w:space="0" w:color="5B9BD5"/>
            </w:tcBorders>
            <w:shd w:val="clear" w:color="auto" w:fill="5B9BD5"/>
            <w:tcMar>
              <w:top w:w="0" w:type="dxa"/>
              <w:left w:w="108" w:type="dxa"/>
              <w:bottom w:w="0" w:type="dxa"/>
              <w:right w:w="108" w:type="dxa"/>
            </w:tcMar>
          </w:tcPr>
          <w:p w14:paraId="19AA4BD7" w14:textId="77777777" w:rsidR="007A29BB" w:rsidRPr="00F87425" w:rsidRDefault="007A29BB" w:rsidP="00DA3702">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Eficacia mínima (lm/W)</w:t>
            </w:r>
          </w:p>
        </w:tc>
      </w:tr>
      <w:tr w:rsidR="007A29BB" w:rsidRPr="00F87425" w14:paraId="5AAD1358" w14:textId="77777777" w:rsidTr="00DA3702">
        <w:trPr>
          <w:jc w:val="center"/>
        </w:trPr>
        <w:tc>
          <w:tcPr>
            <w:tcW w:w="382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D6FA502" w14:textId="77777777" w:rsidR="007A29BB" w:rsidRPr="00F87425" w:rsidRDefault="007A29BB" w:rsidP="00DA3702">
            <w:pPr>
              <w:suppressAutoHyphens w:val="0"/>
              <w:spacing w:before="0" w:after="0"/>
              <w:jc w:val="left"/>
              <w:textAlignment w:val="auto"/>
              <w:rPr>
                <w:rFonts w:eastAsia="Times New Roman"/>
                <w:lang w:val="es-ES"/>
              </w:rPr>
            </w:pPr>
            <w:r w:rsidRPr="0089509A">
              <w:rPr>
                <w:rFonts w:eastAsia="Times New Roman"/>
                <w:lang w:val="es-ES"/>
              </w:rPr>
              <w:t>LED integrada omnidireccional con forma de bulbo A, BT, P, PS, T, etc.</w:t>
            </w:r>
          </w:p>
        </w:tc>
        <w:tc>
          <w:tcPr>
            <w:tcW w:w="25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F1A4173" w14:textId="77777777" w:rsidR="007A29BB" w:rsidRPr="00F87425" w:rsidRDefault="007A29BB" w:rsidP="00DA3702">
            <w:pPr>
              <w:suppressAutoHyphens w:val="0"/>
              <w:spacing w:before="0" w:after="0"/>
              <w:jc w:val="center"/>
              <w:textAlignment w:val="auto"/>
              <w:rPr>
                <w:rFonts w:eastAsia="Times New Roman"/>
                <w:lang w:val="es-ES"/>
              </w:rPr>
            </w:pPr>
            <w:r w:rsidRPr="0089509A">
              <w:rPr>
                <w:rFonts w:eastAsia="Times New Roman"/>
                <w:lang w:val="es-ES"/>
              </w:rPr>
              <w:t>φ ≤ 325</w:t>
            </w:r>
          </w:p>
        </w:tc>
        <w:tc>
          <w:tcPr>
            <w:tcW w:w="226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D4DBF34"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55</w:t>
            </w:r>
          </w:p>
        </w:tc>
      </w:tr>
      <w:tr w:rsidR="007A29BB" w:rsidRPr="00F87425" w14:paraId="2C8EE20B" w14:textId="77777777" w:rsidTr="00DA3702">
        <w:trPr>
          <w:jc w:val="center"/>
        </w:trPr>
        <w:tc>
          <w:tcPr>
            <w:tcW w:w="382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CCBEEB6" w14:textId="77777777" w:rsidR="007A29BB" w:rsidRPr="00F87425" w:rsidRDefault="007A29BB" w:rsidP="00DA3702">
            <w:pPr>
              <w:suppressAutoHyphens w:val="0"/>
              <w:spacing w:before="0" w:after="0"/>
              <w:jc w:val="left"/>
              <w:textAlignment w:val="auto"/>
              <w:rPr>
                <w:rFonts w:eastAsia="Times New Roman"/>
                <w:lang w:val="es-ES"/>
              </w:rPr>
            </w:pPr>
          </w:p>
        </w:tc>
        <w:tc>
          <w:tcPr>
            <w:tcW w:w="25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6918A7D" w14:textId="77777777" w:rsidR="007A29BB" w:rsidRPr="00F87425" w:rsidRDefault="007A29BB" w:rsidP="00DA3702">
            <w:pPr>
              <w:suppressAutoHyphens w:val="0"/>
              <w:spacing w:before="0" w:after="0"/>
              <w:jc w:val="center"/>
              <w:textAlignment w:val="auto"/>
              <w:rPr>
                <w:rFonts w:eastAsia="Times New Roman"/>
                <w:lang w:val="es-ES"/>
              </w:rPr>
            </w:pPr>
            <w:r w:rsidRPr="006E624E">
              <w:rPr>
                <w:rFonts w:eastAsia="Times New Roman"/>
                <w:lang w:val="es-ES"/>
              </w:rPr>
              <w:t>325 &lt; φ ≤ 450</w:t>
            </w:r>
          </w:p>
        </w:tc>
        <w:tc>
          <w:tcPr>
            <w:tcW w:w="226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87ADD76"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65</w:t>
            </w:r>
          </w:p>
        </w:tc>
      </w:tr>
      <w:tr w:rsidR="007A29BB" w:rsidRPr="00F87425" w14:paraId="2564C869" w14:textId="77777777" w:rsidTr="00DA3702">
        <w:trPr>
          <w:trHeight w:val="242"/>
          <w:jc w:val="center"/>
        </w:trPr>
        <w:tc>
          <w:tcPr>
            <w:tcW w:w="3820"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0082823D" w14:textId="77777777" w:rsidR="007A29BB" w:rsidRPr="00F87425" w:rsidRDefault="007A29BB" w:rsidP="00DA3702">
            <w:pPr>
              <w:suppressAutoHyphens w:val="0"/>
              <w:spacing w:before="0" w:after="0"/>
              <w:jc w:val="left"/>
              <w:textAlignment w:val="auto"/>
              <w:rPr>
                <w:rFonts w:eastAsia="Times New Roman"/>
                <w:lang w:val="es-ES"/>
              </w:rPr>
            </w:pPr>
          </w:p>
        </w:tc>
        <w:tc>
          <w:tcPr>
            <w:tcW w:w="2551"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29CB0127" w14:textId="77777777" w:rsidR="007A29BB" w:rsidRPr="00F87425" w:rsidRDefault="007A29BB" w:rsidP="00DA3702">
            <w:pPr>
              <w:suppressAutoHyphens w:val="0"/>
              <w:spacing w:before="0" w:after="0"/>
              <w:jc w:val="center"/>
              <w:textAlignment w:val="auto"/>
              <w:rPr>
                <w:rFonts w:eastAsia="Times New Roman"/>
                <w:lang w:val="es-ES"/>
              </w:rPr>
            </w:pPr>
            <w:r w:rsidRPr="006E624E">
              <w:rPr>
                <w:rFonts w:eastAsia="Times New Roman"/>
                <w:lang w:val="es-ES"/>
              </w:rPr>
              <w:t>450 &lt; φ ≤ 800</w:t>
            </w:r>
          </w:p>
        </w:tc>
        <w:tc>
          <w:tcPr>
            <w:tcW w:w="2268"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6BF80856"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65</w:t>
            </w:r>
          </w:p>
        </w:tc>
      </w:tr>
      <w:tr w:rsidR="007A29BB" w:rsidRPr="00F87425" w14:paraId="4539AAA1" w14:textId="77777777" w:rsidTr="00DA3702">
        <w:trPr>
          <w:trHeight w:val="276"/>
          <w:jc w:val="center"/>
        </w:trPr>
        <w:tc>
          <w:tcPr>
            <w:tcW w:w="382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6693B70" w14:textId="77777777" w:rsidR="007A29BB" w:rsidRPr="00F87425" w:rsidRDefault="007A29BB" w:rsidP="00DA3702">
            <w:pPr>
              <w:suppressAutoHyphens w:val="0"/>
              <w:spacing w:before="0" w:after="0"/>
              <w:jc w:val="left"/>
              <w:textAlignment w:val="auto"/>
              <w:rPr>
                <w:rFonts w:eastAsia="Times New Roman"/>
                <w:lang w:val="es-ES"/>
              </w:rPr>
            </w:pPr>
          </w:p>
        </w:tc>
        <w:tc>
          <w:tcPr>
            <w:tcW w:w="25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E1A029E" w14:textId="77777777" w:rsidR="007A29BB" w:rsidRPr="00F87425" w:rsidRDefault="007A29BB" w:rsidP="00DA3702">
            <w:pPr>
              <w:suppressAutoHyphens w:val="0"/>
              <w:spacing w:before="0" w:after="0"/>
              <w:jc w:val="center"/>
              <w:textAlignment w:val="auto"/>
              <w:rPr>
                <w:rFonts w:eastAsia="Times New Roman"/>
                <w:lang w:val="es-ES"/>
              </w:rPr>
            </w:pPr>
            <w:r w:rsidRPr="006E624E">
              <w:rPr>
                <w:rFonts w:eastAsia="Times New Roman"/>
                <w:lang w:val="es-ES"/>
              </w:rPr>
              <w:t>800 &lt; φ ≤ 1100</w:t>
            </w:r>
          </w:p>
        </w:tc>
        <w:tc>
          <w:tcPr>
            <w:tcW w:w="226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6E33374"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70</w:t>
            </w:r>
          </w:p>
        </w:tc>
      </w:tr>
      <w:tr w:rsidR="007A29BB" w:rsidRPr="00F87425" w14:paraId="5C9E0FB1" w14:textId="77777777" w:rsidTr="00DA3702">
        <w:trPr>
          <w:trHeight w:val="276"/>
          <w:jc w:val="center"/>
        </w:trPr>
        <w:tc>
          <w:tcPr>
            <w:tcW w:w="382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053B2E3" w14:textId="77777777" w:rsidR="007A29BB" w:rsidRPr="00F87425" w:rsidRDefault="007A29BB" w:rsidP="00DA3702">
            <w:pPr>
              <w:suppressAutoHyphens w:val="0"/>
              <w:spacing w:before="0" w:after="0"/>
              <w:jc w:val="left"/>
              <w:textAlignment w:val="auto"/>
              <w:rPr>
                <w:rFonts w:eastAsia="Times New Roman"/>
                <w:lang w:val="es-ES"/>
              </w:rPr>
            </w:pPr>
          </w:p>
        </w:tc>
        <w:tc>
          <w:tcPr>
            <w:tcW w:w="25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602847C" w14:textId="77777777" w:rsidR="007A29BB" w:rsidRPr="00F87425" w:rsidRDefault="007A29BB" w:rsidP="00DA3702">
            <w:pPr>
              <w:suppressAutoHyphens w:val="0"/>
              <w:spacing w:before="0" w:after="0"/>
              <w:jc w:val="center"/>
              <w:textAlignment w:val="auto"/>
              <w:rPr>
                <w:rFonts w:eastAsia="Times New Roman"/>
                <w:lang w:val="es-ES"/>
              </w:rPr>
            </w:pPr>
            <w:r w:rsidRPr="006E624E">
              <w:rPr>
                <w:rFonts w:eastAsia="Times New Roman"/>
                <w:lang w:val="es-ES"/>
              </w:rPr>
              <w:t>1100 &lt; φ ≤ 1600</w:t>
            </w:r>
          </w:p>
        </w:tc>
        <w:tc>
          <w:tcPr>
            <w:tcW w:w="226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9A1509B"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70</w:t>
            </w:r>
          </w:p>
        </w:tc>
      </w:tr>
      <w:tr w:rsidR="007A29BB" w:rsidRPr="00F87425" w14:paraId="7435700F" w14:textId="77777777" w:rsidTr="00DA3702">
        <w:trPr>
          <w:trHeight w:val="276"/>
          <w:jc w:val="center"/>
        </w:trPr>
        <w:tc>
          <w:tcPr>
            <w:tcW w:w="382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6CCDAC9" w14:textId="77777777" w:rsidR="007A29BB" w:rsidRPr="00F87425" w:rsidRDefault="007A29BB" w:rsidP="00DA3702">
            <w:pPr>
              <w:suppressAutoHyphens w:val="0"/>
              <w:spacing w:before="0" w:after="0"/>
              <w:jc w:val="left"/>
              <w:textAlignment w:val="auto"/>
              <w:rPr>
                <w:rFonts w:eastAsia="Times New Roman"/>
                <w:lang w:val="es-ES"/>
              </w:rPr>
            </w:pPr>
          </w:p>
        </w:tc>
        <w:tc>
          <w:tcPr>
            <w:tcW w:w="25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BF2108E" w14:textId="77777777" w:rsidR="007A29BB" w:rsidRPr="00F87425" w:rsidRDefault="007A29BB" w:rsidP="00DA3702">
            <w:pPr>
              <w:suppressAutoHyphens w:val="0"/>
              <w:spacing w:before="0" w:after="0"/>
              <w:jc w:val="center"/>
              <w:textAlignment w:val="auto"/>
              <w:rPr>
                <w:rFonts w:eastAsia="Times New Roman"/>
                <w:lang w:val="es-ES"/>
              </w:rPr>
            </w:pPr>
            <w:r w:rsidRPr="006E624E">
              <w:rPr>
                <w:rFonts w:eastAsia="Times New Roman"/>
                <w:lang w:val="es-ES"/>
              </w:rPr>
              <w:t>&gt; 1600</w:t>
            </w:r>
          </w:p>
        </w:tc>
        <w:tc>
          <w:tcPr>
            <w:tcW w:w="226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07218FD"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70</w:t>
            </w:r>
          </w:p>
        </w:tc>
      </w:tr>
      <w:tr w:rsidR="007A29BB" w:rsidRPr="0089509A" w14:paraId="2F522CD1" w14:textId="77777777" w:rsidTr="00DA3702">
        <w:trPr>
          <w:trHeight w:val="276"/>
          <w:jc w:val="center"/>
        </w:trPr>
        <w:tc>
          <w:tcPr>
            <w:tcW w:w="382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118DA99" w14:textId="77777777" w:rsidR="007A29BB" w:rsidRPr="00F87425" w:rsidRDefault="007A29BB" w:rsidP="00DA3702">
            <w:pPr>
              <w:suppressAutoHyphens w:val="0"/>
              <w:spacing w:before="0" w:after="0"/>
              <w:jc w:val="left"/>
              <w:textAlignment w:val="auto"/>
              <w:rPr>
                <w:rFonts w:eastAsia="Times New Roman"/>
                <w:lang w:val="es-ES"/>
              </w:rPr>
            </w:pPr>
            <w:r w:rsidRPr="0089509A">
              <w:rPr>
                <w:rFonts w:eastAsia="Times New Roman"/>
                <w:lang w:val="es-ES"/>
              </w:rPr>
              <w:t>LED integrada omnidireccional con forma de bulbo BA, C, CA, F, G</w:t>
            </w:r>
          </w:p>
        </w:tc>
        <w:tc>
          <w:tcPr>
            <w:tcW w:w="25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186EFD4" w14:textId="77777777" w:rsidR="007A29BB" w:rsidRPr="00775B8B" w:rsidRDefault="007A29BB" w:rsidP="00DA3702">
            <w:pPr>
              <w:suppressAutoHyphens w:val="0"/>
              <w:spacing w:before="0" w:after="0"/>
              <w:jc w:val="center"/>
              <w:textAlignment w:val="auto"/>
              <w:rPr>
                <w:rFonts w:eastAsia="Times New Roman"/>
                <w:lang w:val="es-ES"/>
              </w:rPr>
            </w:pPr>
            <w:r w:rsidRPr="006E624E">
              <w:rPr>
                <w:rFonts w:eastAsia="Times New Roman"/>
                <w:lang w:val="es-ES"/>
              </w:rPr>
              <w:t>φ ≤ 150</w:t>
            </w:r>
          </w:p>
        </w:tc>
        <w:tc>
          <w:tcPr>
            <w:tcW w:w="226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0AB8675" w14:textId="77777777" w:rsidR="007A29BB" w:rsidRPr="00775B8B" w:rsidRDefault="007A29BB" w:rsidP="00DA3702">
            <w:pPr>
              <w:suppressAutoHyphens w:val="0"/>
              <w:spacing w:before="0" w:after="0"/>
              <w:jc w:val="center"/>
              <w:textAlignment w:val="auto"/>
              <w:rPr>
                <w:rFonts w:eastAsia="Times New Roman"/>
                <w:lang w:val="es-ES"/>
              </w:rPr>
            </w:pPr>
            <w:r>
              <w:rPr>
                <w:rFonts w:eastAsia="Times New Roman"/>
                <w:lang w:val="es-ES"/>
              </w:rPr>
              <w:t>55</w:t>
            </w:r>
          </w:p>
        </w:tc>
      </w:tr>
      <w:tr w:rsidR="007A29BB" w:rsidRPr="0089509A" w14:paraId="14A99EA2" w14:textId="77777777" w:rsidTr="00DA3702">
        <w:trPr>
          <w:trHeight w:val="276"/>
          <w:jc w:val="center"/>
        </w:trPr>
        <w:tc>
          <w:tcPr>
            <w:tcW w:w="382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E8E207E" w14:textId="77777777" w:rsidR="007A29BB" w:rsidRPr="00F87425" w:rsidRDefault="007A29BB" w:rsidP="00DA3702">
            <w:pPr>
              <w:suppressAutoHyphens w:val="0"/>
              <w:spacing w:before="0" w:after="0"/>
              <w:jc w:val="left"/>
              <w:textAlignment w:val="auto"/>
              <w:rPr>
                <w:rFonts w:eastAsia="Times New Roman"/>
                <w:lang w:val="es-ES"/>
              </w:rPr>
            </w:pPr>
          </w:p>
        </w:tc>
        <w:tc>
          <w:tcPr>
            <w:tcW w:w="25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D81886C" w14:textId="77777777" w:rsidR="007A29BB" w:rsidRPr="00775B8B" w:rsidRDefault="007A29BB" w:rsidP="00DA3702">
            <w:pPr>
              <w:suppressAutoHyphens w:val="0"/>
              <w:spacing w:before="0" w:after="0"/>
              <w:jc w:val="center"/>
              <w:textAlignment w:val="auto"/>
              <w:rPr>
                <w:rFonts w:eastAsia="Times New Roman"/>
                <w:lang w:val="es-ES"/>
              </w:rPr>
            </w:pPr>
            <w:r w:rsidRPr="006E624E">
              <w:rPr>
                <w:rFonts w:eastAsia="Times New Roman"/>
                <w:lang w:val="es-ES"/>
              </w:rPr>
              <w:t>150 &lt; φ ≤ 300</w:t>
            </w:r>
          </w:p>
        </w:tc>
        <w:tc>
          <w:tcPr>
            <w:tcW w:w="2268"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D5B5A72" w14:textId="77777777" w:rsidR="007A29BB" w:rsidRPr="00775B8B" w:rsidRDefault="007A29BB" w:rsidP="00DA3702">
            <w:pPr>
              <w:suppressAutoHyphens w:val="0"/>
              <w:spacing w:before="0" w:after="0"/>
              <w:jc w:val="center"/>
              <w:textAlignment w:val="auto"/>
              <w:rPr>
                <w:rFonts w:eastAsia="Times New Roman"/>
                <w:lang w:val="es-ES"/>
              </w:rPr>
            </w:pPr>
            <w:r>
              <w:rPr>
                <w:rFonts w:eastAsia="Times New Roman"/>
                <w:lang w:val="es-ES"/>
              </w:rPr>
              <w:t>55</w:t>
            </w:r>
          </w:p>
        </w:tc>
      </w:tr>
      <w:tr w:rsidR="007A29BB" w:rsidRPr="0089509A" w14:paraId="3754A9DA" w14:textId="77777777" w:rsidTr="00DA3702">
        <w:trPr>
          <w:trHeight w:val="276"/>
          <w:jc w:val="center"/>
        </w:trPr>
        <w:tc>
          <w:tcPr>
            <w:tcW w:w="382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A3770D0" w14:textId="77777777" w:rsidR="007A29BB" w:rsidRPr="00F87425" w:rsidRDefault="007A29BB" w:rsidP="00DA3702">
            <w:pPr>
              <w:suppressAutoHyphens w:val="0"/>
              <w:spacing w:before="0" w:after="0"/>
              <w:jc w:val="left"/>
              <w:textAlignment w:val="auto"/>
              <w:rPr>
                <w:rFonts w:eastAsia="Times New Roman"/>
                <w:lang w:val="es-ES"/>
              </w:rPr>
            </w:pPr>
          </w:p>
        </w:tc>
        <w:tc>
          <w:tcPr>
            <w:tcW w:w="25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BEFABBC" w14:textId="77777777" w:rsidR="007A29BB" w:rsidRPr="00775B8B" w:rsidRDefault="007A29BB" w:rsidP="00DA3702">
            <w:pPr>
              <w:suppressAutoHyphens w:val="0"/>
              <w:spacing w:before="0" w:after="0"/>
              <w:jc w:val="center"/>
              <w:textAlignment w:val="auto"/>
              <w:rPr>
                <w:rFonts w:eastAsia="Times New Roman"/>
                <w:lang w:val="es-ES"/>
              </w:rPr>
            </w:pPr>
            <w:r w:rsidRPr="006E624E">
              <w:rPr>
                <w:rFonts w:eastAsia="Times New Roman"/>
                <w:lang w:val="es-ES"/>
              </w:rPr>
              <w:t>&gt; 300</w:t>
            </w:r>
          </w:p>
        </w:tc>
        <w:tc>
          <w:tcPr>
            <w:tcW w:w="2268"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49C32C6" w14:textId="77777777" w:rsidR="007A29BB" w:rsidRPr="00775B8B" w:rsidRDefault="007A29BB" w:rsidP="00DA3702">
            <w:pPr>
              <w:suppressAutoHyphens w:val="0"/>
              <w:spacing w:before="0" w:after="0"/>
              <w:jc w:val="center"/>
              <w:textAlignment w:val="auto"/>
              <w:rPr>
                <w:rFonts w:eastAsia="Times New Roman"/>
                <w:lang w:val="es-ES"/>
              </w:rPr>
            </w:pPr>
            <w:r>
              <w:rPr>
                <w:rFonts w:eastAsia="Times New Roman"/>
                <w:lang w:val="es-ES"/>
              </w:rPr>
              <w:t>65</w:t>
            </w:r>
          </w:p>
        </w:tc>
      </w:tr>
    </w:tbl>
    <w:p w14:paraId="4604D474" w14:textId="77777777" w:rsidR="007A29BB" w:rsidRPr="006E624E" w:rsidRDefault="007A29BB" w:rsidP="007A29BB">
      <w:pPr>
        <w:pStyle w:val="ListParagraph"/>
        <w:suppressAutoHyphens w:val="0"/>
        <w:spacing w:before="0" w:after="0"/>
        <w:ind w:left="0"/>
        <w:rPr>
          <w:sz w:val="20"/>
          <w:szCs w:val="20"/>
          <w:lang w:val="es-ES"/>
        </w:rPr>
      </w:pPr>
      <w:r w:rsidRPr="006E624E">
        <w:rPr>
          <w:sz w:val="20"/>
          <w:szCs w:val="20"/>
          <w:lang w:val="es-ES"/>
        </w:rPr>
        <w:t>Nota: Las formas de bulbo son definidas en el Apéndice J de la NOM-030-ENER-2016</w:t>
      </w:r>
    </w:p>
    <w:p w14:paraId="42575230" w14:textId="77777777" w:rsidR="007A29BB" w:rsidRDefault="007A29BB" w:rsidP="007A29BB">
      <w:pPr>
        <w:pStyle w:val="ListParagraph"/>
        <w:suppressAutoHyphens w:val="0"/>
        <w:ind w:left="0"/>
        <w:rPr>
          <w:lang w:val="es-ES"/>
        </w:rPr>
      </w:pPr>
    </w:p>
    <w:p w14:paraId="2AF8D26E" w14:textId="77777777" w:rsidR="007A29BB" w:rsidRDefault="007A29BB" w:rsidP="007A29BB">
      <w:pPr>
        <w:pStyle w:val="Caption"/>
        <w:spacing w:after="0"/>
        <w:rPr>
          <w:lang w:val="es-ES"/>
        </w:rPr>
      </w:pPr>
      <w:r w:rsidRPr="006E624E">
        <w:rPr>
          <w:lang w:val="es-ES"/>
        </w:rPr>
        <w:t>NOM-031-ENER-2016: Luminarios LED para alumbrado exterior</w:t>
      </w:r>
    </w:p>
    <w:p w14:paraId="26AD9B62" w14:textId="77777777" w:rsidR="007A29BB" w:rsidRDefault="007A29BB" w:rsidP="007A29BB">
      <w:pPr>
        <w:spacing w:before="0" w:after="140"/>
        <w:jc w:val="center"/>
        <w:rPr>
          <w:rFonts w:cstheme="minorHAnsi"/>
          <w:color w:val="002B7F"/>
          <w:sz w:val="18"/>
          <w:lang w:val="es-PA"/>
        </w:rPr>
      </w:pPr>
      <w:r w:rsidRPr="00A96F74">
        <w:rPr>
          <w:i/>
          <w:color w:val="002B7F"/>
          <w:sz w:val="18"/>
          <w:lang w:val="es-ES"/>
        </w:rPr>
        <w:t>Fuente:</w:t>
      </w:r>
      <w:r w:rsidRPr="00E2630F">
        <w:rPr>
          <w:lang w:val="es-ES"/>
        </w:rPr>
        <w:t xml:space="preserve"> </w:t>
      </w:r>
      <w:r w:rsidRPr="00E2630F">
        <w:rPr>
          <w:rFonts w:cstheme="minorHAnsi"/>
          <w:color w:val="002B7F"/>
          <w:sz w:val="18"/>
          <w:lang w:val="es-PA"/>
        </w:rPr>
        <w:t xml:space="preserve">Elaboración propia en base de </w:t>
      </w:r>
      <w:r>
        <w:rPr>
          <w:rFonts w:cstheme="minorHAnsi"/>
          <w:color w:val="002B7F"/>
          <w:sz w:val="18"/>
          <w:lang w:val="es-PA"/>
        </w:rPr>
        <w:t>NOM-031-ENER-2016</w:t>
      </w:r>
    </w:p>
    <w:tbl>
      <w:tblPr>
        <w:tblW w:w="4500" w:type="pct"/>
        <w:jc w:val="center"/>
        <w:tblCellMar>
          <w:left w:w="10" w:type="dxa"/>
          <w:right w:w="10" w:type="dxa"/>
        </w:tblCellMar>
        <w:tblLook w:val="0000" w:firstRow="0" w:lastRow="0" w:firstColumn="0" w:lastColumn="0" w:noHBand="0" w:noVBand="0"/>
      </w:tblPr>
      <w:tblGrid>
        <w:gridCol w:w="4386"/>
        <w:gridCol w:w="3260"/>
      </w:tblGrid>
      <w:tr w:rsidR="007A29BB" w:rsidRPr="00914127" w14:paraId="4BCA06CA" w14:textId="77777777" w:rsidTr="00DA3702">
        <w:trPr>
          <w:jc w:val="center"/>
        </w:trPr>
        <w:tc>
          <w:tcPr>
            <w:tcW w:w="4386"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6D2EB4C6" w14:textId="77777777" w:rsidR="007A29BB" w:rsidRPr="00F87425" w:rsidRDefault="007A29BB" w:rsidP="00DA3702">
            <w:pPr>
              <w:suppressAutoHyphens w:val="0"/>
              <w:spacing w:before="0" w:after="0"/>
              <w:jc w:val="left"/>
              <w:textAlignment w:val="auto"/>
              <w:rPr>
                <w:rFonts w:eastAsia="Times New Roman"/>
                <w:b/>
                <w:color w:val="FFFFFF" w:themeColor="background1"/>
                <w:lang w:val="es-ES"/>
              </w:rPr>
            </w:pPr>
            <w:r>
              <w:rPr>
                <w:rFonts w:eastAsia="Times New Roman"/>
                <w:b/>
                <w:color w:val="FFFFFF" w:themeColor="background1"/>
                <w:lang w:val="es-ES"/>
              </w:rPr>
              <w:t>Luminario para instalarse en:</w:t>
            </w:r>
          </w:p>
        </w:tc>
        <w:tc>
          <w:tcPr>
            <w:tcW w:w="3260" w:type="dxa"/>
            <w:tcBorders>
              <w:top w:val="single" w:sz="6" w:space="0" w:color="5B9BD5"/>
              <w:bottom w:val="single" w:sz="6" w:space="0" w:color="5B9BD5"/>
            </w:tcBorders>
            <w:shd w:val="clear" w:color="auto" w:fill="5B9BD5"/>
            <w:tcMar>
              <w:top w:w="0" w:type="dxa"/>
              <w:left w:w="108" w:type="dxa"/>
              <w:bottom w:w="0" w:type="dxa"/>
              <w:right w:w="108" w:type="dxa"/>
            </w:tcMar>
          </w:tcPr>
          <w:p w14:paraId="33D9F648" w14:textId="77777777" w:rsidR="007A29BB" w:rsidRPr="00F87425" w:rsidRDefault="007A29BB" w:rsidP="00DA3702">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Eficacia luminosa mínima (lm/W)</w:t>
            </w:r>
          </w:p>
        </w:tc>
      </w:tr>
      <w:tr w:rsidR="007A29BB" w:rsidRPr="00F87425" w14:paraId="0EEF8A90" w14:textId="77777777" w:rsidTr="00DA3702">
        <w:trPr>
          <w:jc w:val="center"/>
        </w:trPr>
        <w:tc>
          <w:tcPr>
            <w:tcW w:w="4386"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0735D09" w14:textId="77777777" w:rsidR="007A29BB" w:rsidRPr="00F87425" w:rsidRDefault="007A29BB" w:rsidP="00DA3702">
            <w:pPr>
              <w:suppressAutoHyphens w:val="0"/>
              <w:spacing w:before="0" w:after="0"/>
              <w:jc w:val="left"/>
              <w:textAlignment w:val="auto"/>
              <w:rPr>
                <w:rFonts w:eastAsia="Times New Roman"/>
                <w:lang w:val="es-ES"/>
              </w:rPr>
            </w:pPr>
            <w:r>
              <w:rPr>
                <w:rFonts w:eastAsia="Times New Roman"/>
                <w:lang w:val="es-ES"/>
              </w:rPr>
              <w:t>Pared</w:t>
            </w:r>
          </w:p>
        </w:tc>
        <w:tc>
          <w:tcPr>
            <w:tcW w:w="326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4C4DA18"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52</w:t>
            </w:r>
          </w:p>
        </w:tc>
      </w:tr>
      <w:tr w:rsidR="007A29BB" w:rsidRPr="00F87425" w14:paraId="36D77409" w14:textId="77777777" w:rsidTr="00DA3702">
        <w:trPr>
          <w:jc w:val="center"/>
        </w:trPr>
        <w:tc>
          <w:tcPr>
            <w:tcW w:w="4386"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6A36080" w14:textId="77777777" w:rsidR="007A29BB" w:rsidRPr="00F87425" w:rsidRDefault="007A29BB" w:rsidP="00DA3702">
            <w:pPr>
              <w:suppressAutoHyphens w:val="0"/>
              <w:spacing w:before="0" w:after="0"/>
              <w:jc w:val="left"/>
              <w:textAlignment w:val="auto"/>
              <w:rPr>
                <w:rFonts w:eastAsia="Times New Roman"/>
                <w:lang w:val="es-ES"/>
              </w:rPr>
            </w:pPr>
            <w:r>
              <w:rPr>
                <w:rFonts w:eastAsia="Times New Roman"/>
                <w:lang w:val="es-ES"/>
              </w:rPr>
              <w:t>Poste</w:t>
            </w:r>
          </w:p>
        </w:tc>
        <w:tc>
          <w:tcPr>
            <w:tcW w:w="326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4B9CC18" w14:textId="77777777" w:rsidR="007A29BB" w:rsidRPr="00F87425" w:rsidRDefault="007A29BB" w:rsidP="00DA3702">
            <w:pPr>
              <w:suppressAutoHyphens w:val="0"/>
              <w:spacing w:before="0" w:after="0"/>
              <w:jc w:val="center"/>
              <w:textAlignment w:val="auto"/>
              <w:rPr>
                <w:rFonts w:eastAsia="Times New Roman"/>
                <w:lang w:val="es-ES"/>
              </w:rPr>
            </w:pPr>
            <w:r>
              <w:rPr>
                <w:rFonts w:eastAsia="Times New Roman"/>
                <w:lang w:val="es-ES"/>
              </w:rPr>
              <w:t>70</w:t>
            </w:r>
          </w:p>
        </w:tc>
      </w:tr>
    </w:tbl>
    <w:p w14:paraId="028B4368" w14:textId="77777777" w:rsidR="007A29BB" w:rsidRDefault="007A29BB" w:rsidP="007A29BB">
      <w:pPr>
        <w:pStyle w:val="ListParagraph"/>
        <w:suppressAutoHyphens w:val="0"/>
        <w:ind w:left="0"/>
        <w:rPr>
          <w:lang w:val="es-ES"/>
        </w:rPr>
      </w:pPr>
    </w:p>
    <w:p w14:paraId="33A5A0DC" w14:textId="77777777" w:rsidR="007A29BB" w:rsidRDefault="007A29BB" w:rsidP="007A29BB">
      <w:pPr>
        <w:pStyle w:val="ListParagraph"/>
        <w:suppressAutoHyphens w:val="0"/>
        <w:ind w:left="0"/>
        <w:rPr>
          <w:lang w:val="es-ES"/>
        </w:rPr>
      </w:pPr>
    </w:p>
    <w:p w14:paraId="7418D49D" w14:textId="77777777" w:rsidR="007A29BB" w:rsidRDefault="007A29BB" w:rsidP="007A29BB">
      <w:pPr>
        <w:pStyle w:val="ListParagraph"/>
        <w:suppressAutoHyphens w:val="0"/>
        <w:ind w:left="0"/>
        <w:rPr>
          <w:lang w:val="es-ES"/>
        </w:rPr>
      </w:pPr>
    </w:p>
    <w:p w14:paraId="77A180D2" w14:textId="77777777" w:rsidR="007A29BB" w:rsidRDefault="007A29BB" w:rsidP="007A29BB">
      <w:pPr>
        <w:suppressAutoHyphens w:val="0"/>
        <w:rPr>
          <w:lang w:val="es-ES"/>
        </w:rPr>
      </w:pPr>
      <w:r>
        <w:rPr>
          <w:lang w:val="es-ES"/>
        </w:rPr>
        <w:br w:type="page"/>
      </w:r>
    </w:p>
    <w:p w14:paraId="4AD1B923" w14:textId="45A70B0F" w:rsidR="0082491A" w:rsidRPr="007A29BB" w:rsidRDefault="0082491A" w:rsidP="0082491A">
      <w:pPr>
        <w:pStyle w:val="BodyText"/>
        <w:rPr>
          <w:lang w:val="es-ES"/>
        </w:rPr>
        <w:sectPr w:rsidR="0082491A" w:rsidRPr="007A29BB" w:rsidSect="00C35CEE">
          <w:pgSz w:w="11906" w:h="16838"/>
          <w:pgMar w:top="1418" w:right="1701" w:bottom="993" w:left="1701" w:header="708" w:footer="708" w:gutter="0"/>
          <w:cols w:space="720"/>
          <w:docGrid w:linePitch="299"/>
        </w:sectPr>
      </w:pPr>
    </w:p>
    <w:p w14:paraId="7E25D210" w14:textId="4FF11451" w:rsidR="005D487F" w:rsidRPr="00316DB7" w:rsidRDefault="005D487F" w:rsidP="005D487F">
      <w:pPr>
        <w:pStyle w:val="Heading1"/>
        <w:numPr>
          <w:ilvl w:val="0"/>
          <w:numId w:val="0"/>
        </w:numPr>
        <w:rPr>
          <w:lang w:val="es-ES"/>
        </w:rPr>
      </w:pPr>
      <w:bookmarkStart w:id="80" w:name="_Toc516146044"/>
      <w:r w:rsidRPr="00316DB7">
        <w:rPr>
          <w:lang w:val="es-ES"/>
        </w:rPr>
        <w:t xml:space="preserve">Anexo </w:t>
      </w:r>
      <w:r w:rsidR="004F0EF9">
        <w:rPr>
          <w:lang w:val="es-ES"/>
        </w:rPr>
        <w:t>8</w:t>
      </w:r>
      <w:r w:rsidRPr="00316DB7">
        <w:rPr>
          <w:lang w:val="es-ES"/>
        </w:rPr>
        <w:t xml:space="preserve"> – </w:t>
      </w:r>
      <w:r w:rsidR="005A4F68">
        <w:rPr>
          <w:lang w:val="es-ES"/>
        </w:rPr>
        <w:t xml:space="preserve">Lista de métodos de prueba para productos de iluminación de acuerdo a Subpart B </w:t>
      </w:r>
      <w:r w:rsidR="005A4F68">
        <w:rPr>
          <w:rFonts w:cs="Calibri"/>
          <w:lang w:val="es-ES"/>
        </w:rPr>
        <w:t>§</w:t>
      </w:r>
      <w:r w:rsidR="005A4F68">
        <w:rPr>
          <w:lang w:val="es-ES"/>
        </w:rPr>
        <w:t>430.23, normas incorporadas por referencia y equivalencia con normas internacionales</w:t>
      </w:r>
      <w:bookmarkEnd w:id="80"/>
    </w:p>
    <w:p w14:paraId="1B19F1DB" w14:textId="7C79C27B" w:rsidR="005A4F68" w:rsidRPr="005A4F68" w:rsidRDefault="005A4F68" w:rsidP="005A4F68">
      <w:pPr>
        <w:suppressAutoHyphens w:val="0"/>
        <w:autoSpaceDN/>
        <w:spacing w:before="0" w:after="160" w:line="259" w:lineRule="auto"/>
        <w:jc w:val="center"/>
        <w:textAlignment w:val="auto"/>
        <w:rPr>
          <w:rFonts w:eastAsia="Calibri"/>
          <w:b/>
          <w:color w:val="auto"/>
          <w:lang w:val="es-ES"/>
        </w:rPr>
      </w:pPr>
    </w:p>
    <w:tbl>
      <w:tblPr>
        <w:tblStyle w:val="TableGrid10"/>
        <w:tblW w:w="14454" w:type="dxa"/>
        <w:tblLayout w:type="fixed"/>
        <w:tblLook w:val="04A0" w:firstRow="1" w:lastRow="0" w:firstColumn="1" w:lastColumn="0" w:noHBand="0" w:noVBand="1"/>
      </w:tblPr>
      <w:tblGrid>
        <w:gridCol w:w="1271"/>
        <w:gridCol w:w="4111"/>
        <w:gridCol w:w="1276"/>
        <w:gridCol w:w="3260"/>
        <w:gridCol w:w="1276"/>
        <w:gridCol w:w="3260"/>
      </w:tblGrid>
      <w:tr w:rsidR="005A4F68" w:rsidRPr="005A4F68" w14:paraId="095019FA" w14:textId="77777777" w:rsidTr="0055143F">
        <w:trPr>
          <w:cantSplit/>
          <w:tblHeader/>
        </w:trPr>
        <w:tc>
          <w:tcPr>
            <w:tcW w:w="5382" w:type="dxa"/>
            <w:gridSpan w:val="2"/>
            <w:shd w:val="clear" w:color="auto" w:fill="5B9BD5"/>
          </w:tcPr>
          <w:p w14:paraId="4D6028AA" w14:textId="32624132" w:rsidR="005A4F68" w:rsidRPr="005A4F68" w:rsidRDefault="005A4F68" w:rsidP="005A4F68">
            <w:pPr>
              <w:suppressAutoHyphens w:val="0"/>
              <w:rPr>
                <w:rFonts w:cs="Calibri"/>
                <w:b/>
                <w:color w:val="FFFFFF" w:themeColor="background1"/>
              </w:rPr>
            </w:pPr>
            <w:r w:rsidRPr="005A4F68">
              <w:rPr>
                <w:rFonts w:cs="Calibri"/>
                <w:b/>
                <w:color w:val="FFFFFF" w:themeColor="background1"/>
              </w:rPr>
              <w:t>e-CFR Title 10: Energy</w:t>
            </w:r>
          </w:p>
          <w:p w14:paraId="7D04CDE2" w14:textId="77777777" w:rsidR="005A4F68" w:rsidRPr="005A4F68" w:rsidRDefault="005A4F68" w:rsidP="005A4F68">
            <w:pPr>
              <w:suppressAutoHyphens w:val="0"/>
              <w:rPr>
                <w:rFonts w:cs="Calibri"/>
                <w:b/>
                <w:color w:val="FFFFFF" w:themeColor="background1"/>
              </w:rPr>
            </w:pPr>
            <w:r w:rsidRPr="005A4F68">
              <w:rPr>
                <w:rFonts w:cs="Calibri"/>
                <w:b/>
                <w:color w:val="FFFFFF" w:themeColor="background1"/>
              </w:rPr>
              <w:t>PART 430 - ENERGY CONSERVATION PROGRAM FOR CONSUMER PRODUCTS, Subpart B - Test Procedures</w:t>
            </w:r>
          </w:p>
          <w:p w14:paraId="3C5B45EC" w14:textId="77777777" w:rsidR="005A4F68" w:rsidRPr="005A4F68" w:rsidRDefault="005A4F68" w:rsidP="005A4F68">
            <w:pPr>
              <w:suppressAutoHyphens w:val="0"/>
              <w:rPr>
                <w:rFonts w:cs="Calibri"/>
                <w:b/>
                <w:color w:val="FFFFFF" w:themeColor="background1"/>
              </w:rPr>
            </w:pPr>
            <w:r w:rsidRPr="005A4F68">
              <w:rPr>
                <w:rFonts w:cs="Calibri"/>
                <w:b/>
                <w:color w:val="FFFFFF" w:themeColor="background1"/>
              </w:rPr>
              <w:t xml:space="preserve">§430.23 Test procedures for the measurement of energy and water consumption </w:t>
            </w:r>
          </w:p>
        </w:tc>
        <w:tc>
          <w:tcPr>
            <w:tcW w:w="4536" w:type="dxa"/>
            <w:gridSpan w:val="2"/>
            <w:shd w:val="clear" w:color="auto" w:fill="5B9BD5"/>
          </w:tcPr>
          <w:p w14:paraId="14963B17" w14:textId="77777777" w:rsidR="005A4F68" w:rsidRPr="005A4F68" w:rsidRDefault="005A4F68" w:rsidP="005A4F68">
            <w:pPr>
              <w:suppressAutoHyphens w:val="0"/>
              <w:rPr>
                <w:rFonts w:cs="Calibri"/>
                <w:b/>
                <w:color w:val="FFFFFF" w:themeColor="background1"/>
              </w:rPr>
            </w:pPr>
            <w:r w:rsidRPr="005A4F68">
              <w:rPr>
                <w:rFonts w:cs="Calibri"/>
                <w:b/>
                <w:color w:val="FFFFFF" w:themeColor="background1"/>
              </w:rPr>
              <w:t>Standards incorporated by reference</w:t>
            </w:r>
          </w:p>
          <w:p w14:paraId="6265985A" w14:textId="77777777" w:rsidR="005A4F68" w:rsidRPr="005A4F68" w:rsidRDefault="005A4F68" w:rsidP="005A4F68">
            <w:pPr>
              <w:suppressAutoHyphens w:val="0"/>
              <w:rPr>
                <w:rFonts w:cs="Calibri"/>
                <w:b/>
                <w:color w:val="FFFFFF" w:themeColor="background1"/>
              </w:rPr>
            </w:pPr>
            <w:r w:rsidRPr="005A4F68">
              <w:rPr>
                <w:rFonts w:cs="Calibri"/>
                <w:b/>
                <w:color w:val="FFFFFF" w:themeColor="background1"/>
              </w:rPr>
              <w:t>(PART 430 - Subpart A - §430.3 Materials incorporated by reference)</w:t>
            </w:r>
          </w:p>
        </w:tc>
        <w:tc>
          <w:tcPr>
            <w:tcW w:w="4536" w:type="dxa"/>
            <w:gridSpan w:val="2"/>
            <w:shd w:val="clear" w:color="auto" w:fill="5B9BD5"/>
          </w:tcPr>
          <w:p w14:paraId="32435E19" w14:textId="77777777" w:rsidR="005A4F68" w:rsidRDefault="005A4F68" w:rsidP="005A4F68">
            <w:pPr>
              <w:suppressAutoHyphens w:val="0"/>
              <w:rPr>
                <w:rFonts w:cs="Calibri"/>
                <w:b/>
                <w:color w:val="FFFFFF" w:themeColor="background1"/>
              </w:rPr>
            </w:pPr>
            <w:r w:rsidRPr="005A4F68">
              <w:rPr>
                <w:rFonts w:cs="Calibri"/>
                <w:b/>
                <w:color w:val="FFFFFF" w:themeColor="background1"/>
              </w:rPr>
              <w:t>Equivalence with international standards</w:t>
            </w:r>
          </w:p>
          <w:p w14:paraId="6E929AF8" w14:textId="0424F799" w:rsidR="00DA3702" w:rsidRPr="005A4F68" w:rsidRDefault="00DA3702" w:rsidP="005A4F68">
            <w:pPr>
              <w:suppressAutoHyphens w:val="0"/>
              <w:rPr>
                <w:rFonts w:cs="Calibri"/>
                <w:b/>
                <w:color w:val="FFFFFF" w:themeColor="background1"/>
              </w:rPr>
            </w:pPr>
          </w:p>
        </w:tc>
      </w:tr>
      <w:tr w:rsidR="005A4F68" w:rsidRPr="005A4F68" w14:paraId="66BF4661" w14:textId="77777777" w:rsidTr="001A4583">
        <w:trPr>
          <w:cantSplit/>
          <w:trHeight w:val="851"/>
        </w:trPr>
        <w:tc>
          <w:tcPr>
            <w:tcW w:w="1271" w:type="dxa"/>
            <w:tcBorders>
              <w:bottom w:val="dashSmallGap" w:sz="4" w:space="0" w:color="auto"/>
            </w:tcBorders>
            <w:shd w:val="clear" w:color="auto" w:fill="9CC2E5"/>
          </w:tcPr>
          <w:p w14:paraId="6101454A" w14:textId="77777777" w:rsidR="005A4F68" w:rsidRPr="005A4F68" w:rsidRDefault="005A4F68" w:rsidP="005A4F68">
            <w:pPr>
              <w:suppressAutoHyphens w:val="0"/>
              <w:rPr>
                <w:rFonts w:cs="Calibri"/>
                <w:b/>
                <w:color w:val="auto"/>
                <w:sz w:val="18"/>
                <w:szCs w:val="18"/>
              </w:rPr>
            </w:pPr>
            <w:r w:rsidRPr="005A4F68">
              <w:rPr>
                <w:rFonts w:cs="Calibri"/>
                <w:b/>
                <w:color w:val="auto"/>
                <w:sz w:val="18"/>
                <w:szCs w:val="18"/>
                <w:lang w:val="es-ES"/>
              </w:rPr>
              <w:t>10 CFR 430.23(r)</w:t>
            </w:r>
          </w:p>
          <w:p w14:paraId="08CC0DF0" w14:textId="77777777" w:rsidR="005A4F68" w:rsidRPr="005A4F68" w:rsidRDefault="005A4F68" w:rsidP="005A4F68">
            <w:pPr>
              <w:suppressAutoHyphens w:val="0"/>
              <w:rPr>
                <w:rFonts w:cs="Calibri"/>
                <w:b/>
                <w:color w:val="auto"/>
                <w:sz w:val="18"/>
                <w:szCs w:val="18"/>
              </w:rPr>
            </w:pPr>
          </w:p>
        </w:tc>
        <w:tc>
          <w:tcPr>
            <w:tcW w:w="4111" w:type="dxa"/>
            <w:tcBorders>
              <w:bottom w:val="dashSmallGap" w:sz="4" w:space="0" w:color="auto"/>
            </w:tcBorders>
            <w:shd w:val="clear" w:color="auto" w:fill="9CC2E5"/>
          </w:tcPr>
          <w:p w14:paraId="173F72CD" w14:textId="77777777" w:rsidR="005A4F68" w:rsidRPr="005A4F68" w:rsidRDefault="005A4F68" w:rsidP="005A4F68">
            <w:pPr>
              <w:suppressAutoHyphens w:val="0"/>
              <w:rPr>
                <w:rFonts w:cs="Calibri"/>
                <w:b/>
                <w:color w:val="auto"/>
                <w:sz w:val="18"/>
                <w:szCs w:val="18"/>
              </w:rPr>
            </w:pPr>
            <w:r w:rsidRPr="005A4F68">
              <w:rPr>
                <w:rFonts w:cs="Calibri"/>
                <w:b/>
                <w:color w:val="auto"/>
                <w:sz w:val="18"/>
                <w:szCs w:val="18"/>
              </w:rPr>
              <w:t>General service fluorescent lamps, general service incandescent lamps, and incandescent reflector lamps</w:t>
            </w:r>
          </w:p>
        </w:tc>
        <w:tc>
          <w:tcPr>
            <w:tcW w:w="1276" w:type="dxa"/>
            <w:tcBorders>
              <w:bottom w:val="dashSmallGap" w:sz="4" w:space="0" w:color="auto"/>
            </w:tcBorders>
            <w:shd w:val="clear" w:color="auto" w:fill="9CC2E5"/>
          </w:tcPr>
          <w:p w14:paraId="7823E84D" w14:textId="77777777" w:rsidR="005A4F68" w:rsidRPr="005A4F68" w:rsidRDefault="005A4F68" w:rsidP="005A4F68">
            <w:pPr>
              <w:suppressAutoHyphens w:val="0"/>
              <w:rPr>
                <w:rFonts w:cs="Calibri"/>
                <w:color w:val="auto"/>
                <w:sz w:val="18"/>
                <w:szCs w:val="18"/>
              </w:rPr>
            </w:pPr>
          </w:p>
        </w:tc>
        <w:tc>
          <w:tcPr>
            <w:tcW w:w="3260" w:type="dxa"/>
            <w:tcBorders>
              <w:bottom w:val="dashSmallGap" w:sz="4" w:space="0" w:color="auto"/>
            </w:tcBorders>
            <w:shd w:val="clear" w:color="auto" w:fill="9CC2E5"/>
          </w:tcPr>
          <w:p w14:paraId="1493DD44" w14:textId="77777777" w:rsidR="005A4F68" w:rsidRPr="005A4F68" w:rsidRDefault="005A4F68" w:rsidP="005A4F68">
            <w:pPr>
              <w:suppressAutoHyphens w:val="0"/>
              <w:rPr>
                <w:rFonts w:cs="Calibri"/>
                <w:color w:val="auto"/>
                <w:sz w:val="18"/>
                <w:szCs w:val="18"/>
              </w:rPr>
            </w:pPr>
          </w:p>
        </w:tc>
        <w:tc>
          <w:tcPr>
            <w:tcW w:w="1276" w:type="dxa"/>
            <w:tcBorders>
              <w:bottom w:val="dashSmallGap" w:sz="4" w:space="0" w:color="auto"/>
            </w:tcBorders>
            <w:shd w:val="clear" w:color="auto" w:fill="9CC2E5"/>
          </w:tcPr>
          <w:p w14:paraId="079C46F5" w14:textId="77777777" w:rsidR="005A4F68" w:rsidRPr="005A4F68" w:rsidRDefault="005A4F68" w:rsidP="005A4F68">
            <w:pPr>
              <w:suppressAutoHyphens w:val="0"/>
              <w:rPr>
                <w:rFonts w:cs="Calibri"/>
                <w:color w:val="auto"/>
                <w:sz w:val="18"/>
                <w:szCs w:val="18"/>
              </w:rPr>
            </w:pPr>
          </w:p>
        </w:tc>
        <w:tc>
          <w:tcPr>
            <w:tcW w:w="3260" w:type="dxa"/>
            <w:tcBorders>
              <w:bottom w:val="dashSmallGap" w:sz="4" w:space="0" w:color="auto"/>
            </w:tcBorders>
            <w:shd w:val="clear" w:color="auto" w:fill="9CC2E5"/>
          </w:tcPr>
          <w:p w14:paraId="115AE2E6" w14:textId="77777777" w:rsidR="005A4F68" w:rsidRPr="005A4F68" w:rsidRDefault="005A4F68" w:rsidP="005A4F68">
            <w:pPr>
              <w:suppressAutoHyphens w:val="0"/>
              <w:rPr>
                <w:rFonts w:cs="Calibri"/>
                <w:color w:val="auto"/>
                <w:sz w:val="18"/>
                <w:szCs w:val="18"/>
              </w:rPr>
            </w:pPr>
          </w:p>
        </w:tc>
      </w:tr>
      <w:tr w:rsidR="005A4F68" w:rsidRPr="005A4F68" w14:paraId="610877C0" w14:textId="77777777" w:rsidTr="001A4583">
        <w:trPr>
          <w:cantSplit/>
          <w:trHeight w:val="851"/>
        </w:trPr>
        <w:tc>
          <w:tcPr>
            <w:tcW w:w="1271" w:type="dxa"/>
            <w:tcBorders>
              <w:top w:val="dashSmallGap" w:sz="4" w:space="0" w:color="auto"/>
              <w:bottom w:val="single" w:sz="4" w:space="0" w:color="auto"/>
            </w:tcBorders>
            <w:shd w:val="clear" w:color="auto" w:fill="DEEAF6"/>
          </w:tcPr>
          <w:p w14:paraId="52FBD340" w14:textId="77777777" w:rsidR="005A4F68" w:rsidRPr="005A4F68" w:rsidRDefault="005A4F68" w:rsidP="005A4F68">
            <w:pPr>
              <w:suppressAutoHyphens w:val="0"/>
              <w:rPr>
                <w:rFonts w:cs="Calibri"/>
                <w:b/>
                <w:color w:val="auto"/>
                <w:sz w:val="18"/>
                <w:szCs w:val="18"/>
              </w:rPr>
            </w:pPr>
            <w:r w:rsidRPr="005A4F68">
              <w:rPr>
                <w:rFonts w:cs="Calibri"/>
                <w:b/>
                <w:color w:val="auto"/>
                <w:sz w:val="18"/>
                <w:szCs w:val="18"/>
              </w:rPr>
              <w:t>Appendix R to Subpart B of Part 430</w:t>
            </w:r>
          </w:p>
        </w:tc>
        <w:tc>
          <w:tcPr>
            <w:tcW w:w="4111" w:type="dxa"/>
            <w:tcBorders>
              <w:top w:val="dashSmallGap" w:sz="4" w:space="0" w:color="auto"/>
              <w:bottom w:val="single" w:sz="4" w:space="0" w:color="auto"/>
            </w:tcBorders>
            <w:shd w:val="clear" w:color="auto" w:fill="DEEAF6"/>
          </w:tcPr>
          <w:p w14:paraId="21E41A30" w14:textId="77777777" w:rsidR="005A4F68" w:rsidRPr="005A4F68" w:rsidRDefault="005A4F68" w:rsidP="005A4F68">
            <w:pPr>
              <w:suppressAutoHyphens w:val="0"/>
              <w:rPr>
                <w:rFonts w:cs="Calibri"/>
                <w:b/>
                <w:color w:val="auto"/>
                <w:sz w:val="18"/>
                <w:szCs w:val="18"/>
              </w:rPr>
            </w:pPr>
            <w:r w:rsidRPr="005A4F68">
              <w:rPr>
                <w:rFonts w:cs="Calibri"/>
                <w:b/>
                <w:color w:val="auto"/>
                <w:sz w:val="18"/>
                <w:szCs w:val="18"/>
              </w:rPr>
              <w:t>Uniform test method for measuring average Lamp Efficacy (LE), Color Rendering Index (CRI), and Correlated Color Temperature (CCT) of Electric Lamps</w:t>
            </w:r>
          </w:p>
        </w:tc>
        <w:tc>
          <w:tcPr>
            <w:tcW w:w="1276" w:type="dxa"/>
            <w:tcBorders>
              <w:top w:val="dashSmallGap" w:sz="4" w:space="0" w:color="auto"/>
              <w:bottom w:val="single" w:sz="4" w:space="0" w:color="auto"/>
            </w:tcBorders>
            <w:shd w:val="clear" w:color="auto" w:fill="DEEAF6"/>
          </w:tcPr>
          <w:p w14:paraId="46CD7868" w14:textId="77777777" w:rsidR="005A4F68" w:rsidRPr="005A4F68"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shd w:val="clear" w:color="auto" w:fill="DEEAF6"/>
          </w:tcPr>
          <w:p w14:paraId="539106DF" w14:textId="77777777" w:rsidR="005A4F68" w:rsidRPr="005A4F68" w:rsidRDefault="005A4F68" w:rsidP="005A4F68">
            <w:pPr>
              <w:suppressAutoHyphens w:val="0"/>
              <w:rPr>
                <w:rFonts w:cs="Calibri"/>
                <w:color w:val="auto"/>
                <w:sz w:val="18"/>
                <w:szCs w:val="18"/>
              </w:rPr>
            </w:pPr>
          </w:p>
        </w:tc>
        <w:tc>
          <w:tcPr>
            <w:tcW w:w="1276" w:type="dxa"/>
            <w:tcBorders>
              <w:top w:val="dashSmallGap" w:sz="4" w:space="0" w:color="auto"/>
              <w:bottom w:val="single" w:sz="4" w:space="0" w:color="auto"/>
            </w:tcBorders>
            <w:shd w:val="clear" w:color="auto" w:fill="DEEAF6"/>
          </w:tcPr>
          <w:p w14:paraId="7DC171B9" w14:textId="77777777" w:rsidR="005A4F68" w:rsidRPr="005A4F68"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shd w:val="clear" w:color="auto" w:fill="DEEAF6"/>
          </w:tcPr>
          <w:p w14:paraId="0134C8D0" w14:textId="77777777" w:rsidR="005A4F68" w:rsidRPr="005A4F68" w:rsidRDefault="005A4F68" w:rsidP="005A4F68">
            <w:pPr>
              <w:suppressAutoHyphens w:val="0"/>
              <w:rPr>
                <w:rFonts w:cs="Calibri"/>
                <w:color w:val="auto"/>
                <w:sz w:val="18"/>
                <w:szCs w:val="18"/>
              </w:rPr>
            </w:pPr>
          </w:p>
        </w:tc>
      </w:tr>
      <w:tr w:rsidR="0055143F" w:rsidRPr="005A4F68" w14:paraId="4E41E011" w14:textId="77777777" w:rsidTr="001A4583">
        <w:trPr>
          <w:cantSplit/>
          <w:trHeight w:val="851"/>
        </w:trPr>
        <w:tc>
          <w:tcPr>
            <w:tcW w:w="1271" w:type="dxa"/>
            <w:tcBorders>
              <w:top w:val="dashSmallGap" w:sz="4" w:space="0" w:color="auto"/>
              <w:bottom w:val="single" w:sz="4" w:space="0" w:color="auto"/>
            </w:tcBorders>
          </w:tcPr>
          <w:p w14:paraId="1CE6F6B1"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63929F7E"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General Service Fluorescent Lamps</w:t>
            </w:r>
          </w:p>
        </w:tc>
        <w:tc>
          <w:tcPr>
            <w:tcW w:w="1276" w:type="dxa"/>
            <w:tcBorders>
              <w:top w:val="dashSmallGap" w:sz="4" w:space="0" w:color="auto"/>
              <w:bottom w:val="single" w:sz="4" w:space="0" w:color="auto"/>
            </w:tcBorders>
          </w:tcPr>
          <w:p w14:paraId="0AFD91A6"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LM-9</w:t>
            </w:r>
          </w:p>
        </w:tc>
        <w:tc>
          <w:tcPr>
            <w:tcW w:w="3260" w:type="dxa"/>
            <w:tcBorders>
              <w:top w:val="dashSmallGap" w:sz="4" w:space="0" w:color="auto"/>
              <w:bottom w:val="single" w:sz="4" w:space="0" w:color="auto"/>
            </w:tcBorders>
          </w:tcPr>
          <w:p w14:paraId="3CC93DDC"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Approved Method for the Electrical and Photometric Measurement of Fluorescent Lamps, approved January 31, 2009</w:t>
            </w:r>
          </w:p>
          <w:p w14:paraId="0F56EF60"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Voltage and current conditions according to:</w:t>
            </w:r>
          </w:p>
          <w:p w14:paraId="1529F02C"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 ANSI C78.375 American National Standard for Fluorescent Lamps - Guide for Electric Measurements, first edition, approved September 25, 1997</w:t>
            </w:r>
          </w:p>
          <w:p w14:paraId="04EF879A"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 ANSI C78.81 American National Standard for Electric Lamps - Double-Capped Fluorescent Lamps - Dimensional and Electrical Characteristics, approved January 14, 2010</w:t>
            </w:r>
          </w:p>
          <w:p w14:paraId="7431DA96"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 ANSI C78.901 American National Standard for Electric Lamps - SIngle-Based Fluorescent Lamps - Dimensional and Electrical Characteristics, ANSI approved July 2, 2014</w:t>
            </w:r>
          </w:p>
          <w:p w14:paraId="379B9CCF"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Input voltage and reference circuit for reference ballast:</w:t>
            </w:r>
          </w:p>
          <w:p w14:paraId="67DB95D3"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 ANSI C82.3 American National Standard for Reference Ballasts for Fluorescent Lamps, approved September 4, 2002</w:t>
            </w:r>
          </w:p>
        </w:tc>
        <w:tc>
          <w:tcPr>
            <w:tcW w:w="1276" w:type="dxa"/>
            <w:tcBorders>
              <w:top w:val="dashSmallGap" w:sz="4" w:space="0" w:color="auto"/>
              <w:bottom w:val="single" w:sz="4" w:space="0" w:color="auto"/>
            </w:tcBorders>
          </w:tcPr>
          <w:p w14:paraId="6E0FBDAE" w14:textId="77777777" w:rsidR="005A4F68" w:rsidRPr="005A4F68"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tcPr>
          <w:p w14:paraId="6CECA9FA" w14:textId="49A4C06F" w:rsidR="005A4F68" w:rsidRPr="005A4F68" w:rsidRDefault="002931CD" w:rsidP="002931CD">
            <w:pPr>
              <w:suppressAutoHyphens w:val="0"/>
              <w:rPr>
                <w:rFonts w:cs="Calibri"/>
                <w:color w:val="auto"/>
                <w:sz w:val="18"/>
                <w:szCs w:val="18"/>
              </w:rPr>
            </w:pPr>
            <w:r>
              <w:rPr>
                <w:rFonts w:cs="Calibri"/>
                <w:color w:val="auto"/>
                <w:sz w:val="18"/>
                <w:szCs w:val="18"/>
              </w:rPr>
              <w:t>No equivalence with international standards</w:t>
            </w:r>
          </w:p>
        </w:tc>
      </w:tr>
      <w:tr w:rsidR="0055143F" w:rsidRPr="005A4F68" w14:paraId="64ECA99A" w14:textId="77777777" w:rsidTr="001A4583">
        <w:trPr>
          <w:cantSplit/>
          <w:trHeight w:val="851"/>
        </w:trPr>
        <w:tc>
          <w:tcPr>
            <w:tcW w:w="1271" w:type="dxa"/>
            <w:tcBorders>
              <w:top w:val="dashSmallGap" w:sz="4" w:space="0" w:color="auto"/>
              <w:bottom w:val="single" w:sz="4" w:space="0" w:color="auto"/>
            </w:tcBorders>
          </w:tcPr>
          <w:p w14:paraId="503DDCF1"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7051F18C"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Determination of Color Rendering Index (for general service fluorescent lamps)</w:t>
            </w:r>
          </w:p>
        </w:tc>
        <w:tc>
          <w:tcPr>
            <w:tcW w:w="1276" w:type="dxa"/>
            <w:tcBorders>
              <w:top w:val="dashSmallGap" w:sz="4" w:space="0" w:color="auto"/>
              <w:bottom w:val="single" w:sz="4" w:space="0" w:color="auto"/>
            </w:tcBorders>
          </w:tcPr>
          <w:p w14:paraId="12AC8C8F"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CIE 13.3</w:t>
            </w:r>
          </w:p>
        </w:tc>
        <w:tc>
          <w:tcPr>
            <w:tcW w:w="3260" w:type="dxa"/>
            <w:tcBorders>
              <w:top w:val="dashSmallGap" w:sz="4" w:space="0" w:color="auto"/>
              <w:bottom w:val="single" w:sz="4" w:space="0" w:color="auto"/>
            </w:tcBorders>
          </w:tcPr>
          <w:p w14:paraId="009917CE"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Technical Report: Method of Measuring and Specifying Colour Rendering Properties of Light Sources, 1995</w:t>
            </w:r>
          </w:p>
        </w:tc>
        <w:tc>
          <w:tcPr>
            <w:tcW w:w="1276" w:type="dxa"/>
            <w:tcBorders>
              <w:top w:val="dashSmallGap" w:sz="4" w:space="0" w:color="auto"/>
              <w:bottom w:val="single" w:sz="4" w:space="0" w:color="auto"/>
            </w:tcBorders>
          </w:tcPr>
          <w:p w14:paraId="0C32E2C0"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CIE 13.3</w:t>
            </w:r>
          </w:p>
        </w:tc>
        <w:tc>
          <w:tcPr>
            <w:tcW w:w="3260" w:type="dxa"/>
            <w:tcBorders>
              <w:top w:val="dashSmallGap" w:sz="4" w:space="0" w:color="auto"/>
              <w:bottom w:val="single" w:sz="4" w:space="0" w:color="auto"/>
            </w:tcBorders>
          </w:tcPr>
          <w:p w14:paraId="173199F9"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Technical Report: Method of Measuring and Specifying Colour Rendering Properties of Light Sources, 1995</w:t>
            </w:r>
          </w:p>
        </w:tc>
      </w:tr>
      <w:tr w:rsidR="0055143F" w:rsidRPr="005A4F68" w14:paraId="045D66DC" w14:textId="77777777" w:rsidTr="001A4583">
        <w:trPr>
          <w:cantSplit/>
          <w:trHeight w:val="851"/>
        </w:trPr>
        <w:tc>
          <w:tcPr>
            <w:tcW w:w="1271" w:type="dxa"/>
            <w:tcBorders>
              <w:top w:val="dashSmallGap" w:sz="4" w:space="0" w:color="auto"/>
              <w:bottom w:val="single" w:sz="4" w:space="0" w:color="auto"/>
            </w:tcBorders>
          </w:tcPr>
          <w:p w14:paraId="66336DB8"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5E051C3C"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Determination Correlated Color Temperature (for general service fluorescent lamps)</w:t>
            </w:r>
          </w:p>
        </w:tc>
        <w:tc>
          <w:tcPr>
            <w:tcW w:w="1276" w:type="dxa"/>
            <w:tcBorders>
              <w:top w:val="dashSmallGap" w:sz="4" w:space="0" w:color="auto"/>
              <w:bottom w:val="single" w:sz="4" w:space="0" w:color="auto"/>
            </w:tcBorders>
          </w:tcPr>
          <w:p w14:paraId="05191553"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LM-9</w:t>
            </w:r>
          </w:p>
        </w:tc>
        <w:tc>
          <w:tcPr>
            <w:tcW w:w="3260" w:type="dxa"/>
            <w:tcBorders>
              <w:top w:val="dashSmallGap" w:sz="4" w:space="0" w:color="auto"/>
              <w:bottom w:val="single" w:sz="4" w:space="0" w:color="auto"/>
            </w:tcBorders>
          </w:tcPr>
          <w:p w14:paraId="2E53B75E"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Approved Method for the Electric and Photometric Measurement of Fluorescent Lamps, approved January 31, 2009</w:t>
            </w:r>
          </w:p>
        </w:tc>
        <w:tc>
          <w:tcPr>
            <w:tcW w:w="1276" w:type="dxa"/>
            <w:tcBorders>
              <w:top w:val="dashSmallGap" w:sz="4" w:space="0" w:color="auto"/>
              <w:bottom w:val="single" w:sz="4" w:space="0" w:color="auto"/>
            </w:tcBorders>
          </w:tcPr>
          <w:p w14:paraId="5CAE5D0D" w14:textId="77777777" w:rsidR="005A4F68" w:rsidRPr="002931CD"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tcPr>
          <w:p w14:paraId="283495A3" w14:textId="203B5C8D" w:rsidR="005A4F68" w:rsidRPr="002931CD" w:rsidRDefault="002931CD" w:rsidP="005A4F68">
            <w:pPr>
              <w:suppressAutoHyphens w:val="0"/>
              <w:rPr>
                <w:rFonts w:cs="Calibri"/>
                <w:color w:val="auto"/>
                <w:sz w:val="18"/>
                <w:szCs w:val="18"/>
              </w:rPr>
            </w:pPr>
            <w:r w:rsidRPr="002931CD">
              <w:rPr>
                <w:rFonts w:cs="Calibri"/>
                <w:color w:val="auto"/>
                <w:sz w:val="18"/>
                <w:szCs w:val="18"/>
              </w:rPr>
              <w:t>No equivalence with international standards</w:t>
            </w:r>
          </w:p>
        </w:tc>
      </w:tr>
      <w:tr w:rsidR="0055143F" w:rsidRPr="005A4F68" w14:paraId="1CBB39C9" w14:textId="77777777" w:rsidTr="001A4583">
        <w:trPr>
          <w:cantSplit/>
          <w:trHeight w:val="851"/>
        </w:trPr>
        <w:tc>
          <w:tcPr>
            <w:tcW w:w="1271" w:type="dxa"/>
            <w:tcBorders>
              <w:top w:val="dashSmallGap" w:sz="4" w:space="0" w:color="auto"/>
              <w:bottom w:val="single" w:sz="4" w:space="0" w:color="auto"/>
            </w:tcBorders>
          </w:tcPr>
          <w:p w14:paraId="0E3FB4D5"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3D08F79E"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General Service Incandescent Lamps</w:t>
            </w:r>
          </w:p>
        </w:tc>
        <w:tc>
          <w:tcPr>
            <w:tcW w:w="1276" w:type="dxa"/>
            <w:tcBorders>
              <w:top w:val="dashSmallGap" w:sz="4" w:space="0" w:color="auto"/>
              <w:bottom w:val="single" w:sz="4" w:space="0" w:color="auto"/>
            </w:tcBorders>
          </w:tcPr>
          <w:p w14:paraId="1C1030A2"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LM-45</w:t>
            </w:r>
          </w:p>
        </w:tc>
        <w:tc>
          <w:tcPr>
            <w:tcW w:w="3260" w:type="dxa"/>
            <w:tcBorders>
              <w:top w:val="dashSmallGap" w:sz="4" w:space="0" w:color="auto"/>
              <w:bottom w:val="single" w:sz="4" w:space="0" w:color="auto"/>
            </w:tcBorders>
          </w:tcPr>
          <w:p w14:paraId="34266E3A"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Approved Method for the Electrical and Photometric Measurement of General Service Incandescent Filament Lamps, approved December 14, 2009</w:t>
            </w:r>
          </w:p>
        </w:tc>
        <w:tc>
          <w:tcPr>
            <w:tcW w:w="1276" w:type="dxa"/>
            <w:tcBorders>
              <w:top w:val="dashSmallGap" w:sz="4" w:space="0" w:color="auto"/>
              <w:bottom w:val="single" w:sz="4" w:space="0" w:color="auto"/>
            </w:tcBorders>
          </w:tcPr>
          <w:p w14:paraId="415F6376" w14:textId="77777777" w:rsidR="005A4F68" w:rsidRPr="002931CD"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tcPr>
          <w:p w14:paraId="03778F25" w14:textId="5519635B" w:rsidR="005A4F68" w:rsidRPr="002931CD" w:rsidRDefault="002931CD" w:rsidP="005A4F68">
            <w:pPr>
              <w:suppressAutoHyphens w:val="0"/>
              <w:rPr>
                <w:rFonts w:cs="Calibri"/>
                <w:color w:val="auto"/>
                <w:sz w:val="18"/>
                <w:szCs w:val="18"/>
              </w:rPr>
            </w:pPr>
            <w:r w:rsidRPr="002931CD">
              <w:rPr>
                <w:rFonts w:cs="Calibri"/>
                <w:color w:val="auto"/>
                <w:sz w:val="18"/>
                <w:szCs w:val="18"/>
              </w:rPr>
              <w:t>No equivalence with international standards</w:t>
            </w:r>
          </w:p>
        </w:tc>
      </w:tr>
      <w:tr w:rsidR="0055143F" w:rsidRPr="005A4F68" w14:paraId="5BA0B79C" w14:textId="77777777" w:rsidTr="001A4583">
        <w:trPr>
          <w:cantSplit/>
          <w:trHeight w:val="851"/>
        </w:trPr>
        <w:tc>
          <w:tcPr>
            <w:tcW w:w="1271" w:type="dxa"/>
            <w:tcBorders>
              <w:top w:val="dashSmallGap" w:sz="4" w:space="0" w:color="auto"/>
              <w:bottom w:val="single" w:sz="4" w:space="0" w:color="auto"/>
            </w:tcBorders>
          </w:tcPr>
          <w:p w14:paraId="55A4A876"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28DFABE8" w14:textId="77777777" w:rsidR="005A4F68" w:rsidRPr="002931CD" w:rsidRDefault="005A4F68" w:rsidP="005A4F68">
            <w:pPr>
              <w:suppressAutoHyphens w:val="0"/>
              <w:rPr>
                <w:rFonts w:cs="Calibri"/>
                <w:color w:val="auto"/>
                <w:sz w:val="18"/>
                <w:szCs w:val="18"/>
              </w:rPr>
            </w:pPr>
          </w:p>
        </w:tc>
        <w:tc>
          <w:tcPr>
            <w:tcW w:w="1276" w:type="dxa"/>
            <w:tcBorders>
              <w:top w:val="dashSmallGap" w:sz="4" w:space="0" w:color="auto"/>
              <w:bottom w:val="single" w:sz="4" w:space="0" w:color="auto"/>
            </w:tcBorders>
          </w:tcPr>
          <w:p w14:paraId="27D2B27B"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IESNA LM-49</w:t>
            </w:r>
          </w:p>
        </w:tc>
        <w:tc>
          <w:tcPr>
            <w:tcW w:w="3260" w:type="dxa"/>
            <w:tcBorders>
              <w:top w:val="dashSmallGap" w:sz="4" w:space="0" w:color="auto"/>
              <w:bottom w:val="single" w:sz="4" w:space="0" w:color="auto"/>
            </w:tcBorders>
          </w:tcPr>
          <w:p w14:paraId="5915F24C"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IESNA Approved Method for Life Testing of Incandescent Filament Lamps, approved December 1, 2001</w:t>
            </w:r>
          </w:p>
        </w:tc>
        <w:tc>
          <w:tcPr>
            <w:tcW w:w="1276" w:type="dxa"/>
            <w:tcBorders>
              <w:top w:val="dashSmallGap" w:sz="4" w:space="0" w:color="auto"/>
              <w:bottom w:val="single" w:sz="4" w:space="0" w:color="auto"/>
            </w:tcBorders>
          </w:tcPr>
          <w:p w14:paraId="39FD30BD" w14:textId="77777777" w:rsidR="005A4F68" w:rsidRPr="002931CD"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tcPr>
          <w:p w14:paraId="4143A86A" w14:textId="7E6B181E" w:rsidR="005A4F68" w:rsidRPr="002931CD" w:rsidRDefault="002931CD" w:rsidP="005A4F68">
            <w:pPr>
              <w:suppressAutoHyphens w:val="0"/>
              <w:rPr>
                <w:rFonts w:cs="Calibri"/>
                <w:color w:val="auto"/>
                <w:sz w:val="18"/>
                <w:szCs w:val="18"/>
              </w:rPr>
            </w:pPr>
            <w:r w:rsidRPr="002931CD">
              <w:rPr>
                <w:rFonts w:cs="Calibri"/>
                <w:color w:val="auto"/>
                <w:sz w:val="18"/>
                <w:szCs w:val="18"/>
              </w:rPr>
              <w:t>No equivalence with international standards</w:t>
            </w:r>
          </w:p>
        </w:tc>
      </w:tr>
      <w:tr w:rsidR="0055143F" w:rsidRPr="005A4F68" w14:paraId="16678B30" w14:textId="77777777" w:rsidTr="001A4583">
        <w:trPr>
          <w:cantSplit/>
          <w:trHeight w:val="851"/>
        </w:trPr>
        <w:tc>
          <w:tcPr>
            <w:tcW w:w="1271" w:type="dxa"/>
            <w:tcBorders>
              <w:top w:val="dashSmallGap" w:sz="4" w:space="0" w:color="auto"/>
              <w:bottom w:val="single" w:sz="4" w:space="0" w:color="auto"/>
            </w:tcBorders>
          </w:tcPr>
          <w:p w14:paraId="3FB0B1FD"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78A91A56"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Incandescent Reflector Lamps</w:t>
            </w:r>
          </w:p>
        </w:tc>
        <w:tc>
          <w:tcPr>
            <w:tcW w:w="1276" w:type="dxa"/>
            <w:tcBorders>
              <w:top w:val="dashSmallGap" w:sz="4" w:space="0" w:color="auto"/>
              <w:bottom w:val="single" w:sz="4" w:space="0" w:color="auto"/>
            </w:tcBorders>
          </w:tcPr>
          <w:p w14:paraId="0A6456DF"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IESNA LM-20</w:t>
            </w:r>
          </w:p>
        </w:tc>
        <w:tc>
          <w:tcPr>
            <w:tcW w:w="3260" w:type="dxa"/>
            <w:tcBorders>
              <w:top w:val="dashSmallGap" w:sz="4" w:space="0" w:color="auto"/>
              <w:bottom w:val="single" w:sz="4" w:space="0" w:color="auto"/>
            </w:tcBorders>
          </w:tcPr>
          <w:p w14:paraId="466565C7"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IESNA Approved Method for the Photometric Testing of Reflector-Type Lamps, approved December 3, 1994</w:t>
            </w:r>
          </w:p>
        </w:tc>
        <w:tc>
          <w:tcPr>
            <w:tcW w:w="1276" w:type="dxa"/>
            <w:tcBorders>
              <w:top w:val="dashSmallGap" w:sz="4" w:space="0" w:color="auto"/>
              <w:bottom w:val="single" w:sz="4" w:space="0" w:color="auto"/>
            </w:tcBorders>
          </w:tcPr>
          <w:p w14:paraId="3AFE690C" w14:textId="77777777" w:rsidR="005A4F68" w:rsidRPr="002931CD"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tcPr>
          <w:p w14:paraId="4D10BE76" w14:textId="6DBFC8B4" w:rsidR="005A4F68" w:rsidRPr="002931CD" w:rsidRDefault="002931CD" w:rsidP="005A4F68">
            <w:pPr>
              <w:suppressAutoHyphens w:val="0"/>
              <w:rPr>
                <w:rFonts w:cs="Calibri"/>
                <w:color w:val="auto"/>
                <w:sz w:val="18"/>
                <w:szCs w:val="18"/>
              </w:rPr>
            </w:pPr>
            <w:r w:rsidRPr="002931CD">
              <w:rPr>
                <w:rFonts w:cs="Calibri"/>
                <w:color w:val="auto"/>
                <w:sz w:val="18"/>
                <w:szCs w:val="18"/>
              </w:rPr>
              <w:t>No equivalence with international standards</w:t>
            </w:r>
          </w:p>
        </w:tc>
      </w:tr>
      <w:tr w:rsidR="0055143F" w:rsidRPr="005A4F68" w14:paraId="3517FDDE" w14:textId="77777777" w:rsidTr="001A4583">
        <w:trPr>
          <w:cantSplit/>
          <w:trHeight w:val="851"/>
        </w:trPr>
        <w:tc>
          <w:tcPr>
            <w:tcW w:w="1271" w:type="dxa"/>
            <w:tcBorders>
              <w:top w:val="dashSmallGap" w:sz="4" w:space="0" w:color="auto"/>
              <w:bottom w:val="single" w:sz="4" w:space="0" w:color="auto"/>
            </w:tcBorders>
          </w:tcPr>
          <w:p w14:paraId="1D536D82"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249CC921"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Determination of Color Rendering Index and Correlated Color Temperature (for incandescent lamps)</w:t>
            </w:r>
          </w:p>
        </w:tc>
        <w:tc>
          <w:tcPr>
            <w:tcW w:w="1276" w:type="dxa"/>
            <w:tcBorders>
              <w:top w:val="dashSmallGap" w:sz="4" w:space="0" w:color="auto"/>
              <w:bottom w:val="single" w:sz="4" w:space="0" w:color="auto"/>
            </w:tcBorders>
          </w:tcPr>
          <w:p w14:paraId="2DDCB39B"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CIE 15</w:t>
            </w:r>
          </w:p>
        </w:tc>
        <w:tc>
          <w:tcPr>
            <w:tcW w:w="3260" w:type="dxa"/>
            <w:tcBorders>
              <w:top w:val="dashSmallGap" w:sz="4" w:space="0" w:color="auto"/>
              <w:bottom w:val="single" w:sz="4" w:space="0" w:color="auto"/>
            </w:tcBorders>
          </w:tcPr>
          <w:p w14:paraId="06E31921"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Technical Report: Colorimetry, 3rd edition, 2004</w:t>
            </w:r>
          </w:p>
        </w:tc>
        <w:tc>
          <w:tcPr>
            <w:tcW w:w="1276" w:type="dxa"/>
            <w:tcBorders>
              <w:top w:val="dashSmallGap" w:sz="4" w:space="0" w:color="auto"/>
              <w:bottom w:val="single" w:sz="4" w:space="0" w:color="auto"/>
            </w:tcBorders>
          </w:tcPr>
          <w:p w14:paraId="5147B5F8"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CIE 15</w:t>
            </w:r>
          </w:p>
        </w:tc>
        <w:tc>
          <w:tcPr>
            <w:tcW w:w="3260" w:type="dxa"/>
            <w:tcBorders>
              <w:top w:val="dashSmallGap" w:sz="4" w:space="0" w:color="auto"/>
              <w:bottom w:val="single" w:sz="4" w:space="0" w:color="auto"/>
            </w:tcBorders>
          </w:tcPr>
          <w:p w14:paraId="471CC0A9"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Technical Report: Colorimetry, 3rd edition, 2004</w:t>
            </w:r>
          </w:p>
        </w:tc>
      </w:tr>
      <w:tr w:rsidR="0055143F" w:rsidRPr="005A4F68" w14:paraId="72A143D3" w14:textId="77777777" w:rsidTr="001A4583">
        <w:trPr>
          <w:cantSplit/>
          <w:trHeight w:val="851"/>
        </w:trPr>
        <w:tc>
          <w:tcPr>
            <w:tcW w:w="1271" w:type="dxa"/>
            <w:tcBorders>
              <w:top w:val="dashSmallGap" w:sz="4" w:space="0" w:color="auto"/>
              <w:bottom w:val="single" w:sz="4" w:space="0" w:color="auto"/>
            </w:tcBorders>
          </w:tcPr>
          <w:p w14:paraId="74730BC1"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7C96F0B5"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Spectroradiometric measurement and characterization</w:t>
            </w:r>
          </w:p>
        </w:tc>
        <w:tc>
          <w:tcPr>
            <w:tcW w:w="1276" w:type="dxa"/>
            <w:tcBorders>
              <w:top w:val="dashSmallGap" w:sz="4" w:space="0" w:color="auto"/>
              <w:bottom w:val="single" w:sz="4" w:space="0" w:color="auto"/>
            </w:tcBorders>
          </w:tcPr>
          <w:p w14:paraId="459D4ADC"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IESNA LM-58</w:t>
            </w:r>
          </w:p>
        </w:tc>
        <w:tc>
          <w:tcPr>
            <w:tcW w:w="3260" w:type="dxa"/>
            <w:tcBorders>
              <w:top w:val="dashSmallGap" w:sz="4" w:space="0" w:color="auto"/>
              <w:bottom w:val="single" w:sz="4" w:space="0" w:color="auto"/>
            </w:tcBorders>
          </w:tcPr>
          <w:p w14:paraId="3E4DC48C"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IESNA Guide to Spectroradiometric Measurements, approved  December 3, 1994</w:t>
            </w:r>
          </w:p>
        </w:tc>
        <w:tc>
          <w:tcPr>
            <w:tcW w:w="1276" w:type="dxa"/>
            <w:tcBorders>
              <w:top w:val="dashSmallGap" w:sz="4" w:space="0" w:color="auto"/>
              <w:bottom w:val="single" w:sz="4" w:space="0" w:color="auto"/>
            </w:tcBorders>
          </w:tcPr>
          <w:p w14:paraId="4879F48B" w14:textId="77777777" w:rsidR="005A4F68" w:rsidRPr="002931CD"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tcPr>
          <w:p w14:paraId="09A74F7E" w14:textId="5528519E" w:rsidR="005A4F68" w:rsidRPr="002931CD" w:rsidRDefault="002931CD" w:rsidP="005A4F68">
            <w:pPr>
              <w:suppressAutoHyphens w:val="0"/>
              <w:rPr>
                <w:rFonts w:cs="Calibri"/>
                <w:color w:val="auto"/>
                <w:sz w:val="18"/>
                <w:szCs w:val="18"/>
              </w:rPr>
            </w:pPr>
            <w:r w:rsidRPr="002931CD">
              <w:rPr>
                <w:rFonts w:cs="Calibri"/>
                <w:color w:val="auto"/>
                <w:sz w:val="18"/>
                <w:szCs w:val="18"/>
              </w:rPr>
              <w:t>No equivalence with international standards</w:t>
            </w:r>
          </w:p>
        </w:tc>
      </w:tr>
      <w:tr w:rsidR="005A4F68" w:rsidRPr="005A4F68" w14:paraId="565AFEC1" w14:textId="77777777" w:rsidTr="001A4583">
        <w:trPr>
          <w:cantSplit/>
          <w:trHeight w:val="851"/>
        </w:trPr>
        <w:tc>
          <w:tcPr>
            <w:tcW w:w="1271" w:type="dxa"/>
            <w:tcBorders>
              <w:bottom w:val="dashSmallGap" w:sz="4" w:space="0" w:color="auto"/>
            </w:tcBorders>
            <w:shd w:val="clear" w:color="auto" w:fill="9CC2E5"/>
          </w:tcPr>
          <w:p w14:paraId="2FB3F88E" w14:textId="77777777" w:rsidR="005A4F68" w:rsidRPr="005A4F68" w:rsidRDefault="005A4F68" w:rsidP="005A4F68">
            <w:pPr>
              <w:suppressAutoHyphens w:val="0"/>
              <w:rPr>
                <w:rFonts w:cs="Calibri"/>
                <w:b/>
                <w:color w:val="auto"/>
                <w:sz w:val="18"/>
                <w:szCs w:val="18"/>
              </w:rPr>
            </w:pPr>
            <w:r w:rsidRPr="005A4F68">
              <w:rPr>
                <w:rFonts w:cs="Calibri"/>
                <w:b/>
                <w:color w:val="auto"/>
                <w:sz w:val="18"/>
                <w:szCs w:val="18"/>
                <w:lang w:val="es-ES"/>
              </w:rPr>
              <w:t>10 CFR 430.23(y)</w:t>
            </w:r>
          </w:p>
          <w:p w14:paraId="26531FA7" w14:textId="77777777" w:rsidR="005A4F68" w:rsidRPr="005A4F68" w:rsidRDefault="005A4F68" w:rsidP="005A4F68">
            <w:pPr>
              <w:suppressAutoHyphens w:val="0"/>
              <w:rPr>
                <w:rFonts w:cs="Calibri"/>
                <w:b/>
                <w:color w:val="auto"/>
                <w:sz w:val="18"/>
                <w:szCs w:val="18"/>
              </w:rPr>
            </w:pPr>
          </w:p>
        </w:tc>
        <w:tc>
          <w:tcPr>
            <w:tcW w:w="4111" w:type="dxa"/>
            <w:tcBorders>
              <w:bottom w:val="dashSmallGap" w:sz="4" w:space="0" w:color="auto"/>
            </w:tcBorders>
            <w:shd w:val="clear" w:color="auto" w:fill="9CC2E5"/>
          </w:tcPr>
          <w:p w14:paraId="5DF208C2" w14:textId="77777777" w:rsidR="005A4F68" w:rsidRPr="005A4F68" w:rsidRDefault="005A4F68" w:rsidP="005A4F68">
            <w:pPr>
              <w:suppressAutoHyphens w:val="0"/>
              <w:rPr>
                <w:rFonts w:cs="Calibri"/>
                <w:b/>
                <w:color w:val="auto"/>
                <w:sz w:val="18"/>
                <w:szCs w:val="18"/>
              </w:rPr>
            </w:pPr>
            <w:r w:rsidRPr="005A4F68">
              <w:rPr>
                <w:rFonts w:cs="Calibri"/>
                <w:b/>
                <w:color w:val="auto"/>
                <w:sz w:val="18"/>
                <w:szCs w:val="18"/>
              </w:rPr>
              <w:t>Compact fluorescent lamps</w:t>
            </w:r>
          </w:p>
        </w:tc>
        <w:tc>
          <w:tcPr>
            <w:tcW w:w="1276" w:type="dxa"/>
            <w:tcBorders>
              <w:top w:val="dashSmallGap" w:sz="4" w:space="0" w:color="auto"/>
              <w:bottom w:val="single" w:sz="4" w:space="0" w:color="auto"/>
            </w:tcBorders>
            <w:shd w:val="clear" w:color="auto" w:fill="9CC2E5"/>
          </w:tcPr>
          <w:p w14:paraId="2946D212" w14:textId="77777777" w:rsidR="005A4F68" w:rsidRPr="005A4F68" w:rsidRDefault="005A4F68" w:rsidP="005A4F68">
            <w:pPr>
              <w:suppressAutoHyphens w:val="0"/>
              <w:rPr>
                <w:rFonts w:cs="Calibri"/>
                <w:b/>
                <w:color w:val="auto"/>
                <w:sz w:val="18"/>
                <w:szCs w:val="18"/>
              </w:rPr>
            </w:pPr>
          </w:p>
        </w:tc>
        <w:tc>
          <w:tcPr>
            <w:tcW w:w="3260" w:type="dxa"/>
            <w:tcBorders>
              <w:top w:val="dashSmallGap" w:sz="4" w:space="0" w:color="auto"/>
              <w:bottom w:val="single" w:sz="4" w:space="0" w:color="auto"/>
            </w:tcBorders>
            <w:shd w:val="clear" w:color="auto" w:fill="9CC2E5"/>
          </w:tcPr>
          <w:p w14:paraId="1CF5BCFB" w14:textId="77777777" w:rsidR="005A4F68" w:rsidRPr="005A4F68" w:rsidRDefault="005A4F68" w:rsidP="005A4F68">
            <w:pPr>
              <w:suppressAutoHyphens w:val="0"/>
              <w:rPr>
                <w:rFonts w:cs="Calibri"/>
                <w:b/>
                <w:color w:val="auto"/>
                <w:sz w:val="18"/>
                <w:szCs w:val="18"/>
              </w:rPr>
            </w:pPr>
          </w:p>
        </w:tc>
        <w:tc>
          <w:tcPr>
            <w:tcW w:w="1276" w:type="dxa"/>
            <w:tcBorders>
              <w:top w:val="dashSmallGap" w:sz="4" w:space="0" w:color="auto"/>
              <w:bottom w:val="single" w:sz="4" w:space="0" w:color="auto"/>
            </w:tcBorders>
            <w:shd w:val="clear" w:color="auto" w:fill="9CC2E5"/>
          </w:tcPr>
          <w:p w14:paraId="1A5FA4C1" w14:textId="77777777" w:rsidR="005A4F68" w:rsidRPr="005A4F68"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shd w:val="clear" w:color="auto" w:fill="9CC2E5"/>
          </w:tcPr>
          <w:p w14:paraId="62404319" w14:textId="77777777" w:rsidR="005A4F68" w:rsidRPr="005A4F68" w:rsidRDefault="005A4F68" w:rsidP="005A4F68">
            <w:pPr>
              <w:suppressAutoHyphens w:val="0"/>
              <w:rPr>
                <w:rFonts w:cs="Calibri"/>
                <w:color w:val="auto"/>
                <w:sz w:val="18"/>
                <w:szCs w:val="18"/>
              </w:rPr>
            </w:pPr>
          </w:p>
        </w:tc>
      </w:tr>
      <w:tr w:rsidR="005A4F68" w:rsidRPr="005A4F68" w14:paraId="32BFF990" w14:textId="77777777" w:rsidTr="001A4583">
        <w:trPr>
          <w:cantSplit/>
          <w:trHeight w:val="851"/>
        </w:trPr>
        <w:tc>
          <w:tcPr>
            <w:tcW w:w="1271" w:type="dxa"/>
            <w:tcBorders>
              <w:top w:val="dashSmallGap" w:sz="4" w:space="0" w:color="auto"/>
              <w:bottom w:val="single" w:sz="4" w:space="0" w:color="auto"/>
            </w:tcBorders>
            <w:shd w:val="clear" w:color="auto" w:fill="DEEAF6"/>
          </w:tcPr>
          <w:p w14:paraId="7BEC28CC" w14:textId="77777777" w:rsidR="005A4F68" w:rsidRPr="005A4F68" w:rsidRDefault="005A4F68" w:rsidP="005A4F68">
            <w:pPr>
              <w:suppressAutoHyphens w:val="0"/>
              <w:rPr>
                <w:rFonts w:cs="Calibri"/>
                <w:b/>
                <w:color w:val="auto"/>
                <w:sz w:val="18"/>
                <w:szCs w:val="18"/>
              </w:rPr>
            </w:pPr>
            <w:r w:rsidRPr="005A4F68">
              <w:rPr>
                <w:rFonts w:cs="Calibri"/>
                <w:b/>
                <w:color w:val="auto"/>
                <w:sz w:val="18"/>
                <w:szCs w:val="18"/>
              </w:rPr>
              <w:t>Appendix W to Subpart B of Part 430</w:t>
            </w:r>
          </w:p>
        </w:tc>
        <w:tc>
          <w:tcPr>
            <w:tcW w:w="4111" w:type="dxa"/>
            <w:tcBorders>
              <w:top w:val="dashSmallGap" w:sz="4" w:space="0" w:color="auto"/>
              <w:bottom w:val="single" w:sz="4" w:space="0" w:color="auto"/>
            </w:tcBorders>
            <w:shd w:val="clear" w:color="auto" w:fill="DEEAF6"/>
          </w:tcPr>
          <w:p w14:paraId="2DE60F86" w14:textId="77777777" w:rsidR="005A4F68" w:rsidRPr="005A4F68" w:rsidRDefault="005A4F68" w:rsidP="005A4F68">
            <w:pPr>
              <w:suppressAutoHyphens w:val="0"/>
              <w:rPr>
                <w:rFonts w:cs="Calibri"/>
                <w:b/>
                <w:color w:val="auto"/>
                <w:sz w:val="18"/>
                <w:szCs w:val="18"/>
              </w:rPr>
            </w:pPr>
            <w:r w:rsidRPr="005A4F68">
              <w:rPr>
                <w:rFonts w:cs="Calibri"/>
                <w:b/>
                <w:color w:val="auto"/>
                <w:sz w:val="18"/>
                <w:szCs w:val="18"/>
              </w:rPr>
              <w:t>Uniform Test Method for Measuring the Energy Consumption of Compact Fluorescent Lamps</w:t>
            </w:r>
          </w:p>
        </w:tc>
        <w:tc>
          <w:tcPr>
            <w:tcW w:w="1276" w:type="dxa"/>
            <w:tcBorders>
              <w:top w:val="dashSmallGap" w:sz="4" w:space="0" w:color="auto"/>
              <w:bottom w:val="single" w:sz="4" w:space="0" w:color="auto"/>
            </w:tcBorders>
            <w:shd w:val="clear" w:color="auto" w:fill="DEEAF6"/>
          </w:tcPr>
          <w:p w14:paraId="6DEE536E" w14:textId="77777777" w:rsidR="005A4F68" w:rsidRPr="005A4F68"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shd w:val="clear" w:color="auto" w:fill="DEEAF6"/>
          </w:tcPr>
          <w:p w14:paraId="6B03954D" w14:textId="77777777" w:rsidR="005A4F68" w:rsidRPr="005A4F68" w:rsidRDefault="005A4F68" w:rsidP="005A4F68">
            <w:pPr>
              <w:suppressAutoHyphens w:val="0"/>
              <w:rPr>
                <w:rFonts w:cs="Calibri"/>
                <w:color w:val="auto"/>
                <w:sz w:val="18"/>
                <w:szCs w:val="18"/>
              </w:rPr>
            </w:pPr>
          </w:p>
        </w:tc>
        <w:tc>
          <w:tcPr>
            <w:tcW w:w="1276" w:type="dxa"/>
            <w:tcBorders>
              <w:top w:val="dashSmallGap" w:sz="4" w:space="0" w:color="auto"/>
              <w:bottom w:val="single" w:sz="4" w:space="0" w:color="auto"/>
            </w:tcBorders>
            <w:shd w:val="clear" w:color="auto" w:fill="DEEAF6"/>
          </w:tcPr>
          <w:p w14:paraId="03838C02" w14:textId="77777777" w:rsidR="005A4F68" w:rsidRPr="005A4F68"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shd w:val="clear" w:color="auto" w:fill="DEEAF6"/>
          </w:tcPr>
          <w:p w14:paraId="689EE4E4" w14:textId="77777777" w:rsidR="005A4F68" w:rsidRPr="005A4F68" w:rsidRDefault="005A4F68" w:rsidP="005A4F68">
            <w:pPr>
              <w:suppressAutoHyphens w:val="0"/>
              <w:rPr>
                <w:rFonts w:cs="Calibri"/>
                <w:color w:val="auto"/>
                <w:sz w:val="18"/>
                <w:szCs w:val="18"/>
              </w:rPr>
            </w:pPr>
          </w:p>
        </w:tc>
      </w:tr>
      <w:tr w:rsidR="0055143F" w:rsidRPr="005A4F68" w14:paraId="04781576" w14:textId="77777777" w:rsidTr="001A4583">
        <w:trPr>
          <w:cantSplit/>
          <w:trHeight w:val="851"/>
        </w:trPr>
        <w:tc>
          <w:tcPr>
            <w:tcW w:w="1271" w:type="dxa"/>
            <w:tcBorders>
              <w:top w:val="dashSmallGap" w:sz="4" w:space="0" w:color="auto"/>
              <w:bottom w:val="single" w:sz="4" w:space="0" w:color="auto"/>
            </w:tcBorders>
          </w:tcPr>
          <w:p w14:paraId="09D5D106"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6AC08022" w14:textId="77777777" w:rsidR="005A4F68" w:rsidRPr="005A4F68" w:rsidRDefault="005A4F68" w:rsidP="005A4F68">
            <w:pPr>
              <w:suppressAutoHyphens w:val="0"/>
              <w:rPr>
                <w:rFonts w:cs="Calibri"/>
                <w:b/>
                <w:color w:val="auto"/>
                <w:sz w:val="18"/>
                <w:szCs w:val="18"/>
              </w:rPr>
            </w:pPr>
          </w:p>
        </w:tc>
        <w:tc>
          <w:tcPr>
            <w:tcW w:w="1276" w:type="dxa"/>
            <w:tcBorders>
              <w:top w:val="dashSmallGap" w:sz="4" w:space="0" w:color="auto"/>
              <w:bottom w:val="single" w:sz="4" w:space="0" w:color="auto"/>
            </w:tcBorders>
            <w:shd w:val="clear" w:color="auto" w:fill="auto"/>
          </w:tcPr>
          <w:p w14:paraId="760097F4"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LM-54-12</w:t>
            </w:r>
          </w:p>
        </w:tc>
        <w:tc>
          <w:tcPr>
            <w:tcW w:w="3260" w:type="dxa"/>
            <w:tcBorders>
              <w:top w:val="dashSmallGap" w:sz="4" w:space="0" w:color="auto"/>
              <w:bottom w:val="single" w:sz="4" w:space="0" w:color="auto"/>
            </w:tcBorders>
            <w:shd w:val="clear" w:color="auto" w:fill="auto"/>
          </w:tcPr>
          <w:p w14:paraId="0FD2524C"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Guide to Lamp Seasoning, approved October 22, 2012</w:t>
            </w:r>
          </w:p>
        </w:tc>
        <w:tc>
          <w:tcPr>
            <w:tcW w:w="1276" w:type="dxa"/>
            <w:tcBorders>
              <w:top w:val="dashSmallGap" w:sz="4" w:space="0" w:color="auto"/>
              <w:bottom w:val="single" w:sz="4" w:space="0" w:color="auto"/>
            </w:tcBorders>
          </w:tcPr>
          <w:p w14:paraId="12ABDB65" w14:textId="77777777" w:rsidR="005A4F68" w:rsidRPr="002931CD"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tcPr>
          <w:p w14:paraId="660C647E" w14:textId="7589A140" w:rsidR="005A4F68" w:rsidRPr="002931CD" w:rsidRDefault="002931CD" w:rsidP="005A4F68">
            <w:pPr>
              <w:suppressAutoHyphens w:val="0"/>
              <w:rPr>
                <w:rFonts w:cs="Calibri"/>
                <w:color w:val="auto"/>
                <w:sz w:val="18"/>
                <w:szCs w:val="18"/>
              </w:rPr>
            </w:pPr>
            <w:r w:rsidRPr="002931CD">
              <w:rPr>
                <w:rFonts w:cs="Calibri"/>
                <w:color w:val="auto"/>
                <w:sz w:val="18"/>
                <w:szCs w:val="18"/>
              </w:rPr>
              <w:t>No equivalence with international standards</w:t>
            </w:r>
          </w:p>
        </w:tc>
      </w:tr>
      <w:tr w:rsidR="0055143F" w:rsidRPr="005A4F68" w14:paraId="0528022E" w14:textId="77777777" w:rsidTr="001A4583">
        <w:trPr>
          <w:cantSplit/>
          <w:trHeight w:val="851"/>
        </w:trPr>
        <w:tc>
          <w:tcPr>
            <w:tcW w:w="1271" w:type="dxa"/>
            <w:tcBorders>
              <w:top w:val="dashSmallGap" w:sz="4" w:space="0" w:color="auto"/>
              <w:bottom w:val="single" w:sz="4" w:space="0" w:color="auto"/>
            </w:tcBorders>
          </w:tcPr>
          <w:p w14:paraId="0DDC019F"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4C36FB9D" w14:textId="77777777" w:rsidR="005A4F68" w:rsidRPr="005A4F68" w:rsidRDefault="005A4F68" w:rsidP="005A4F68">
            <w:pPr>
              <w:suppressAutoHyphens w:val="0"/>
              <w:rPr>
                <w:rFonts w:cs="Calibri"/>
                <w:b/>
                <w:color w:val="auto"/>
                <w:sz w:val="18"/>
                <w:szCs w:val="18"/>
              </w:rPr>
            </w:pPr>
          </w:p>
        </w:tc>
        <w:tc>
          <w:tcPr>
            <w:tcW w:w="1276" w:type="dxa"/>
            <w:tcBorders>
              <w:top w:val="dashSmallGap" w:sz="4" w:space="0" w:color="auto"/>
              <w:bottom w:val="single" w:sz="4" w:space="0" w:color="auto"/>
            </w:tcBorders>
          </w:tcPr>
          <w:p w14:paraId="745FA17B"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LM-65-14</w:t>
            </w:r>
          </w:p>
        </w:tc>
        <w:tc>
          <w:tcPr>
            <w:tcW w:w="3260" w:type="dxa"/>
            <w:tcBorders>
              <w:top w:val="dashSmallGap" w:sz="4" w:space="0" w:color="auto"/>
              <w:bottom w:val="single" w:sz="4" w:space="0" w:color="auto"/>
            </w:tcBorders>
          </w:tcPr>
          <w:p w14:paraId="13C2D7A9"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Approved Method for Life Testing of Single-Based Fluorescent Lamps, approved December 30, 2014</w:t>
            </w:r>
          </w:p>
        </w:tc>
        <w:tc>
          <w:tcPr>
            <w:tcW w:w="1276" w:type="dxa"/>
            <w:tcBorders>
              <w:top w:val="dashSmallGap" w:sz="4" w:space="0" w:color="auto"/>
              <w:bottom w:val="single" w:sz="4" w:space="0" w:color="auto"/>
            </w:tcBorders>
          </w:tcPr>
          <w:p w14:paraId="34D81821" w14:textId="77777777" w:rsidR="005A4F68" w:rsidRPr="002931CD"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tcPr>
          <w:p w14:paraId="61228A7F" w14:textId="581B86FE" w:rsidR="005A4F68" w:rsidRPr="002931CD" w:rsidRDefault="002931CD" w:rsidP="005A4F68">
            <w:pPr>
              <w:suppressAutoHyphens w:val="0"/>
              <w:rPr>
                <w:rFonts w:cs="Calibri"/>
                <w:color w:val="auto"/>
                <w:sz w:val="18"/>
                <w:szCs w:val="18"/>
              </w:rPr>
            </w:pPr>
            <w:r w:rsidRPr="002931CD">
              <w:rPr>
                <w:rFonts w:cs="Calibri"/>
                <w:color w:val="auto"/>
                <w:sz w:val="18"/>
                <w:szCs w:val="18"/>
              </w:rPr>
              <w:t>No equivalence with international standards</w:t>
            </w:r>
          </w:p>
        </w:tc>
      </w:tr>
      <w:tr w:rsidR="0055143F" w:rsidRPr="005A4F68" w14:paraId="26E79855" w14:textId="77777777" w:rsidTr="001A4583">
        <w:trPr>
          <w:cantSplit/>
          <w:trHeight w:val="851"/>
        </w:trPr>
        <w:tc>
          <w:tcPr>
            <w:tcW w:w="1271" w:type="dxa"/>
            <w:tcBorders>
              <w:top w:val="dashSmallGap" w:sz="4" w:space="0" w:color="auto"/>
              <w:bottom w:val="single" w:sz="4" w:space="0" w:color="auto"/>
            </w:tcBorders>
          </w:tcPr>
          <w:p w14:paraId="6AE86298"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701B50C9" w14:textId="77777777" w:rsidR="005A4F68" w:rsidRPr="005A4F68" w:rsidRDefault="005A4F68" w:rsidP="005A4F68">
            <w:pPr>
              <w:suppressAutoHyphens w:val="0"/>
              <w:rPr>
                <w:rFonts w:cs="Calibri"/>
                <w:b/>
                <w:color w:val="auto"/>
                <w:sz w:val="18"/>
                <w:szCs w:val="18"/>
              </w:rPr>
            </w:pPr>
          </w:p>
        </w:tc>
        <w:tc>
          <w:tcPr>
            <w:tcW w:w="1276" w:type="dxa"/>
            <w:tcBorders>
              <w:top w:val="dashSmallGap" w:sz="4" w:space="0" w:color="auto"/>
              <w:bottom w:val="single" w:sz="4" w:space="0" w:color="auto"/>
            </w:tcBorders>
          </w:tcPr>
          <w:p w14:paraId="62F71AB1"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LM-66-14</w:t>
            </w:r>
          </w:p>
        </w:tc>
        <w:tc>
          <w:tcPr>
            <w:tcW w:w="3260" w:type="dxa"/>
            <w:tcBorders>
              <w:top w:val="dashSmallGap" w:sz="4" w:space="0" w:color="auto"/>
              <w:bottom w:val="single" w:sz="4" w:space="0" w:color="auto"/>
            </w:tcBorders>
          </w:tcPr>
          <w:p w14:paraId="3CC7D2E4"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Approved Method for the Electrical and Photometric Measurements of Single-Based Fluorescent Lamps, approved December 30, 2014</w:t>
            </w:r>
          </w:p>
        </w:tc>
        <w:tc>
          <w:tcPr>
            <w:tcW w:w="1276" w:type="dxa"/>
            <w:tcBorders>
              <w:top w:val="dashSmallGap" w:sz="4" w:space="0" w:color="auto"/>
              <w:bottom w:val="single" w:sz="4" w:space="0" w:color="auto"/>
            </w:tcBorders>
          </w:tcPr>
          <w:p w14:paraId="58F23F75" w14:textId="77777777" w:rsidR="005A4F68" w:rsidRPr="002931CD"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tcPr>
          <w:p w14:paraId="6079420B" w14:textId="75AC9774" w:rsidR="005A4F68" w:rsidRPr="002931CD" w:rsidRDefault="002931CD" w:rsidP="005A4F68">
            <w:pPr>
              <w:suppressAutoHyphens w:val="0"/>
              <w:rPr>
                <w:rFonts w:cs="Calibri"/>
                <w:color w:val="auto"/>
                <w:sz w:val="18"/>
                <w:szCs w:val="18"/>
              </w:rPr>
            </w:pPr>
            <w:r w:rsidRPr="002931CD">
              <w:rPr>
                <w:rFonts w:cs="Calibri"/>
                <w:color w:val="auto"/>
                <w:sz w:val="18"/>
                <w:szCs w:val="18"/>
              </w:rPr>
              <w:t>No equivalence with international standards</w:t>
            </w:r>
          </w:p>
        </w:tc>
      </w:tr>
      <w:tr w:rsidR="0055143F" w:rsidRPr="005A4F68" w14:paraId="007221AB" w14:textId="77777777" w:rsidTr="001A4583">
        <w:trPr>
          <w:cantSplit/>
          <w:trHeight w:val="851"/>
        </w:trPr>
        <w:tc>
          <w:tcPr>
            <w:tcW w:w="1271" w:type="dxa"/>
            <w:tcBorders>
              <w:top w:val="dashSmallGap" w:sz="4" w:space="0" w:color="auto"/>
              <w:bottom w:val="single" w:sz="4" w:space="0" w:color="auto"/>
            </w:tcBorders>
          </w:tcPr>
          <w:p w14:paraId="1DCBC3C8"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2D228D66" w14:textId="77777777" w:rsidR="005A4F68" w:rsidRPr="005A4F68" w:rsidRDefault="005A4F68" w:rsidP="005A4F68">
            <w:pPr>
              <w:suppressAutoHyphens w:val="0"/>
              <w:rPr>
                <w:rFonts w:cs="Calibri"/>
                <w:b/>
                <w:color w:val="auto"/>
                <w:sz w:val="18"/>
                <w:szCs w:val="18"/>
              </w:rPr>
            </w:pPr>
          </w:p>
        </w:tc>
        <w:tc>
          <w:tcPr>
            <w:tcW w:w="1276" w:type="dxa"/>
            <w:tcBorders>
              <w:top w:val="dashSmallGap" w:sz="4" w:space="0" w:color="auto"/>
              <w:bottom w:val="single" w:sz="4" w:space="0" w:color="auto"/>
            </w:tcBorders>
          </w:tcPr>
          <w:p w14:paraId="21974F4F"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ANSI C78.901-2014</w:t>
            </w:r>
          </w:p>
        </w:tc>
        <w:tc>
          <w:tcPr>
            <w:tcW w:w="3260" w:type="dxa"/>
            <w:tcBorders>
              <w:top w:val="dashSmallGap" w:sz="4" w:space="0" w:color="auto"/>
              <w:bottom w:val="single" w:sz="4" w:space="0" w:color="auto"/>
            </w:tcBorders>
          </w:tcPr>
          <w:p w14:paraId="44CA4797"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American National Standard for Electric Lamps - Single-Based Fluorescent Lamps - Dimensional and Electric Characteristics, ANSI approved July 2, 2014</w:t>
            </w:r>
          </w:p>
        </w:tc>
        <w:tc>
          <w:tcPr>
            <w:tcW w:w="1276" w:type="dxa"/>
            <w:tcBorders>
              <w:top w:val="dashSmallGap" w:sz="4" w:space="0" w:color="auto"/>
              <w:bottom w:val="single" w:sz="4" w:space="0" w:color="auto"/>
            </w:tcBorders>
          </w:tcPr>
          <w:p w14:paraId="1F29470C" w14:textId="77777777" w:rsidR="005A4F68" w:rsidRPr="002931CD"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tcPr>
          <w:p w14:paraId="0D974D03" w14:textId="76938C33" w:rsidR="005A4F68" w:rsidRPr="002931CD" w:rsidRDefault="002931CD" w:rsidP="005A4F68">
            <w:pPr>
              <w:suppressAutoHyphens w:val="0"/>
              <w:rPr>
                <w:rFonts w:cs="Calibri"/>
                <w:color w:val="auto"/>
                <w:sz w:val="18"/>
                <w:szCs w:val="18"/>
              </w:rPr>
            </w:pPr>
            <w:r w:rsidRPr="002931CD">
              <w:rPr>
                <w:rFonts w:cs="Calibri"/>
                <w:color w:val="auto"/>
                <w:sz w:val="18"/>
                <w:szCs w:val="18"/>
              </w:rPr>
              <w:t>No equivalence with international standards</w:t>
            </w:r>
          </w:p>
        </w:tc>
      </w:tr>
      <w:tr w:rsidR="0055143F" w:rsidRPr="005A4F68" w14:paraId="48650479" w14:textId="77777777" w:rsidTr="001A4583">
        <w:trPr>
          <w:cantSplit/>
          <w:trHeight w:val="851"/>
        </w:trPr>
        <w:tc>
          <w:tcPr>
            <w:tcW w:w="1271" w:type="dxa"/>
            <w:tcBorders>
              <w:top w:val="dashSmallGap" w:sz="4" w:space="0" w:color="auto"/>
              <w:bottom w:val="single" w:sz="4" w:space="0" w:color="auto"/>
            </w:tcBorders>
          </w:tcPr>
          <w:p w14:paraId="35824BBA"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629FF7A9" w14:textId="77777777" w:rsidR="005A4F68" w:rsidRPr="005A4F68" w:rsidRDefault="005A4F68" w:rsidP="005A4F68">
            <w:pPr>
              <w:suppressAutoHyphens w:val="0"/>
              <w:rPr>
                <w:rFonts w:cs="Calibri"/>
                <w:b/>
                <w:color w:val="auto"/>
                <w:sz w:val="18"/>
                <w:szCs w:val="18"/>
              </w:rPr>
            </w:pPr>
          </w:p>
        </w:tc>
        <w:tc>
          <w:tcPr>
            <w:tcW w:w="1276" w:type="dxa"/>
            <w:tcBorders>
              <w:top w:val="dashSmallGap" w:sz="4" w:space="0" w:color="auto"/>
              <w:bottom w:val="single" w:sz="4" w:space="0" w:color="auto"/>
            </w:tcBorders>
          </w:tcPr>
          <w:p w14:paraId="2DECF293"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IESNA LM-78-07</w:t>
            </w:r>
          </w:p>
        </w:tc>
        <w:tc>
          <w:tcPr>
            <w:tcW w:w="3260" w:type="dxa"/>
            <w:tcBorders>
              <w:top w:val="dashSmallGap" w:sz="4" w:space="0" w:color="auto"/>
              <w:bottom w:val="single" w:sz="4" w:space="0" w:color="auto"/>
            </w:tcBorders>
          </w:tcPr>
          <w:p w14:paraId="7622C59E"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IESNA Approved Method for Total Luminous Flux Measurement of Lamps Using an Integrated Sphere Photometer, approved January 28, 2007</w:t>
            </w:r>
          </w:p>
        </w:tc>
        <w:tc>
          <w:tcPr>
            <w:tcW w:w="1276" w:type="dxa"/>
            <w:tcBorders>
              <w:top w:val="dashSmallGap" w:sz="4" w:space="0" w:color="auto"/>
              <w:bottom w:val="single" w:sz="4" w:space="0" w:color="auto"/>
            </w:tcBorders>
          </w:tcPr>
          <w:p w14:paraId="2F0444E5" w14:textId="77777777" w:rsidR="005A4F68" w:rsidRPr="002931CD"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tcPr>
          <w:p w14:paraId="51D3E0D4" w14:textId="58DE12F4" w:rsidR="005A4F68" w:rsidRPr="002931CD" w:rsidRDefault="002931CD" w:rsidP="005A4F68">
            <w:pPr>
              <w:suppressAutoHyphens w:val="0"/>
              <w:rPr>
                <w:rFonts w:cs="Calibri"/>
                <w:color w:val="auto"/>
                <w:sz w:val="18"/>
                <w:szCs w:val="18"/>
              </w:rPr>
            </w:pPr>
            <w:r w:rsidRPr="002931CD">
              <w:rPr>
                <w:rFonts w:cs="Calibri"/>
                <w:color w:val="auto"/>
                <w:sz w:val="18"/>
                <w:szCs w:val="18"/>
              </w:rPr>
              <w:t>No equivalence with international standards</w:t>
            </w:r>
          </w:p>
        </w:tc>
      </w:tr>
      <w:tr w:rsidR="0055143F" w:rsidRPr="005A4F68" w14:paraId="64890DB2" w14:textId="77777777" w:rsidTr="001A4583">
        <w:trPr>
          <w:cantSplit/>
          <w:trHeight w:val="851"/>
        </w:trPr>
        <w:tc>
          <w:tcPr>
            <w:tcW w:w="1271" w:type="dxa"/>
            <w:tcBorders>
              <w:top w:val="dashSmallGap" w:sz="4" w:space="0" w:color="auto"/>
              <w:bottom w:val="single" w:sz="4" w:space="0" w:color="auto"/>
            </w:tcBorders>
          </w:tcPr>
          <w:p w14:paraId="66697F87"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784E5B9F" w14:textId="77777777" w:rsidR="005A4F68" w:rsidRPr="005A4F68" w:rsidRDefault="005A4F68" w:rsidP="005A4F68">
            <w:pPr>
              <w:suppressAutoHyphens w:val="0"/>
              <w:rPr>
                <w:rFonts w:cs="Calibri"/>
                <w:b/>
                <w:color w:val="auto"/>
                <w:sz w:val="18"/>
                <w:szCs w:val="18"/>
              </w:rPr>
            </w:pPr>
          </w:p>
        </w:tc>
        <w:tc>
          <w:tcPr>
            <w:tcW w:w="1276" w:type="dxa"/>
            <w:tcBorders>
              <w:top w:val="dashSmallGap" w:sz="4" w:space="0" w:color="auto"/>
              <w:bottom w:val="single" w:sz="4" w:space="0" w:color="auto"/>
            </w:tcBorders>
          </w:tcPr>
          <w:p w14:paraId="711DCD15"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CIE 15</w:t>
            </w:r>
          </w:p>
        </w:tc>
        <w:tc>
          <w:tcPr>
            <w:tcW w:w="3260" w:type="dxa"/>
            <w:tcBorders>
              <w:top w:val="dashSmallGap" w:sz="4" w:space="0" w:color="auto"/>
              <w:bottom w:val="single" w:sz="4" w:space="0" w:color="auto"/>
            </w:tcBorders>
          </w:tcPr>
          <w:p w14:paraId="1F51953E"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Technical Report: Colorimetry, 3rd edition, 2004</w:t>
            </w:r>
          </w:p>
        </w:tc>
        <w:tc>
          <w:tcPr>
            <w:tcW w:w="1276" w:type="dxa"/>
            <w:tcBorders>
              <w:top w:val="dashSmallGap" w:sz="4" w:space="0" w:color="auto"/>
              <w:bottom w:val="single" w:sz="4" w:space="0" w:color="auto"/>
            </w:tcBorders>
          </w:tcPr>
          <w:p w14:paraId="17D733AF"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CIE 15</w:t>
            </w:r>
          </w:p>
        </w:tc>
        <w:tc>
          <w:tcPr>
            <w:tcW w:w="3260" w:type="dxa"/>
            <w:tcBorders>
              <w:top w:val="dashSmallGap" w:sz="4" w:space="0" w:color="auto"/>
              <w:bottom w:val="single" w:sz="4" w:space="0" w:color="auto"/>
            </w:tcBorders>
          </w:tcPr>
          <w:p w14:paraId="35E670FB"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Technical Report: Colorimetry, 3rd edition, 2004</w:t>
            </w:r>
          </w:p>
        </w:tc>
      </w:tr>
      <w:tr w:rsidR="0055143F" w:rsidRPr="005A4F68" w14:paraId="5129C242" w14:textId="77777777" w:rsidTr="001A4583">
        <w:trPr>
          <w:cantSplit/>
          <w:trHeight w:val="851"/>
        </w:trPr>
        <w:tc>
          <w:tcPr>
            <w:tcW w:w="1271" w:type="dxa"/>
            <w:tcBorders>
              <w:top w:val="dashSmallGap" w:sz="4" w:space="0" w:color="auto"/>
              <w:bottom w:val="single" w:sz="4" w:space="0" w:color="auto"/>
            </w:tcBorders>
          </w:tcPr>
          <w:p w14:paraId="78DF4E8F"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29D5CF8B" w14:textId="77777777" w:rsidR="005A4F68" w:rsidRPr="005A4F68" w:rsidRDefault="005A4F68" w:rsidP="005A4F68">
            <w:pPr>
              <w:suppressAutoHyphens w:val="0"/>
              <w:rPr>
                <w:rFonts w:cs="Calibri"/>
                <w:b/>
                <w:color w:val="auto"/>
                <w:sz w:val="18"/>
                <w:szCs w:val="18"/>
              </w:rPr>
            </w:pPr>
          </w:p>
        </w:tc>
        <w:tc>
          <w:tcPr>
            <w:tcW w:w="1276" w:type="dxa"/>
            <w:tcBorders>
              <w:top w:val="dashSmallGap" w:sz="4" w:space="0" w:color="auto"/>
              <w:bottom w:val="single" w:sz="4" w:space="0" w:color="auto"/>
            </w:tcBorders>
          </w:tcPr>
          <w:p w14:paraId="0A87CA43"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CIE 13.3</w:t>
            </w:r>
          </w:p>
        </w:tc>
        <w:tc>
          <w:tcPr>
            <w:tcW w:w="3260" w:type="dxa"/>
            <w:tcBorders>
              <w:top w:val="dashSmallGap" w:sz="4" w:space="0" w:color="auto"/>
              <w:bottom w:val="single" w:sz="4" w:space="0" w:color="auto"/>
            </w:tcBorders>
          </w:tcPr>
          <w:p w14:paraId="166719C0"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Technical Report: Method of Measuring and Specifying Colour Rendering Properties of Light Sources, 1995</w:t>
            </w:r>
          </w:p>
        </w:tc>
        <w:tc>
          <w:tcPr>
            <w:tcW w:w="1276" w:type="dxa"/>
            <w:tcBorders>
              <w:top w:val="dashSmallGap" w:sz="4" w:space="0" w:color="auto"/>
              <w:bottom w:val="single" w:sz="4" w:space="0" w:color="auto"/>
            </w:tcBorders>
          </w:tcPr>
          <w:p w14:paraId="0C539114"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CIE 13.3</w:t>
            </w:r>
          </w:p>
        </w:tc>
        <w:tc>
          <w:tcPr>
            <w:tcW w:w="3260" w:type="dxa"/>
            <w:tcBorders>
              <w:top w:val="dashSmallGap" w:sz="4" w:space="0" w:color="auto"/>
              <w:bottom w:val="single" w:sz="4" w:space="0" w:color="auto"/>
            </w:tcBorders>
          </w:tcPr>
          <w:p w14:paraId="7CF153D3"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Technical Report: Method of Measuring and Specifying Colour Rendering Properties of Light Sources, 1995</w:t>
            </w:r>
          </w:p>
        </w:tc>
      </w:tr>
      <w:tr w:rsidR="0055143F" w:rsidRPr="005A4F68" w14:paraId="4F105137" w14:textId="77777777" w:rsidTr="001A4583">
        <w:trPr>
          <w:cantSplit/>
          <w:trHeight w:val="851"/>
        </w:trPr>
        <w:tc>
          <w:tcPr>
            <w:tcW w:w="1271" w:type="dxa"/>
            <w:tcBorders>
              <w:top w:val="dashSmallGap" w:sz="4" w:space="0" w:color="auto"/>
              <w:bottom w:val="single" w:sz="4" w:space="0" w:color="auto"/>
            </w:tcBorders>
          </w:tcPr>
          <w:p w14:paraId="4A0E3A83"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1EE799F2" w14:textId="77777777" w:rsidR="005A4F68" w:rsidRPr="005A4F68" w:rsidRDefault="005A4F68" w:rsidP="005A4F68">
            <w:pPr>
              <w:suppressAutoHyphens w:val="0"/>
              <w:rPr>
                <w:rFonts w:cs="Calibri"/>
                <w:b/>
                <w:color w:val="auto"/>
                <w:sz w:val="18"/>
                <w:szCs w:val="18"/>
              </w:rPr>
            </w:pPr>
          </w:p>
        </w:tc>
        <w:tc>
          <w:tcPr>
            <w:tcW w:w="1276" w:type="dxa"/>
            <w:tcBorders>
              <w:top w:val="dashSmallGap" w:sz="4" w:space="0" w:color="auto"/>
              <w:bottom w:val="single" w:sz="4" w:space="0" w:color="auto"/>
            </w:tcBorders>
          </w:tcPr>
          <w:p w14:paraId="36099109"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IEC 62301-W</w:t>
            </w:r>
          </w:p>
        </w:tc>
        <w:tc>
          <w:tcPr>
            <w:tcW w:w="3260" w:type="dxa"/>
            <w:tcBorders>
              <w:top w:val="dashSmallGap" w:sz="4" w:space="0" w:color="auto"/>
              <w:bottom w:val="single" w:sz="4" w:space="0" w:color="auto"/>
            </w:tcBorders>
          </w:tcPr>
          <w:p w14:paraId="280DE1FC"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Household electrical appliances - Measurement of standby power (Edition 2.0, 2011-01)</w:t>
            </w:r>
          </w:p>
        </w:tc>
        <w:tc>
          <w:tcPr>
            <w:tcW w:w="1276" w:type="dxa"/>
            <w:tcBorders>
              <w:top w:val="dashSmallGap" w:sz="4" w:space="0" w:color="auto"/>
              <w:bottom w:val="single" w:sz="4" w:space="0" w:color="auto"/>
            </w:tcBorders>
          </w:tcPr>
          <w:p w14:paraId="37A3409D"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IEC 62301</w:t>
            </w:r>
          </w:p>
        </w:tc>
        <w:tc>
          <w:tcPr>
            <w:tcW w:w="3260" w:type="dxa"/>
            <w:tcBorders>
              <w:top w:val="dashSmallGap" w:sz="4" w:space="0" w:color="auto"/>
              <w:bottom w:val="single" w:sz="4" w:space="0" w:color="auto"/>
            </w:tcBorders>
          </w:tcPr>
          <w:p w14:paraId="0CF28621"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Household electrical appliances - Measurement of standby power (Edition 2.0, 2011-01)</w:t>
            </w:r>
          </w:p>
        </w:tc>
      </w:tr>
      <w:tr w:rsidR="005A4F68" w:rsidRPr="005A4F68" w14:paraId="5EB27B7A" w14:textId="77777777" w:rsidTr="001A4583">
        <w:trPr>
          <w:cantSplit/>
          <w:trHeight w:val="851"/>
        </w:trPr>
        <w:tc>
          <w:tcPr>
            <w:tcW w:w="1271" w:type="dxa"/>
            <w:tcBorders>
              <w:top w:val="single" w:sz="4" w:space="0" w:color="auto"/>
              <w:bottom w:val="dashSmallGap" w:sz="4" w:space="0" w:color="auto"/>
            </w:tcBorders>
            <w:shd w:val="clear" w:color="auto" w:fill="9CC2E5"/>
          </w:tcPr>
          <w:p w14:paraId="400891C8" w14:textId="77777777" w:rsidR="005A4F68" w:rsidRPr="005A4F68" w:rsidRDefault="005A4F68" w:rsidP="005A4F68">
            <w:pPr>
              <w:suppressAutoHyphens w:val="0"/>
              <w:rPr>
                <w:rFonts w:cs="Calibri"/>
                <w:b/>
                <w:color w:val="auto"/>
                <w:sz w:val="18"/>
                <w:szCs w:val="18"/>
              </w:rPr>
            </w:pPr>
            <w:r w:rsidRPr="005A4F68">
              <w:rPr>
                <w:rFonts w:cs="Calibri"/>
                <w:b/>
                <w:color w:val="auto"/>
                <w:sz w:val="18"/>
                <w:szCs w:val="18"/>
              </w:rPr>
              <w:t>10 CFR 430.23(ee)</w:t>
            </w:r>
          </w:p>
        </w:tc>
        <w:tc>
          <w:tcPr>
            <w:tcW w:w="4111" w:type="dxa"/>
            <w:tcBorders>
              <w:top w:val="single" w:sz="4" w:space="0" w:color="auto"/>
              <w:bottom w:val="dashSmallGap" w:sz="4" w:space="0" w:color="auto"/>
            </w:tcBorders>
            <w:shd w:val="clear" w:color="auto" w:fill="9CC2E5"/>
          </w:tcPr>
          <w:p w14:paraId="23CD8797" w14:textId="77777777" w:rsidR="005A4F68" w:rsidRPr="005A4F68" w:rsidRDefault="005A4F68" w:rsidP="005A4F68">
            <w:pPr>
              <w:suppressAutoHyphens w:val="0"/>
              <w:rPr>
                <w:rFonts w:cs="Calibri"/>
                <w:b/>
                <w:color w:val="auto"/>
                <w:sz w:val="18"/>
                <w:szCs w:val="18"/>
              </w:rPr>
            </w:pPr>
            <w:r w:rsidRPr="005A4F68">
              <w:rPr>
                <w:rFonts w:cs="Calibri"/>
                <w:b/>
                <w:color w:val="auto"/>
                <w:sz w:val="18"/>
                <w:szCs w:val="18"/>
              </w:rPr>
              <w:t>Integrated light-emitting diode lamp</w:t>
            </w:r>
          </w:p>
        </w:tc>
        <w:tc>
          <w:tcPr>
            <w:tcW w:w="1276" w:type="dxa"/>
            <w:tcBorders>
              <w:top w:val="single" w:sz="4" w:space="0" w:color="auto"/>
              <w:bottom w:val="dashSmallGap" w:sz="4" w:space="0" w:color="auto"/>
            </w:tcBorders>
            <w:shd w:val="clear" w:color="auto" w:fill="9CC2E5"/>
          </w:tcPr>
          <w:p w14:paraId="1ED76ED8" w14:textId="77777777" w:rsidR="005A4F68" w:rsidRPr="005A4F68" w:rsidRDefault="005A4F68" w:rsidP="005A4F68">
            <w:pPr>
              <w:suppressAutoHyphens w:val="0"/>
              <w:rPr>
                <w:rFonts w:cs="Calibri"/>
                <w:b/>
                <w:color w:val="auto"/>
                <w:sz w:val="18"/>
                <w:szCs w:val="18"/>
              </w:rPr>
            </w:pPr>
          </w:p>
        </w:tc>
        <w:tc>
          <w:tcPr>
            <w:tcW w:w="3260" w:type="dxa"/>
            <w:tcBorders>
              <w:top w:val="single" w:sz="4" w:space="0" w:color="auto"/>
              <w:bottom w:val="dashSmallGap" w:sz="4" w:space="0" w:color="auto"/>
            </w:tcBorders>
            <w:shd w:val="clear" w:color="auto" w:fill="9CC2E5"/>
          </w:tcPr>
          <w:p w14:paraId="49C416C8" w14:textId="77777777" w:rsidR="005A4F68" w:rsidRPr="005A4F68" w:rsidRDefault="005A4F68" w:rsidP="005A4F68">
            <w:pPr>
              <w:suppressAutoHyphens w:val="0"/>
              <w:rPr>
                <w:rFonts w:cs="Calibri"/>
                <w:b/>
                <w:color w:val="auto"/>
                <w:sz w:val="18"/>
                <w:szCs w:val="18"/>
              </w:rPr>
            </w:pPr>
          </w:p>
        </w:tc>
        <w:tc>
          <w:tcPr>
            <w:tcW w:w="1276" w:type="dxa"/>
            <w:tcBorders>
              <w:top w:val="single" w:sz="4" w:space="0" w:color="auto"/>
              <w:bottom w:val="dashSmallGap" w:sz="4" w:space="0" w:color="auto"/>
            </w:tcBorders>
            <w:shd w:val="clear" w:color="auto" w:fill="9CC2E5"/>
          </w:tcPr>
          <w:p w14:paraId="02AAC6FC" w14:textId="77777777" w:rsidR="005A4F68" w:rsidRPr="005A4F68" w:rsidRDefault="005A4F68" w:rsidP="005A4F68">
            <w:pPr>
              <w:suppressAutoHyphens w:val="0"/>
              <w:rPr>
                <w:rFonts w:cs="Calibri"/>
                <w:color w:val="auto"/>
                <w:sz w:val="18"/>
                <w:szCs w:val="18"/>
              </w:rPr>
            </w:pPr>
          </w:p>
        </w:tc>
        <w:tc>
          <w:tcPr>
            <w:tcW w:w="3260" w:type="dxa"/>
            <w:tcBorders>
              <w:top w:val="single" w:sz="4" w:space="0" w:color="auto"/>
              <w:bottom w:val="dashSmallGap" w:sz="4" w:space="0" w:color="auto"/>
            </w:tcBorders>
            <w:shd w:val="clear" w:color="auto" w:fill="9CC2E5"/>
          </w:tcPr>
          <w:p w14:paraId="6CA05A3B" w14:textId="77777777" w:rsidR="005A4F68" w:rsidRPr="005A4F68" w:rsidRDefault="005A4F68" w:rsidP="005A4F68">
            <w:pPr>
              <w:suppressAutoHyphens w:val="0"/>
              <w:rPr>
                <w:rFonts w:cs="Calibri"/>
                <w:color w:val="auto"/>
                <w:sz w:val="18"/>
                <w:szCs w:val="18"/>
              </w:rPr>
            </w:pPr>
          </w:p>
        </w:tc>
      </w:tr>
      <w:tr w:rsidR="005A4F68" w:rsidRPr="005A4F68" w14:paraId="38C22AE9" w14:textId="77777777" w:rsidTr="001A4583">
        <w:trPr>
          <w:cantSplit/>
          <w:trHeight w:val="851"/>
        </w:trPr>
        <w:tc>
          <w:tcPr>
            <w:tcW w:w="1271" w:type="dxa"/>
            <w:tcBorders>
              <w:top w:val="dashSmallGap" w:sz="4" w:space="0" w:color="auto"/>
              <w:bottom w:val="single" w:sz="4" w:space="0" w:color="auto"/>
            </w:tcBorders>
            <w:shd w:val="clear" w:color="auto" w:fill="DEEAF6"/>
          </w:tcPr>
          <w:p w14:paraId="0037D369" w14:textId="77777777" w:rsidR="005A4F68" w:rsidRPr="005A4F68" w:rsidRDefault="005A4F68" w:rsidP="005A4F68">
            <w:pPr>
              <w:suppressAutoHyphens w:val="0"/>
              <w:rPr>
                <w:rFonts w:cs="Calibri"/>
                <w:b/>
                <w:color w:val="auto"/>
                <w:sz w:val="18"/>
                <w:szCs w:val="18"/>
              </w:rPr>
            </w:pPr>
            <w:r w:rsidRPr="005A4F68">
              <w:rPr>
                <w:rFonts w:cs="Calibri"/>
                <w:b/>
                <w:color w:val="auto"/>
                <w:sz w:val="18"/>
                <w:szCs w:val="18"/>
              </w:rPr>
              <w:t>Appendix BB of Part 430</w:t>
            </w:r>
            <w:r w:rsidRPr="005A4F68">
              <w:rPr>
                <w:rFonts w:cs="Calibri"/>
                <w:b/>
                <w:color w:val="auto"/>
                <w:sz w:val="18"/>
                <w:szCs w:val="18"/>
                <w:vertAlign w:val="superscript"/>
              </w:rPr>
              <w:footnoteReference w:id="114"/>
            </w:r>
          </w:p>
        </w:tc>
        <w:tc>
          <w:tcPr>
            <w:tcW w:w="4111" w:type="dxa"/>
            <w:tcBorders>
              <w:top w:val="dashSmallGap" w:sz="4" w:space="0" w:color="auto"/>
              <w:bottom w:val="single" w:sz="4" w:space="0" w:color="auto"/>
            </w:tcBorders>
            <w:shd w:val="clear" w:color="auto" w:fill="DEEAF6"/>
          </w:tcPr>
          <w:p w14:paraId="78B61FAF" w14:textId="77777777" w:rsidR="005A4F68" w:rsidRPr="005A4F68" w:rsidRDefault="005A4F68" w:rsidP="005A4F68">
            <w:pPr>
              <w:suppressAutoHyphens w:val="0"/>
              <w:rPr>
                <w:rFonts w:cs="Calibri"/>
                <w:b/>
                <w:color w:val="auto"/>
                <w:sz w:val="18"/>
                <w:szCs w:val="18"/>
              </w:rPr>
            </w:pPr>
            <w:r w:rsidRPr="005A4F68">
              <w:rPr>
                <w:rFonts w:cs="Calibri"/>
                <w:b/>
                <w:color w:val="auto"/>
                <w:sz w:val="18"/>
                <w:szCs w:val="18"/>
              </w:rPr>
              <w:t>Uniform Test Method for Measuring the Input Power, Lumen Output, Lamp Efficacy, Correlated Color Temperature (CCT), Color Rendering Index (CRI), Power Factor, Time of Failure, and Standby Mode Power of Integrated Light-Emitting Diode (LED) Lamps</w:t>
            </w:r>
          </w:p>
        </w:tc>
        <w:tc>
          <w:tcPr>
            <w:tcW w:w="1276" w:type="dxa"/>
            <w:tcBorders>
              <w:top w:val="dashSmallGap" w:sz="4" w:space="0" w:color="auto"/>
              <w:bottom w:val="single" w:sz="4" w:space="0" w:color="auto"/>
            </w:tcBorders>
            <w:shd w:val="clear" w:color="auto" w:fill="DEEAF6"/>
          </w:tcPr>
          <w:p w14:paraId="7DEA73C8" w14:textId="77777777" w:rsidR="005A4F68" w:rsidRPr="005A4F68" w:rsidRDefault="005A4F68" w:rsidP="005A4F68">
            <w:pPr>
              <w:suppressAutoHyphens w:val="0"/>
              <w:rPr>
                <w:rFonts w:cs="Calibri"/>
                <w:b/>
                <w:color w:val="auto"/>
                <w:sz w:val="18"/>
                <w:szCs w:val="18"/>
              </w:rPr>
            </w:pPr>
          </w:p>
        </w:tc>
        <w:tc>
          <w:tcPr>
            <w:tcW w:w="3260" w:type="dxa"/>
            <w:tcBorders>
              <w:top w:val="dashSmallGap" w:sz="4" w:space="0" w:color="auto"/>
              <w:bottom w:val="single" w:sz="4" w:space="0" w:color="auto"/>
            </w:tcBorders>
            <w:shd w:val="clear" w:color="auto" w:fill="DEEAF6"/>
          </w:tcPr>
          <w:p w14:paraId="2668CDF2" w14:textId="77777777" w:rsidR="005A4F68" w:rsidRPr="005A4F68" w:rsidRDefault="005A4F68" w:rsidP="005A4F68">
            <w:pPr>
              <w:suppressAutoHyphens w:val="0"/>
              <w:rPr>
                <w:rFonts w:cs="Calibri"/>
                <w:b/>
                <w:color w:val="auto"/>
                <w:sz w:val="18"/>
                <w:szCs w:val="18"/>
              </w:rPr>
            </w:pPr>
          </w:p>
        </w:tc>
        <w:tc>
          <w:tcPr>
            <w:tcW w:w="1276" w:type="dxa"/>
            <w:tcBorders>
              <w:top w:val="dashSmallGap" w:sz="4" w:space="0" w:color="auto"/>
              <w:bottom w:val="single" w:sz="4" w:space="0" w:color="auto"/>
            </w:tcBorders>
            <w:shd w:val="clear" w:color="auto" w:fill="DEEAF6"/>
          </w:tcPr>
          <w:p w14:paraId="1DB1945C" w14:textId="77777777" w:rsidR="005A4F68" w:rsidRPr="005A4F68"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shd w:val="clear" w:color="auto" w:fill="DEEAF6"/>
          </w:tcPr>
          <w:p w14:paraId="40953FED" w14:textId="77777777" w:rsidR="005A4F68" w:rsidRPr="005A4F68" w:rsidRDefault="005A4F68" w:rsidP="005A4F68">
            <w:pPr>
              <w:suppressAutoHyphens w:val="0"/>
              <w:rPr>
                <w:rFonts w:cs="Calibri"/>
                <w:color w:val="auto"/>
                <w:sz w:val="18"/>
                <w:szCs w:val="18"/>
              </w:rPr>
            </w:pPr>
          </w:p>
        </w:tc>
      </w:tr>
      <w:tr w:rsidR="0055143F" w:rsidRPr="005A4F68" w14:paraId="27E8F9C7" w14:textId="77777777" w:rsidTr="001A4583">
        <w:trPr>
          <w:cantSplit/>
          <w:trHeight w:val="851"/>
        </w:trPr>
        <w:tc>
          <w:tcPr>
            <w:tcW w:w="1271" w:type="dxa"/>
            <w:tcBorders>
              <w:top w:val="dashSmallGap" w:sz="4" w:space="0" w:color="auto"/>
              <w:bottom w:val="single" w:sz="4" w:space="0" w:color="auto"/>
            </w:tcBorders>
          </w:tcPr>
          <w:p w14:paraId="0BF4EEE2"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4E7D1D75" w14:textId="77777777" w:rsidR="005A4F68" w:rsidRPr="005A4F68" w:rsidRDefault="005A4F68" w:rsidP="005A4F68">
            <w:pPr>
              <w:suppressAutoHyphens w:val="0"/>
              <w:rPr>
                <w:rFonts w:cs="Calibri"/>
                <w:b/>
                <w:color w:val="auto"/>
                <w:sz w:val="18"/>
                <w:szCs w:val="18"/>
              </w:rPr>
            </w:pPr>
          </w:p>
        </w:tc>
        <w:tc>
          <w:tcPr>
            <w:tcW w:w="1276" w:type="dxa"/>
            <w:tcBorders>
              <w:top w:val="dashSmallGap" w:sz="4" w:space="0" w:color="auto"/>
              <w:bottom w:val="single" w:sz="4" w:space="0" w:color="auto"/>
            </w:tcBorders>
            <w:shd w:val="clear" w:color="auto" w:fill="auto"/>
          </w:tcPr>
          <w:p w14:paraId="30DFE4AD"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LM-79-08</w:t>
            </w:r>
          </w:p>
        </w:tc>
        <w:tc>
          <w:tcPr>
            <w:tcW w:w="3260" w:type="dxa"/>
            <w:tcBorders>
              <w:top w:val="dashSmallGap" w:sz="4" w:space="0" w:color="auto"/>
              <w:bottom w:val="single" w:sz="4" w:space="0" w:color="auto"/>
            </w:tcBorders>
            <w:shd w:val="clear" w:color="auto" w:fill="auto"/>
          </w:tcPr>
          <w:p w14:paraId="18548C27"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Approved Method for the Electrical and Photometric Measurements of Solid-State Lighting Products, approved December 31, 2007</w:t>
            </w:r>
          </w:p>
        </w:tc>
        <w:tc>
          <w:tcPr>
            <w:tcW w:w="1276" w:type="dxa"/>
            <w:tcBorders>
              <w:top w:val="dashSmallGap" w:sz="4" w:space="0" w:color="auto"/>
              <w:bottom w:val="single" w:sz="4" w:space="0" w:color="auto"/>
            </w:tcBorders>
          </w:tcPr>
          <w:p w14:paraId="7E917CB2" w14:textId="77777777" w:rsidR="005A4F68" w:rsidRPr="002931CD"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tcPr>
          <w:p w14:paraId="2E69B246" w14:textId="75304948" w:rsidR="005A4F68" w:rsidRPr="002931CD" w:rsidRDefault="002931CD" w:rsidP="005A4F68">
            <w:pPr>
              <w:suppressAutoHyphens w:val="0"/>
              <w:rPr>
                <w:rFonts w:cs="Calibri"/>
                <w:color w:val="auto"/>
                <w:sz w:val="18"/>
                <w:szCs w:val="18"/>
              </w:rPr>
            </w:pPr>
            <w:r w:rsidRPr="002931CD">
              <w:rPr>
                <w:rFonts w:cs="Calibri"/>
                <w:color w:val="auto"/>
                <w:sz w:val="18"/>
                <w:szCs w:val="18"/>
              </w:rPr>
              <w:t>No equivalence with international standards</w:t>
            </w:r>
          </w:p>
        </w:tc>
      </w:tr>
      <w:tr w:rsidR="0055143F" w:rsidRPr="005A4F68" w14:paraId="64D206C1" w14:textId="77777777" w:rsidTr="001A4583">
        <w:trPr>
          <w:cantSplit/>
          <w:trHeight w:val="851"/>
        </w:trPr>
        <w:tc>
          <w:tcPr>
            <w:tcW w:w="1271" w:type="dxa"/>
            <w:tcBorders>
              <w:top w:val="dashSmallGap" w:sz="4" w:space="0" w:color="auto"/>
              <w:bottom w:val="single" w:sz="4" w:space="0" w:color="auto"/>
            </w:tcBorders>
          </w:tcPr>
          <w:p w14:paraId="2FC312AC"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69B01FFB" w14:textId="77777777" w:rsidR="005A4F68" w:rsidRPr="005A4F68" w:rsidRDefault="005A4F68" w:rsidP="005A4F68">
            <w:pPr>
              <w:suppressAutoHyphens w:val="0"/>
              <w:rPr>
                <w:rFonts w:cs="Calibri"/>
                <w:b/>
                <w:color w:val="auto"/>
                <w:sz w:val="18"/>
                <w:szCs w:val="18"/>
              </w:rPr>
            </w:pPr>
          </w:p>
        </w:tc>
        <w:tc>
          <w:tcPr>
            <w:tcW w:w="1276" w:type="dxa"/>
            <w:tcBorders>
              <w:top w:val="dashSmallGap" w:sz="4" w:space="0" w:color="auto"/>
              <w:bottom w:val="single" w:sz="4" w:space="0" w:color="auto"/>
            </w:tcBorders>
          </w:tcPr>
          <w:p w14:paraId="24C7D5AC"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LM-84</w:t>
            </w:r>
          </w:p>
        </w:tc>
        <w:tc>
          <w:tcPr>
            <w:tcW w:w="3260" w:type="dxa"/>
            <w:tcBorders>
              <w:top w:val="dashSmallGap" w:sz="4" w:space="0" w:color="auto"/>
              <w:bottom w:val="single" w:sz="4" w:space="0" w:color="auto"/>
            </w:tcBorders>
          </w:tcPr>
          <w:p w14:paraId="215CFA22"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Approved Method: Measuring Luminous Flux and Color Maintenance of LED Lamps, Light Engines, and Luminaires, approved March 31, 2014</w:t>
            </w:r>
          </w:p>
        </w:tc>
        <w:tc>
          <w:tcPr>
            <w:tcW w:w="1276" w:type="dxa"/>
            <w:tcBorders>
              <w:top w:val="dashSmallGap" w:sz="4" w:space="0" w:color="auto"/>
              <w:bottom w:val="single" w:sz="4" w:space="0" w:color="auto"/>
            </w:tcBorders>
          </w:tcPr>
          <w:p w14:paraId="06F4AB3E" w14:textId="77777777" w:rsidR="005A4F68" w:rsidRPr="002931CD"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tcPr>
          <w:p w14:paraId="735A2889" w14:textId="099C126B" w:rsidR="005A4F68" w:rsidRPr="002931CD" w:rsidRDefault="002931CD" w:rsidP="005A4F68">
            <w:pPr>
              <w:suppressAutoHyphens w:val="0"/>
              <w:rPr>
                <w:rFonts w:cs="Calibri"/>
                <w:color w:val="auto"/>
                <w:sz w:val="18"/>
                <w:szCs w:val="18"/>
              </w:rPr>
            </w:pPr>
            <w:r w:rsidRPr="002931CD">
              <w:rPr>
                <w:rFonts w:cs="Calibri"/>
                <w:color w:val="auto"/>
                <w:sz w:val="18"/>
                <w:szCs w:val="18"/>
              </w:rPr>
              <w:t>No equivalence with international standards</w:t>
            </w:r>
          </w:p>
        </w:tc>
      </w:tr>
      <w:tr w:rsidR="0055143F" w:rsidRPr="005A4F68" w14:paraId="3F113E4A" w14:textId="77777777" w:rsidTr="001A4583">
        <w:trPr>
          <w:cantSplit/>
          <w:trHeight w:val="851"/>
        </w:trPr>
        <w:tc>
          <w:tcPr>
            <w:tcW w:w="1271" w:type="dxa"/>
            <w:tcBorders>
              <w:top w:val="dashSmallGap" w:sz="4" w:space="0" w:color="auto"/>
              <w:bottom w:val="single" w:sz="4" w:space="0" w:color="auto"/>
            </w:tcBorders>
          </w:tcPr>
          <w:p w14:paraId="685A0509"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60800BD3" w14:textId="77777777" w:rsidR="005A4F68" w:rsidRPr="005A4F68" w:rsidRDefault="005A4F68" w:rsidP="005A4F68">
            <w:pPr>
              <w:suppressAutoHyphens w:val="0"/>
              <w:rPr>
                <w:rFonts w:cs="Calibri"/>
                <w:b/>
                <w:color w:val="auto"/>
                <w:sz w:val="18"/>
                <w:szCs w:val="18"/>
              </w:rPr>
            </w:pPr>
          </w:p>
        </w:tc>
        <w:tc>
          <w:tcPr>
            <w:tcW w:w="1276" w:type="dxa"/>
            <w:tcBorders>
              <w:top w:val="dashSmallGap" w:sz="4" w:space="0" w:color="auto"/>
              <w:bottom w:val="single" w:sz="4" w:space="0" w:color="auto"/>
            </w:tcBorders>
          </w:tcPr>
          <w:p w14:paraId="2B528A86"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TM-28</w:t>
            </w:r>
          </w:p>
        </w:tc>
        <w:tc>
          <w:tcPr>
            <w:tcW w:w="3260" w:type="dxa"/>
            <w:tcBorders>
              <w:top w:val="dashSmallGap" w:sz="4" w:space="0" w:color="auto"/>
              <w:bottom w:val="single" w:sz="4" w:space="0" w:color="auto"/>
            </w:tcBorders>
          </w:tcPr>
          <w:p w14:paraId="18990D99"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Projecting Long-Term Luminous Flux Maintenance of LED Lamps and Luminaires, approved May 20, 2014</w:t>
            </w:r>
          </w:p>
        </w:tc>
        <w:tc>
          <w:tcPr>
            <w:tcW w:w="1276" w:type="dxa"/>
            <w:tcBorders>
              <w:top w:val="dashSmallGap" w:sz="4" w:space="0" w:color="auto"/>
              <w:bottom w:val="single" w:sz="4" w:space="0" w:color="auto"/>
            </w:tcBorders>
          </w:tcPr>
          <w:p w14:paraId="42AB7508" w14:textId="77777777" w:rsidR="005A4F68" w:rsidRPr="002931CD"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tcPr>
          <w:p w14:paraId="46B59490" w14:textId="057A0D59" w:rsidR="005A4F68" w:rsidRPr="002931CD" w:rsidRDefault="002931CD" w:rsidP="005A4F68">
            <w:pPr>
              <w:suppressAutoHyphens w:val="0"/>
              <w:rPr>
                <w:rFonts w:cs="Calibri"/>
                <w:color w:val="auto"/>
                <w:sz w:val="18"/>
                <w:szCs w:val="18"/>
              </w:rPr>
            </w:pPr>
            <w:r w:rsidRPr="002931CD">
              <w:rPr>
                <w:rFonts w:cs="Calibri"/>
                <w:color w:val="auto"/>
                <w:sz w:val="18"/>
                <w:szCs w:val="18"/>
              </w:rPr>
              <w:t>No equivalence with international standards</w:t>
            </w:r>
          </w:p>
        </w:tc>
      </w:tr>
      <w:tr w:rsidR="0055143F" w:rsidRPr="005A4F68" w14:paraId="65AFBD94" w14:textId="77777777" w:rsidTr="001A4583">
        <w:trPr>
          <w:cantSplit/>
          <w:trHeight w:val="851"/>
        </w:trPr>
        <w:tc>
          <w:tcPr>
            <w:tcW w:w="1271" w:type="dxa"/>
            <w:tcBorders>
              <w:top w:val="dashSmallGap" w:sz="4" w:space="0" w:color="auto"/>
              <w:bottom w:val="single" w:sz="4" w:space="0" w:color="auto"/>
            </w:tcBorders>
          </w:tcPr>
          <w:p w14:paraId="138F7EE4"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0303BAC9" w14:textId="77777777" w:rsidR="005A4F68" w:rsidRPr="005A4F68" w:rsidRDefault="005A4F68" w:rsidP="005A4F68">
            <w:pPr>
              <w:suppressAutoHyphens w:val="0"/>
              <w:rPr>
                <w:rFonts w:cs="Calibri"/>
                <w:b/>
                <w:color w:val="auto"/>
                <w:sz w:val="18"/>
                <w:szCs w:val="18"/>
              </w:rPr>
            </w:pPr>
          </w:p>
        </w:tc>
        <w:tc>
          <w:tcPr>
            <w:tcW w:w="1276" w:type="dxa"/>
            <w:tcBorders>
              <w:top w:val="dashSmallGap" w:sz="4" w:space="0" w:color="auto"/>
              <w:bottom w:val="single" w:sz="4" w:space="0" w:color="auto"/>
            </w:tcBorders>
          </w:tcPr>
          <w:p w14:paraId="41216F36"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LM-79</w:t>
            </w:r>
          </w:p>
        </w:tc>
        <w:tc>
          <w:tcPr>
            <w:tcW w:w="3260" w:type="dxa"/>
            <w:tcBorders>
              <w:top w:val="dashSmallGap" w:sz="4" w:space="0" w:color="auto"/>
              <w:bottom w:val="single" w:sz="4" w:space="0" w:color="auto"/>
            </w:tcBorders>
          </w:tcPr>
          <w:p w14:paraId="3AB43B51"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 xml:space="preserve">IES Approved Method for the Electrical and Photometric Measurements of Solid-State Lighting Products, approved December 31, 2007 </w:t>
            </w:r>
          </w:p>
        </w:tc>
        <w:tc>
          <w:tcPr>
            <w:tcW w:w="1276" w:type="dxa"/>
            <w:tcBorders>
              <w:top w:val="dashSmallGap" w:sz="4" w:space="0" w:color="auto"/>
              <w:bottom w:val="single" w:sz="4" w:space="0" w:color="auto"/>
            </w:tcBorders>
          </w:tcPr>
          <w:p w14:paraId="2F5474F5" w14:textId="77777777" w:rsidR="005A4F68" w:rsidRPr="002931CD"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tcPr>
          <w:p w14:paraId="5617AF5F" w14:textId="6334B6C6" w:rsidR="005A4F68" w:rsidRPr="002931CD" w:rsidRDefault="002931CD" w:rsidP="005A4F68">
            <w:pPr>
              <w:suppressAutoHyphens w:val="0"/>
              <w:rPr>
                <w:rFonts w:cs="Calibri"/>
                <w:color w:val="auto"/>
                <w:sz w:val="18"/>
                <w:szCs w:val="18"/>
              </w:rPr>
            </w:pPr>
            <w:r w:rsidRPr="002931CD">
              <w:rPr>
                <w:rFonts w:cs="Calibri"/>
                <w:color w:val="auto"/>
                <w:sz w:val="18"/>
                <w:szCs w:val="18"/>
              </w:rPr>
              <w:t>No equivalence with international standards</w:t>
            </w:r>
          </w:p>
        </w:tc>
      </w:tr>
      <w:tr w:rsidR="0055143F" w:rsidRPr="005A4F68" w14:paraId="28243907" w14:textId="77777777" w:rsidTr="001A4583">
        <w:trPr>
          <w:cantSplit/>
          <w:trHeight w:val="851"/>
        </w:trPr>
        <w:tc>
          <w:tcPr>
            <w:tcW w:w="1271" w:type="dxa"/>
            <w:tcBorders>
              <w:top w:val="dashSmallGap" w:sz="4" w:space="0" w:color="auto"/>
              <w:bottom w:val="single" w:sz="4" w:space="0" w:color="auto"/>
            </w:tcBorders>
          </w:tcPr>
          <w:p w14:paraId="2208D074"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4731A504" w14:textId="77777777" w:rsidR="005A4F68" w:rsidRPr="005A4F68" w:rsidRDefault="005A4F68" w:rsidP="005A4F68">
            <w:pPr>
              <w:suppressAutoHyphens w:val="0"/>
              <w:rPr>
                <w:rFonts w:cs="Calibri"/>
                <w:b/>
                <w:color w:val="auto"/>
                <w:sz w:val="18"/>
                <w:szCs w:val="18"/>
              </w:rPr>
            </w:pPr>
          </w:p>
        </w:tc>
        <w:tc>
          <w:tcPr>
            <w:tcW w:w="1276" w:type="dxa"/>
            <w:tcBorders>
              <w:top w:val="dashSmallGap" w:sz="4" w:space="0" w:color="auto"/>
              <w:bottom w:val="single" w:sz="4" w:space="0" w:color="auto"/>
            </w:tcBorders>
          </w:tcPr>
          <w:p w14:paraId="5694711B"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IEC 62301</w:t>
            </w:r>
          </w:p>
        </w:tc>
        <w:tc>
          <w:tcPr>
            <w:tcW w:w="3260" w:type="dxa"/>
            <w:tcBorders>
              <w:top w:val="dashSmallGap" w:sz="4" w:space="0" w:color="auto"/>
              <w:bottom w:val="single" w:sz="4" w:space="0" w:color="auto"/>
            </w:tcBorders>
          </w:tcPr>
          <w:p w14:paraId="17C3ECCE"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Household electrical appliances - Measurement of standby power (Edition 2.0, 2011-01)</w:t>
            </w:r>
          </w:p>
        </w:tc>
        <w:tc>
          <w:tcPr>
            <w:tcW w:w="1276" w:type="dxa"/>
            <w:tcBorders>
              <w:top w:val="dashSmallGap" w:sz="4" w:space="0" w:color="auto"/>
              <w:bottom w:val="single" w:sz="4" w:space="0" w:color="auto"/>
            </w:tcBorders>
          </w:tcPr>
          <w:p w14:paraId="52606610"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IEC 62301</w:t>
            </w:r>
          </w:p>
        </w:tc>
        <w:tc>
          <w:tcPr>
            <w:tcW w:w="3260" w:type="dxa"/>
            <w:tcBorders>
              <w:top w:val="dashSmallGap" w:sz="4" w:space="0" w:color="auto"/>
              <w:bottom w:val="single" w:sz="4" w:space="0" w:color="auto"/>
            </w:tcBorders>
          </w:tcPr>
          <w:p w14:paraId="57385BBD"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Household electrical appliances - Measurement of standby power (Edition 2.0, 2011-01)</w:t>
            </w:r>
          </w:p>
        </w:tc>
      </w:tr>
      <w:tr w:rsidR="005A4F68" w:rsidRPr="005A4F68" w14:paraId="66404471" w14:textId="77777777" w:rsidTr="001A4583">
        <w:trPr>
          <w:cantSplit/>
          <w:trHeight w:val="851"/>
        </w:trPr>
        <w:tc>
          <w:tcPr>
            <w:tcW w:w="1271" w:type="dxa"/>
            <w:tcBorders>
              <w:top w:val="single" w:sz="4" w:space="0" w:color="auto"/>
              <w:bottom w:val="dashSmallGap" w:sz="4" w:space="0" w:color="auto"/>
            </w:tcBorders>
            <w:shd w:val="clear" w:color="auto" w:fill="9CC2E5"/>
          </w:tcPr>
          <w:p w14:paraId="10AC9371" w14:textId="77777777" w:rsidR="005A4F68" w:rsidRPr="005A4F68" w:rsidRDefault="005A4F68" w:rsidP="005A4F68">
            <w:pPr>
              <w:suppressAutoHyphens w:val="0"/>
              <w:rPr>
                <w:rFonts w:cs="Calibri"/>
                <w:b/>
                <w:color w:val="auto"/>
                <w:sz w:val="18"/>
                <w:szCs w:val="18"/>
              </w:rPr>
            </w:pPr>
            <w:r w:rsidRPr="005A4F68">
              <w:rPr>
                <w:rFonts w:cs="Calibri"/>
                <w:b/>
                <w:color w:val="auto"/>
                <w:sz w:val="18"/>
                <w:szCs w:val="18"/>
              </w:rPr>
              <w:t xml:space="preserve">10 CFR 430.23(gg) </w:t>
            </w:r>
          </w:p>
        </w:tc>
        <w:tc>
          <w:tcPr>
            <w:tcW w:w="4111" w:type="dxa"/>
            <w:tcBorders>
              <w:top w:val="single" w:sz="4" w:space="0" w:color="auto"/>
              <w:bottom w:val="dashSmallGap" w:sz="4" w:space="0" w:color="auto"/>
            </w:tcBorders>
            <w:shd w:val="clear" w:color="auto" w:fill="9CC2E5"/>
          </w:tcPr>
          <w:p w14:paraId="47A11DFB" w14:textId="77777777" w:rsidR="005A4F68" w:rsidRPr="005A4F68" w:rsidRDefault="005A4F68" w:rsidP="005A4F68">
            <w:pPr>
              <w:suppressAutoHyphens w:val="0"/>
              <w:rPr>
                <w:rFonts w:cs="Calibri"/>
                <w:b/>
                <w:color w:val="auto"/>
                <w:sz w:val="18"/>
                <w:szCs w:val="18"/>
              </w:rPr>
            </w:pPr>
            <w:r w:rsidRPr="005A4F68">
              <w:rPr>
                <w:rFonts w:cs="Calibri"/>
                <w:b/>
                <w:color w:val="auto"/>
                <w:sz w:val="18"/>
                <w:szCs w:val="18"/>
              </w:rPr>
              <w:t>General service lamps (except general service incandescent lamps, compact fluorescent lamps, integrated LED lamps): other incandescent lamps, other fluorescent lamps, OLED and non-integrated LED lamps</w:t>
            </w:r>
          </w:p>
        </w:tc>
        <w:tc>
          <w:tcPr>
            <w:tcW w:w="1276" w:type="dxa"/>
            <w:tcBorders>
              <w:top w:val="single" w:sz="4" w:space="0" w:color="auto"/>
              <w:bottom w:val="dashSmallGap" w:sz="4" w:space="0" w:color="auto"/>
            </w:tcBorders>
            <w:shd w:val="clear" w:color="auto" w:fill="9CC2E5"/>
          </w:tcPr>
          <w:p w14:paraId="0B080E6A" w14:textId="77777777" w:rsidR="005A4F68" w:rsidRPr="005A4F68" w:rsidRDefault="005A4F68" w:rsidP="005A4F68">
            <w:pPr>
              <w:suppressAutoHyphens w:val="0"/>
              <w:rPr>
                <w:rFonts w:cs="Calibri"/>
                <w:b/>
                <w:color w:val="auto"/>
                <w:sz w:val="18"/>
                <w:szCs w:val="18"/>
              </w:rPr>
            </w:pPr>
          </w:p>
        </w:tc>
        <w:tc>
          <w:tcPr>
            <w:tcW w:w="3260" w:type="dxa"/>
            <w:tcBorders>
              <w:top w:val="single" w:sz="4" w:space="0" w:color="auto"/>
              <w:bottom w:val="dashSmallGap" w:sz="4" w:space="0" w:color="auto"/>
            </w:tcBorders>
            <w:shd w:val="clear" w:color="auto" w:fill="9CC2E5"/>
          </w:tcPr>
          <w:p w14:paraId="4F1D9F05" w14:textId="77777777" w:rsidR="005A4F68" w:rsidRPr="005A4F68" w:rsidRDefault="005A4F68" w:rsidP="005A4F68">
            <w:pPr>
              <w:suppressAutoHyphens w:val="0"/>
              <w:rPr>
                <w:rFonts w:cs="Calibri"/>
                <w:b/>
                <w:color w:val="auto"/>
                <w:sz w:val="18"/>
                <w:szCs w:val="18"/>
              </w:rPr>
            </w:pPr>
          </w:p>
        </w:tc>
        <w:tc>
          <w:tcPr>
            <w:tcW w:w="1276" w:type="dxa"/>
            <w:tcBorders>
              <w:top w:val="single" w:sz="4" w:space="0" w:color="auto"/>
              <w:bottom w:val="dashSmallGap" w:sz="4" w:space="0" w:color="auto"/>
            </w:tcBorders>
            <w:shd w:val="clear" w:color="auto" w:fill="9CC2E5"/>
          </w:tcPr>
          <w:p w14:paraId="3E6A6A98" w14:textId="77777777" w:rsidR="005A4F68" w:rsidRPr="005A4F68" w:rsidRDefault="005A4F68" w:rsidP="005A4F68">
            <w:pPr>
              <w:suppressAutoHyphens w:val="0"/>
              <w:rPr>
                <w:rFonts w:cs="Calibri"/>
                <w:color w:val="auto"/>
                <w:sz w:val="18"/>
                <w:szCs w:val="18"/>
              </w:rPr>
            </w:pPr>
          </w:p>
        </w:tc>
        <w:tc>
          <w:tcPr>
            <w:tcW w:w="3260" w:type="dxa"/>
            <w:tcBorders>
              <w:top w:val="single" w:sz="4" w:space="0" w:color="auto"/>
              <w:bottom w:val="dashSmallGap" w:sz="4" w:space="0" w:color="auto"/>
            </w:tcBorders>
            <w:shd w:val="clear" w:color="auto" w:fill="9CC2E5"/>
          </w:tcPr>
          <w:p w14:paraId="138812A7" w14:textId="77777777" w:rsidR="005A4F68" w:rsidRPr="005A4F68" w:rsidRDefault="005A4F68" w:rsidP="005A4F68">
            <w:pPr>
              <w:suppressAutoHyphens w:val="0"/>
              <w:rPr>
                <w:rFonts w:cs="Calibri"/>
                <w:color w:val="auto"/>
                <w:sz w:val="18"/>
                <w:szCs w:val="18"/>
              </w:rPr>
            </w:pPr>
          </w:p>
        </w:tc>
      </w:tr>
      <w:tr w:rsidR="005A4F68" w:rsidRPr="005A4F68" w14:paraId="2C424D07" w14:textId="77777777" w:rsidTr="001A4583">
        <w:trPr>
          <w:cantSplit/>
          <w:trHeight w:val="851"/>
        </w:trPr>
        <w:tc>
          <w:tcPr>
            <w:tcW w:w="1271" w:type="dxa"/>
            <w:tcBorders>
              <w:top w:val="dashSmallGap" w:sz="4" w:space="0" w:color="auto"/>
              <w:bottom w:val="single" w:sz="4" w:space="0" w:color="auto"/>
            </w:tcBorders>
            <w:shd w:val="clear" w:color="auto" w:fill="DEEAF6"/>
          </w:tcPr>
          <w:p w14:paraId="4A8E9098" w14:textId="77777777" w:rsidR="005A4F68" w:rsidRPr="005A4F68" w:rsidRDefault="005A4F68" w:rsidP="005A4F68">
            <w:pPr>
              <w:suppressAutoHyphens w:val="0"/>
              <w:rPr>
                <w:rFonts w:cs="Calibri"/>
                <w:b/>
                <w:color w:val="auto"/>
                <w:sz w:val="18"/>
                <w:szCs w:val="18"/>
              </w:rPr>
            </w:pPr>
            <w:r w:rsidRPr="005A4F68">
              <w:rPr>
                <w:rFonts w:cs="Calibri"/>
                <w:b/>
                <w:color w:val="auto"/>
                <w:sz w:val="18"/>
                <w:szCs w:val="18"/>
              </w:rPr>
              <w:t>Appendix DD of Part 430</w:t>
            </w:r>
          </w:p>
        </w:tc>
        <w:tc>
          <w:tcPr>
            <w:tcW w:w="4111" w:type="dxa"/>
            <w:tcBorders>
              <w:top w:val="dashSmallGap" w:sz="4" w:space="0" w:color="auto"/>
              <w:bottom w:val="single" w:sz="4" w:space="0" w:color="auto"/>
            </w:tcBorders>
            <w:shd w:val="clear" w:color="auto" w:fill="DEEAF6"/>
          </w:tcPr>
          <w:p w14:paraId="5A4E067C" w14:textId="77777777" w:rsidR="005A4F68" w:rsidRPr="005A4F68" w:rsidRDefault="005A4F68" w:rsidP="005A4F68">
            <w:pPr>
              <w:suppressAutoHyphens w:val="0"/>
              <w:rPr>
                <w:rFonts w:cs="Calibri"/>
                <w:b/>
                <w:color w:val="auto"/>
                <w:sz w:val="18"/>
                <w:szCs w:val="18"/>
              </w:rPr>
            </w:pPr>
            <w:r w:rsidRPr="005A4F68">
              <w:rPr>
                <w:rFonts w:cs="Calibri"/>
                <w:b/>
                <w:color w:val="auto"/>
                <w:sz w:val="18"/>
                <w:szCs w:val="18"/>
              </w:rPr>
              <w:t>Uniform Test Method for Measuring of Energy Consumption and Energy Efficiency of General Service Lamps That Are Not General Service Incandescent Lamps, Compact Fluorescent Lamps or Integrated LED Lamps</w:t>
            </w:r>
          </w:p>
        </w:tc>
        <w:tc>
          <w:tcPr>
            <w:tcW w:w="1276" w:type="dxa"/>
            <w:tcBorders>
              <w:top w:val="dashSmallGap" w:sz="4" w:space="0" w:color="auto"/>
              <w:bottom w:val="single" w:sz="4" w:space="0" w:color="auto"/>
            </w:tcBorders>
            <w:shd w:val="clear" w:color="auto" w:fill="DEEAF6"/>
          </w:tcPr>
          <w:p w14:paraId="7E5BB921" w14:textId="77777777" w:rsidR="005A4F68" w:rsidRPr="005A4F68" w:rsidRDefault="005A4F68" w:rsidP="005A4F68">
            <w:pPr>
              <w:suppressAutoHyphens w:val="0"/>
              <w:rPr>
                <w:rFonts w:cs="Calibri"/>
                <w:b/>
                <w:color w:val="auto"/>
                <w:sz w:val="18"/>
                <w:szCs w:val="18"/>
              </w:rPr>
            </w:pPr>
          </w:p>
        </w:tc>
        <w:tc>
          <w:tcPr>
            <w:tcW w:w="3260" w:type="dxa"/>
            <w:tcBorders>
              <w:top w:val="dashSmallGap" w:sz="4" w:space="0" w:color="auto"/>
              <w:bottom w:val="single" w:sz="4" w:space="0" w:color="auto"/>
            </w:tcBorders>
            <w:shd w:val="clear" w:color="auto" w:fill="DEEAF6"/>
          </w:tcPr>
          <w:p w14:paraId="1FDA3162" w14:textId="77777777" w:rsidR="005A4F68" w:rsidRPr="005A4F68" w:rsidRDefault="005A4F68" w:rsidP="005A4F68">
            <w:pPr>
              <w:suppressAutoHyphens w:val="0"/>
              <w:rPr>
                <w:rFonts w:cs="Calibri"/>
                <w:b/>
                <w:color w:val="auto"/>
                <w:sz w:val="18"/>
                <w:szCs w:val="18"/>
              </w:rPr>
            </w:pPr>
          </w:p>
        </w:tc>
        <w:tc>
          <w:tcPr>
            <w:tcW w:w="1276" w:type="dxa"/>
            <w:tcBorders>
              <w:top w:val="dashSmallGap" w:sz="4" w:space="0" w:color="auto"/>
              <w:bottom w:val="single" w:sz="4" w:space="0" w:color="auto"/>
            </w:tcBorders>
            <w:shd w:val="clear" w:color="auto" w:fill="DEEAF6"/>
          </w:tcPr>
          <w:p w14:paraId="10A542F6" w14:textId="77777777" w:rsidR="005A4F68" w:rsidRPr="005A4F68"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shd w:val="clear" w:color="auto" w:fill="DEEAF6"/>
          </w:tcPr>
          <w:p w14:paraId="2F06A059" w14:textId="77777777" w:rsidR="005A4F68" w:rsidRPr="005A4F68" w:rsidRDefault="005A4F68" w:rsidP="005A4F68">
            <w:pPr>
              <w:suppressAutoHyphens w:val="0"/>
              <w:rPr>
                <w:rFonts w:cs="Calibri"/>
                <w:color w:val="auto"/>
                <w:sz w:val="18"/>
                <w:szCs w:val="18"/>
              </w:rPr>
            </w:pPr>
          </w:p>
        </w:tc>
      </w:tr>
      <w:tr w:rsidR="0055143F" w:rsidRPr="005A4F68" w14:paraId="438BF63F" w14:textId="77777777" w:rsidTr="001A4583">
        <w:trPr>
          <w:cantSplit/>
          <w:trHeight w:val="851"/>
        </w:trPr>
        <w:tc>
          <w:tcPr>
            <w:tcW w:w="1271" w:type="dxa"/>
            <w:tcBorders>
              <w:top w:val="dashSmallGap" w:sz="4" w:space="0" w:color="auto"/>
              <w:bottom w:val="single" w:sz="4" w:space="0" w:color="auto"/>
            </w:tcBorders>
          </w:tcPr>
          <w:p w14:paraId="0691BF17"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205C9C04"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Other incandescent lamps that are not reflector lamps</w:t>
            </w:r>
          </w:p>
        </w:tc>
        <w:tc>
          <w:tcPr>
            <w:tcW w:w="1276" w:type="dxa"/>
            <w:tcBorders>
              <w:top w:val="dashSmallGap" w:sz="4" w:space="0" w:color="auto"/>
              <w:bottom w:val="single" w:sz="4" w:space="0" w:color="auto"/>
            </w:tcBorders>
          </w:tcPr>
          <w:p w14:paraId="1BDA03F2"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LM-45-15</w:t>
            </w:r>
          </w:p>
        </w:tc>
        <w:tc>
          <w:tcPr>
            <w:tcW w:w="3260" w:type="dxa"/>
            <w:tcBorders>
              <w:top w:val="dashSmallGap" w:sz="4" w:space="0" w:color="auto"/>
              <w:bottom w:val="single" w:sz="4" w:space="0" w:color="auto"/>
            </w:tcBorders>
          </w:tcPr>
          <w:p w14:paraId="15D62120"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Approved Method for the Electrical and Photometric Measurement of General Service Incandescent Filament Lamps, approved August 8, 2015</w:t>
            </w:r>
          </w:p>
        </w:tc>
        <w:tc>
          <w:tcPr>
            <w:tcW w:w="1276" w:type="dxa"/>
            <w:tcBorders>
              <w:top w:val="dashSmallGap" w:sz="4" w:space="0" w:color="auto"/>
              <w:bottom w:val="single" w:sz="4" w:space="0" w:color="auto"/>
            </w:tcBorders>
          </w:tcPr>
          <w:p w14:paraId="52C183AB" w14:textId="77777777" w:rsidR="005A4F68" w:rsidRPr="002931CD"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tcPr>
          <w:p w14:paraId="64E5160E" w14:textId="5A3B9935" w:rsidR="005A4F68" w:rsidRPr="002931CD" w:rsidRDefault="002931CD" w:rsidP="005A4F68">
            <w:pPr>
              <w:suppressAutoHyphens w:val="0"/>
              <w:rPr>
                <w:rFonts w:cs="Calibri"/>
                <w:color w:val="auto"/>
                <w:sz w:val="18"/>
                <w:szCs w:val="18"/>
              </w:rPr>
            </w:pPr>
            <w:r w:rsidRPr="002931CD">
              <w:rPr>
                <w:rFonts w:cs="Calibri"/>
                <w:color w:val="auto"/>
                <w:sz w:val="18"/>
                <w:szCs w:val="18"/>
              </w:rPr>
              <w:t>No equivalence with international standards</w:t>
            </w:r>
          </w:p>
        </w:tc>
      </w:tr>
      <w:tr w:rsidR="0055143F" w:rsidRPr="005A4F68" w14:paraId="509D0963" w14:textId="77777777" w:rsidTr="001A4583">
        <w:trPr>
          <w:cantSplit/>
          <w:trHeight w:val="851"/>
        </w:trPr>
        <w:tc>
          <w:tcPr>
            <w:tcW w:w="1271" w:type="dxa"/>
            <w:tcBorders>
              <w:top w:val="dashSmallGap" w:sz="4" w:space="0" w:color="auto"/>
              <w:bottom w:val="single" w:sz="4" w:space="0" w:color="auto"/>
            </w:tcBorders>
          </w:tcPr>
          <w:p w14:paraId="6B729C96"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26EE0E32"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Other incandescent lamps that are reflector lamps</w:t>
            </w:r>
          </w:p>
        </w:tc>
        <w:tc>
          <w:tcPr>
            <w:tcW w:w="1276" w:type="dxa"/>
            <w:tcBorders>
              <w:top w:val="dashSmallGap" w:sz="4" w:space="0" w:color="auto"/>
              <w:bottom w:val="single" w:sz="4" w:space="0" w:color="auto"/>
            </w:tcBorders>
          </w:tcPr>
          <w:p w14:paraId="15A356A1"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LM-20-13</w:t>
            </w:r>
          </w:p>
        </w:tc>
        <w:tc>
          <w:tcPr>
            <w:tcW w:w="3260" w:type="dxa"/>
            <w:tcBorders>
              <w:top w:val="dashSmallGap" w:sz="4" w:space="0" w:color="auto"/>
              <w:bottom w:val="single" w:sz="4" w:space="0" w:color="auto"/>
            </w:tcBorders>
          </w:tcPr>
          <w:p w14:paraId="363F1663"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Approved Method for Photometry of Reflector Type Lamps, approved February 4, 2013</w:t>
            </w:r>
          </w:p>
        </w:tc>
        <w:tc>
          <w:tcPr>
            <w:tcW w:w="1276" w:type="dxa"/>
            <w:tcBorders>
              <w:top w:val="dashSmallGap" w:sz="4" w:space="0" w:color="auto"/>
              <w:bottom w:val="single" w:sz="4" w:space="0" w:color="auto"/>
            </w:tcBorders>
          </w:tcPr>
          <w:p w14:paraId="2D4A9AC6" w14:textId="77777777" w:rsidR="005A4F68" w:rsidRPr="002931CD"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tcPr>
          <w:p w14:paraId="22206A5C" w14:textId="5B7081EE" w:rsidR="005A4F68" w:rsidRPr="002931CD" w:rsidRDefault="002931CD" w:rsidP="005A4F68">
            <w:pPr>
              <w:suppressAutoHyphens w:val="0"/>
              <w:rPr>
                <w:rFonts w:cs="Calibri"/>
                <w:color w:val="auto"/>
                <w:sz w:val="18"/>
                <w:szCs w:val="18"/>
              </w:rPr>
            </w:pPr>
            <w:r w:rsidRPr="002931CD">
              <w:rPr>
                <w:rFonts w:cs="Calibri"/>
                <w:color w:val="auto"/>
                <w:sz w:val="18"/>
                <w:szCs w:val="18"/>
              </w:rPr>
              <w:t>No equivalence with international standards</w:t>
            </w:r>
          </w:p>
        </w:tc>
      </w:tr>
      <w:tr w:rsidR="0055143F" w:rsidRPr="005A4F68" w14:paraId="3F0CA182" w14:textId="77777777" w:rsidTr="001A4583">
        <w:trPr>
          <w:cantSplit/>
          <w:trHeight w:val="851"/>
        </w:trPr>
        <w:tc>
          <w:tcPr>
            <w:tcW w:w="1271" w:type="dxa"/>
            <w:tcBorders>
              <w:top w:val="dashSmallGap" w:sz="4" w:space="0" w:color="auto"/>
              <w:bottom w:val="single" w:sz="4" w:space="0" w:color="auto"/>
            </w:tcBorders>
          </w:tcPr>
          <w:p w14:paraId="337DFD1F"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03646628"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Other fluorescent lamps</w:t>
            </w:r>
          </w:p>
        </w:tc>
        <w:tc>
          <w:tcPr>
            <w:tcW w:w="1276" w:type="dxa"/>
            <w:tcBorders>
              <w:top w:val="dashSmallGap" w:sz="4" w:space="0" w:color="auto"/>
              <w:bottom w:val="single" w:sz="4" w:space="0" w:color="auto"/>
            </w:tcBorders>
          </w:tcPr>
          <w:p w14:paraId="3DAFC27B"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LM-9-09-DD</w:t>
            </w:r>
          </w:p>
        </w:tc>
        <w:tc>
          <w:tcPr>
            <w:tcW w:w="3260" w:type="dxa"/>
            <w:tcBorders>
              <w:top w:val="dashSmallGap" w:sz="4" w:space="0" w:color="auto"/>
              <w:bottom w:val="single" w:sz="4" w:space="0" w:color="auto"/>
            </w:tcBorders>
          </w:tcPr>
          <w:p w14:paraId="1AC4BA22"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Approved Method for the Electrical and Photometric Measurement of Fluorescent Lamps, approved January 31, 2009</w:t>
            </w:r>
          </w:p>
        </w:tc>
        <w:tc>
          <w:tcPr>
            <w:tcW w:w="1276" w:type="dxa"/>
            <w:tcBorders>
              <w:top w:val="dashSmallGap" w:sz="4" w:space="0" w:color="auto"/>
              <w:bottom w:val="single" w:sz="4" w:space="0" w:color="auto"/>
            </w:tcBorders>
          </w:tcPr>
          <w:p w14:paraId="08256ED7" w14:textId="77777777" w:rsidR="005A4F68" w:rsidRPr="002931CD"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tcPr>
          <w:p w14:paraId="1F19E255" w14:textId="27FAA0BD" w:rsidR="005A4F68" w:rsidRPr="002931CD" w:rsidRDefault="002931CD" w:rsidP="005A4F68">
            <w:pPr>
              <w:suppressAutoHyphens w:val="0"/>
              <w:rPr>
                <w:rFonts w:cs="Calibri"/>
                <w:color w:val="auto"/>
                <w:sz w:val="18"/>
                <w:szCs w:val="18"/>
              </w:rPr>
            </w:pPr>
            <w:r w:rsidRPr="002931CD">
              <w:rPr>
                <w:rFonts w:cs="Calibri"/>
                <w:color w:val="auto"/>
                <w:sz w:val="18"/>
                <w:szCs w:val="18"/>
              </w:rPr>
              <w:t>No equivalence with international standards</w:t>
            </w:r>
          </w:p>
        </w:tc>
      </w:tr>
      <w:tr w:rsidR="0055143F" w:rsidRPr="005A4F68" w14:paraId="3F155543" w14:textId="77777777" w:rsidTr="001A4583">
        <w:trPr>
          <w:cantSplit/>
          <w:trHeight w:val="851"/>
        </w:trPr>
        <w:tc>
          <w:tcPr>
            <w:tcW w:w="1271" w:type="dxa"/>
            <w:tcBorders>
              <w:top w:val="dashSmallGap" w:sz="4" w:space="0" w:color="auto"/>
              <w:bottom w:val="single" w:sz="4" w:space="0" w:color="auto"/>
            </w:tcBorders>
          </w:tcPr>
          <w:p w14:paraId="629CCEC4"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34B52D8A"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OLED lamps</w:t>
            </w:r>
          </w:p>
        </w:tc>
        <w:tc>
          <w:tcPr>
            <w:tcW w:w="1276" w:type="dxa"/>
            <w:tcBorders>
              <w:top w:val="dashSmallGap" w:sz="4" w:space="0" w:color="auto"/>
              <w:bottom w:val="single" w:sz="4" w:space="0" w:color="auto"/>
            </w:tcBorders>
          </w:tcPr>
          <w:p w14:paraId="25A0D609"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LM-79-08-DD</w:t>
            </w:r>
          </w:p>
        </w:tc>
        <w:tc>
          <w:tcPr>
            <w:tcW w:w="3260" w:type="dxa"/>
            <w:tcBorders>
              <w:top w:val="dashSmallGap" w:sz="4" w:space="0" w:color="auto"/>
              <w:bottom w:val="single" w:sz="4" w:space="0" w:color="auto"/>
            </w:tcBorders>
          </w:tcPr>
          <w:p w14:paraId="263FD503"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 xml:space="preserve">Approved Method: Electric and Photometric Measurements of Solid-State Lighting Products, approved December 31, 2007; IBR approved for appendix DD of subpart B </w:t>
            </w:r>
          </w:p>
        </w:tc>
        <w:tc>
          <w:tcPr>
            <w:tcW w:w="1276" w:type="dxa"/>
            <w:tcBorders>
              <w:top w:val="dashSmallGap" w:sz="4" w:space="0" w:color="auto"/>
              <w:bottom w:val="single" w:sz="4" w:space="0" w:color="auto"/>
            </w:tcBorders>
          </w:tcPr>
          <w:p w14:paraId="79DBA156" w14:textId="77777777" w:rsidR="005A4F68" w:rsidRPr="002931CD"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tcPr>
          <w:p w14:paraId="79C96ADB" w14:textId="0CFF1BA3" w:rsidR="005A4F68" w:rsidRPr="002931CD" w:rsidRDefault="002931CD" w:rsidP="005A4F68">
            <w:pPr>
              <w:suppressAutoHyphens w:val="0"/>
              <w:rPr>
                <w:rFonts w:cs="Calibri"/>
                <w:color w:val="auto"/>
                <w:sz w:val="18"/>
                <w:szCs w:val="18"/>
              </w:rPr>
            </w:pPr>
            <w:r w:rsidRPr="002931CD">
              <w:rPr>
                <w:rFonts w:cs="Calibri"/>
                <w:color w:val="auto"/>
                <w:sz w:val="18"/>
                <w:szCs w:val="18"/>
              </w:rPr>
              <w:t>No equivalence with international standards</w:t>
            </w:r>
          </w:p>
        </w:tc>
      </w:tr>
      <w:tr w:rsidR="0055143F" w:rsidRPr="005A4F68" w14:paraId="10577C06" w14:textId="77777777" w:rsidTr="001A4583">
        <w:trPr>
          <w:cantSplit/>
          <w:trHeight w:val="851"/>
        </w:trPr>
        <w:tc>
          <w:tcPr>
            <w:tcW w:w="1271" w:type="dxa"/>
            <w:tcBorders>
              <w:top w:val="dashSmallGap" w:sz="4" w:space="0" w:color="auto"/>
              <w:bottom w:val="single" w:sz="4" w:space="0" w:color="auto"/>
            </w:tcBorders>
          </w:tcPr>
          <w:p w14:paraId="3074AF00"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076A6DAB"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Non-integrated LED lamps</w:t>
            </w:r>
          </w:p>
        </w:tc>
        <w:tc>
          <w:tcPr>
            <w:tcW w:w="1276" w:type="dxa"/>
            <w:tcBorders>
              <w:top w:val="dashSmallGap" w:sz="4" w:space="0" w:color="auto"/>
              <w:bottom w:val="single" w:sz="4" w:space="0" w:color="auto"/>
            </w:tcBorders>
          </w:tcPr>
          <w:p w14:paraId="18FDE45C"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IES LM-79-08-DD</w:t>
            </w:r>
          </w:p>
        </w:tc>
        <w:tc>
          <w:tcPr>
            <w:tcW w:w="3260" w:type="dxa"/>
            <w:tcBorders>
              <w:top w:val="dashSmallGap" w:sz="4" w:space="0" w:color="auto"/>
              <w:bottom w:val="single" w:sz="4" w:space="0" w:color="auto"/>
            </w:tcBorders>
          </w:tcPr>
          <w:p w14:paraId="5F2E497A" w14:textId="77777777" w:rsidR="005A4F68" w:rsidRPr="002931CD" w:rsidRDefault="005A4F68" w:rsidP="005A4F68">
            <w:pPr>
              <w:suppressAutoHyphens w:val="0"/>
              <w:rPr>
                <w:rFonts w:cs="Calibri"/>
                <w:color w:val="auto"/>
                <w:sz w:val="18"/>
                <w:szCs w:val="18"/>
              </w:rPr>
            </w:pPr>
            <w:r w:rsidRPr="002931CD">
              <w:rPr>
                <w:rFonts w:cs="Calibri"/>
                <w:color w:val="auto"/>
                <w:sz w:val="18"/>
                <w:szCs w:val="18"/>
              </w:rPr>
              <w:t xml:space="preserve">Approved Method: Electric and Photometric Measurements of Solid-State Lighting Products, approved December 31, 2007; IBR approved for appendix DD of subpart B </w:t>
            </w:r>
          </w:p>
        </w:tc>
        <w:tc>
          <w:tcPr>
            <w:tcW w:w="1276" w:type="dxa"/>
            <w:tcBorders>
              <w:top w:val="dashSmallGap" w:sz="4" w:space="0" w:color="auto"/>
              <w:bottom w:val="single" w:sz="4" w:space="0" w:color="auto"/>
            </w:tcBorders>
          </w:tcPr>
          <w:p w14:paraId="0DC5C608" w14:textId="77777777" w:rsidR="005A4F68" w:rsidRPr="002931CD" w:rsidRDefault="005A4F68" w:rsidP="005A4F68">
            <w:pPr>
              <w:suppressAutoHyphens w:val="0"/>
              <w:rPr>
                <w:rFonts w:cs="Calibri"/>
                <w:color w:val="auto"/>
                <w:sz w:val="18"/>
                <w:szCs w:val="18"/>
              </w:rPr>
            </w:pPr>
          </w:p>
        </w:tc>
        <w:tc>
          <w:tcPr>
            <w:tcW w:w="3260" w:type="dxa"/>
            <w:tcBorders>
              <w:top w:val="dashSmallGap" w:sz="4" w:space="0" w:color="auto"/>
              <w:bottom w:val="single" w:sz="4" w:space="0" w:color="auto"/>
            </w:tcBorders>
          </w:tcPr>
          <w:p w14:paraId="774AEC48" w14:textId="71439BE4" w:rsidR="005A4F68" w:rsidRPr="002931CD" w:rsidRDefault="002931CD" w:rsidP="005A4F68">
            <w:pPr>
              <w:suppressAutoHyphens w:val="0"/>
              <w:rPr>
                <w:rFonts w:cs="Calibri"/>
                <w:color w:val="auto"/>
                <w:sz w:val="18"/>
                <w:szCs w:val="18"/>
              </w:rPr>
            </w:pPr>
            <w:r w:rsidRPr="002931CD">
              <w:rPr>
                <w:rFonts w:cs="Calibri"/>
                <w:color w:val="auto"/>
                <w:sz w:val="18"/>
                <w:szCs w:val="18"/>
              </w:rPr>
              <w:t>No equivalence with international standards</w:t>
            </w:r>
          </w:p>
        </w:tc>
      </w:tr>
      <w:tr w:rsidR="0055143F" w:rsidRPr="005A4F68" w14:paraId="22361FB9" w14:textId="77777777" w:rsidTr="001A4583">
        <w:trPr>
          <w:cantSplit/>
          <w:trHeight w:val="851"/>
        </w:trPr>
        <w:tc>
          <w:tcPr>
            <w:tcW w:w="1271" w:type="dxa"/>
            <w:tcBorders>
              <w:top w:val="dashSmallGap" w:sz="4" w:space="0" w:color="auto"/>
              <w:bottom w:val="single" w:sz="4" w:space="0" w:color="auto"/>
            </w:tcBorders>
          </w:tcPr>
          <w:p w14:paraId="073D9B05" w14:textId="77777777" w:rsidR="005A4F68" w:rsidRPr="005A4F68" w:rsidRDefault="005A4F68" w:rsidP="005A4F68">
            <w:pPr>
              <w:suppressAutoHyphens w:val="0"/>
              <w:rPr>
                <w:rFonts w:cs="Calibri"/>
                <w:b/>
                <w:color w:val="auto"/>
                <w:sz w:val="18"/>
                <w:szCs w:val="18"/>
              </w:rPr>
            </w:pPr>
          </w:p>
        </w:tc>
        <w:tc>
          <w:tcPr>
            <w:tcW w:w="4111" w:type="dxa"/>
            <w:tcBorders>
              <w:top w:val="dashSmallGap" w:sz="4" w:space="0" w:color="auto"/>
              <w:bottom w:val="single" w:sz="4" w:space="0" w:color="auto"/>
            </w:tcBorders>
          </w:tcPr>
          <w:p w14:paraId="6170C211" w14:textId="77777777" w:rsidR="005A4F68" w:rsidRPr="005A4F68" w:rsidRDefault="005A4F68" w:rsidP="005A4F68">
            <w:pPr>
              <w:suppressAutoHyphens w:val="0"/>
              <w:rPr>
                <w:rFonts w:cs="Calibri"/>
                <w:color w:val="auto"/>
                <w:sz w:val="18"/>
                <w:szCs w:val="18"/>
              </w:rPr>
            </w:pPr>
            <w:r w:rsidRPr="005A4F68">
              <w:rPr>
                <w:rFonts w:cs="Calibri"/>
                <w:color w:val="auto"/>
                <w:sz w:val="18"/>
                <w:szCs w:val="18"/>
              </w:rPr>
              <w:t>Standby Mode Test Procedure</w:t>
            </w:r>
          </w:p>
        </w:tc>
        <w:tc>
          <w:tcPr>
            <w:tcW w:w="1276" w:type="dxa"/>
            <w:tcBorders>
              <w:top w:val="dashSmallGap" w:sz="4" w:space="0" w:color="auto"/>
              <w:bottom w:val="single" w:sz="4" w:space="0" w:color="auto"/>
            </w:tcBorders>
          </w:tcPr>
          <w:p w14:paraId="3DD1E94E" w14:textId="77777777" w:rsidR="005A4F68" w:rsidRPr="005A4F68" w:rsidRDefault="005A4F68" w:rsidP="005A4F68">
            <w:pPr>
              <w:suppressAutoHyphens w:val="0"/>
              <w:rPr>
                <w:rFonts w:cs="Calibri"/>
                <w:color w:val="auto"/>
                <w:sz w:val="18"/>
                <w:szCs w:val="18"/>
              </w:rPr>
            </w:pPr>
            <w:r w:rsidRPr="005A4F68">
              <w:rPr>
                <w:rFonts w:cs="Calibri"/>
                <w:color w:val="auto"/>
                <w:sz w:val="18"/>
                <w:szCs w:val="18"/>
              </w:rPr>
              <w:t>IEC 62301-DD</w:t>
            </w:r>
          </w:p>
        </w:tc>
        <w:tc>
          <w:tcPr>
            <w:tcW w:w="3260" w:type="dxa"/>
            <w:tcBorders>
              <w:top w:val="dashSmallGap" w:sz="4" w:space="0" w:color="auto"/>
              <w:bottom w:val="single" w:sz="4" w:space="0" w:color="auto"/>
            </w:tcBorders>
          </w:tcPr>
          <w:p w14:paraId="38F03B17" w14:textId="77777777" w:rsidR="005A4F68" w:rsidRPr="005A4F68" w:rsidRDefault="005A4F68" w:rsidP="005A4F68">
            <w:pPr>
              <w:suppressAutoHyphens w:val="0"/>
              <w:rPr>
                <w:rFonts w:cs="Calibri"/>
                <w:color w:val="auto"/>
                <w:sz w:val="18"/>
                <w:szCs w:val="18"/>
              </w:rPr>
            </w:pPr>
            <w:r w:rsidRPr="005A4F68">
              <w:rPr>
                <w:rFonts w:cs="Calibri"/>
                <w:color w:val="auto"/>
                <w:sz w:val="18"/>
                <w:szCs w:val="18"/>
              </w:rPr>
              <w:t>Household electrical appliances - Measurement of standby power (Edition 2.0, 2011-01)</w:t>
            </w:r>
          </w:p>
        </w:tc>
        <w:tc>
          <w:tcPr>
            <w:tcW w:w="1276" w:type="dxa"/>
            <w:tcBorders>
              <w:top w:val="dashSmallGap" w:sz="4" w:space="0" w:color="auto"/>
              <w:bottom w:val="single" w:sz="4" w:space="0" w:color="auto"/>
            </w:tcBorders>
          </w:tcPr>
          <w:p w14:paraId="7317AE74" w14:textId="77777777" w:rsidR="005A4F68" w:rsidRPr="005A4F68" w:rsidRDefault="005A4F68" w:rsidP="005A4F68">
            <w:pPr>
              <w:suppressAutoHyphens w:val="0"/>
              <w:rPr>
                <w:rFonts w:cs="Calibri"/>
                <w:color w:val="auto"/>
                <w:sz w:val="18"/>
                <w:szCs w:val="18"/>
              </w:rPr>
            </w:pPr>
            <w:r w:rsidRPr="005A4F68">
              <w:rPr>
                <w:rFonts w:cs="Calibri"/>
                <w:color w:val="auto"/>
                <w:sz w:val="18"/>
                <w:szCs w:val="18"/>
              </w:rPr>
              <w:t>IEC 62301</w:t>
            </w:r>
          </w:p>
        </w:tc>
        <w:tc>
          <w:tcPr>
            <w:tcW w:w="3260" w:type="dxa"/>
            <w:tcBorders>
              <w:top w:val="dashSmallGap" w:sz="4" w:space="0" w:color="auto"/>
              <w:bottom w:val="single" w:sz="4" w:space="0" w:color="auto"/>
            </w:tcBorders>
          </w:tcPr>
          <w:p w14:paraId="6E8C94D2" w14:textId="77777777" w:rsidR="005A4F68" w:rsidRPr="005A4F68" w:rsidRDefault="005A4F68" w:rsidP="005A4F68">
            <w:pPr>
              <w:suppressAutoHyphens w:val="0"/>
              <w:rPr>
                <w:rFonts w:cs="Calibri"/>
                <w:color w:val="auto"/>
                <w:sz w:val="18"/>
                <w:szCs w:val="18"/>
              </w:rPr>
            </w:pPr>
            <w:r w:rsidRPr="005A4F68">
              <w:rPr>
                <w:rFonts w:cs="Calibri"/>
                <w:color w:val="auto"/>
                <w:sz w:val="18"/>
                <w:szCs w:val="18"/>
              </w:rPr>
              <w:t>Household electrical appliances - Measurement of standby power (Edition 2.0, 2011-01)</w:t>
            </w:r>
          </w:p>
        </w:tc>
      </w:tr>
    </w:tbl>
    <w:p w14:paraId="116BB12F" w14:textId="77777777" w:rsidR="005A4F68" w:rsidRPr="005A4F68" w:rsidRDefault="005A4F68" w:rsidP="005A4F68">
      <w:pPr>
        <w:suppressAutoHyphens w:val="0"/>
        <w:autoSpaceDN/>
        <w:spacing w:before="0" w:after="160" w:line="259" w:lineRule="auto"/>
        <w:jc w:val="left"/>
        <w:textAlignment w:val="auto"/>
        <w:rPr>
          <w:rFonts w:eastAsia="Calibri"/>
          <w:color w:val="auto"/>
        </w:rPr>
      </w:pPr>
    </w:p>
    <w:p w14:paraId="15883D28" w14:textId="77777777" w:rsidR="00DA3702" w:rsidRDefault="00DA3702">
      <w:pPr>
        <w:suppressAutoHyphens w:val="0"/>
      </w:pPr>
      <w:r>
        <w:br/>
      </w:r>
    </w:p>
    <w:p w14:paraId="38C01C54" w14:textId="77777777" w:rsidR="00DA3702" w:rsidRDefault="00DA3702">
      <w:pPr>
        <w:suppressAutoHyphens w:val="0"/>
      </w:pPr>
      <w:r>
        <w:br w:type="page"/>
      </w:r>
    </w:p>
    <w:p w14:paraId="7A25030D" w14:textId="3E84C023" w:rsidR="00DA3702" w:rsidRPr="00316DB7" w:rsidRDefault="00DA3702" w:rsidP="00DA3702">
      <w:pPr>
        <w:pStyle w:val="Heading1"/>
        <w:numPr>
          <w:ilvl w:val="0"/>
          <w:numId w:val="0"/>
        </w:numPr>
        <w:rPr>
          <w:lang w:val="es-ES"/>
        </w:rPr>
      </w:pPr>
      <w:bookmarkStart w:id="81" w:name="_Toc516146045"/>
      <w:r w:rsidRPr="00316DB7">
        <w:rPr>
          <w:lang w:val="es-ES"/>
        </w:rPr>
        <w:t xml:space="preserve">Anexo </w:t>
      </w:r>
      <w:r w:rsidR="004F0EF9">
        <w:rPr>
          <w:lang w:val="es-ES"/>
        </w:rPr>
        <w:t>9</w:t>
      </w:r>
      <w:r w:rsidRPr="00316DB7">
        <w:rPr>
          <w:lang w:val="es-ES"/>
        </w:rPr>
        <w:t xml:space="preserve"> – </w:t>
      </w:r>
      <w:r w:rsidR="004B400A">
        <w:rPr>
          <w:lang w:val="es-ES"/>
        </w:rPr>
        <w:t>Lista</w:t>
      </w:r>
      <w:r w:rsidR="004B400A" w:rsidRPr="004B400A">
        <w:rPr>
          <w:lang w:val="es-ES"/>
        </w:rPr>
        <w:t xml:space="preserve"> de las normas principales europeas e internacionales para productos de iluminación</w:t>
      </w:r>
      <w:bookmarkEnd w:id="81"/>
    </w:p>
    <w:p w14:paraId="16287BA6" w14:textId="0CAED690" w:rsidR="00E8734D" w:rsidRPr="00E8734D" w:rsidRDefault="00E8734D" w:rsidP="00E8734D">
      <w:pPr>
        <w:suppressAutoHyphens w:val="0"/>
        <w:autoSpaceDN/>
        <w:spacing w:before="0" w:after="160" w:line="259" w:lineRule="auto"/>
        <w:jc w:val="center"/>
        <w:textAlignment w:val="auto"/>
        <w:rPr>
          <w:rFonts w:eastAsia="Calibri"/>
          <w:b/>
          <w:color w:val="auto"/>
          <w:lang w:val="es-ES"/>
        </w:rPr>
      </w:pPr>
    </w:p>
    <w:tbl>
      <w:tblPr>
        <w:tblStyle w:val="TableGrid3"/>
        <w:tblW w:w="0" w:type="auto"/>
        <w:tblLayout w:type="fixed"/>
        <w:tblLook w:val="04A0" w:firstRow="1" w:lastRow="0" w:firstColumn="1" w:lastColumn="0" w:noHBand="0" w:noVBand="1"/>
      </w:tblPr>
      <w:tblGrid>
        <w:gridCol w:w="503"/>
        <w:gridCol w:w="1193"/>
        <w:gridCol w:w="3402"/>
        <w:gridCol w:w="1276"/>
        <w:gridCol w:w="3289"/>
        <w:gridCol w:w="1389"/>
        <w:gridCol w:w="2896"/>
      </w:tblGrid>
      <w:tr w:rsidR="00E8734D" w:rsidRPr="00E8734D" w14:paraId="61187D93" w14:textId="77777777" w:rsidTr="00C44202">
        <w:trPr>
          <w:cantSplit/>
          <w:tblHeader/>
        </w:trPr>
        <w:tc>
          <w:tcPr>
            <w:tcW w:w="503" w:type="dxa"/>
            <w:tcBorders>
              <w:top w:val="dashSmallGap" w:sz="4" w:space="0" w:color="auto"/>
            </w:tcBorders>
            <w:shd w:val="clear" w:color="auto" w:fill="5B9BD5"/>
          </w:tcPr>
          <w:p w14:paraId="2A1C52BE" w14:textId="77777777" w:rsidR="00E8734D" w:rsidRPr="00E8734D" w:rsidRDefault="00E8734D" w:rsidP="00E8734D">
            <w:pPr>
              <w:suppressAutoHyphens w:val="0"/>
              <w:rPr>
                <w:rFonts w:cs="Calibri"/>
                <w:b/>
                <w:color w:val="FFFFFF" w:themeColor="background1"/>
                <w:lang w:val="es-ES"/>
              </w:rPr>
            </w:pPr>
          </w:p>
        </w:tc>
        <w:tc>
          <w:tcPr>
            <w:tcW w:w="4595" w:type="dxa"/>
            <w:gridSpan w:val="2"/>
            <w:tcBorders>
              <w:top w:val="dashSmallGap" w:sz="4" w:space="0" w:color="auto"/>
            </w:tcBorders>
            <w:shd w:val="clear" w:color="auto" w:fill="5B9BD5"/>
          </w:tcPr>
          <w:p w14:paraId="1B9F08C9" w14:textId="04809B40" w:rsidR="00E8734D" w:rsidRPr="00E8734D" w:rsidRDefault="00E8734D" w:rsidP="00077124">
            <w:pPr>
              <w:suppressAutoHyphens w:val="0"/>
              <w:rPr>
                <w:rFonts w:cs="Calibri"/>
                <w:b/>
                <w:color w:val="FFFFFF" w:themeColor="background1"/>
              </w:rPr>
            </w:pPr>
            <w:r w:rsidRPr="00E8734D">
              <w:rPr>
                <w:rFonts w:cs="Calibri"/>
                <w:b/>
                <w:color w:val="FFFFFF" w:themeColor="background1"/>
              </w:rPr>
              <w:t>Norma española (UNE-EN)</w:t>
            </w:r>
          </w:p>
        </w:tc>
        <w:tc>
          <w:tcPr>
            <w:tcW w:w="4565" w:type="dxa"/>
            <w:gridSpan w:val="2"/>
            <w:tcBorders>
              <w:top w:val="dashSmallGap" w:sz="4" w:space="0" w:color="auto"/>
            </w:tcBorders>
            <w:shd w:val="clear" w:color="auto" w:fill="5B9BD5"/>
          </w:tcPr>
          <w:p w14:paraId="3F20BE9E" w14:textId="77777777" w:rsidR="00E8734D" w:rsidRPr="00E8734D" w:rsidRDefault="00E8734D" w:rsidP="00E8734D">
            <w:pPr>
              <w:suppressAutoHyphens w:val="0"/>
              <w:rPr>
                <w:rFonts w:cs="Calibri"/>
                <w:b/>
                <w:color w:val="FFFFFF" w:themeColor="background1"/>
              </w:rPr>
            </w:pPr>
            <w:r w:rsidRPr="00E8734D">
              <w:rPr>
                <w:rFonts w:cs="Calibri"/>
                <w:b/>
                <w:color w:val="FFFFFF" w:themeColor="background1"/>
              </w:rPr>
              <w:t>Norma europea (EN) equivalente</w:t>
            </w:r>
          </w:p>
        </w:tc>
        <w:tc>
          <w:tcPr>
            <w:tcW w:w="4285" w:type="dxa"/>
            <w:gridSpan w:val="2"/>
            <w:tcBorders>
              <w:top w:val="dashSmallGap" w:sz="4" w:space="0" w:color="auto"/>
            </w:tcBorders>
            <w:shd w:val="clear" w:color="auto" w:fill="5B9BD5"/>
          </w:tcPr>
          <w:p w14:paraId="663D84B2" w14:textId="77777777" w:rsidR="00E8734D" w:rsidRPr="00E8734D" w:rsidRDefault="00E8734D" w:rsidP="00E8734D">
            <w:pPr>
              <w:suppressAutoHyphens w:val="0"/>
              <w:rPr>
                <w:rFonts w:cs="Calibri"/>
                <w:b/>
                <w:color w:val="FFFFFF" w:themeColor="background1"/>
              </w:rPr>
            </w:pPr>
            <w:r w:rsidRPr="00E8734D">
              <w:rPr>
                <w:rFonts w:cs="Calibri"/>
                <w:b/>
                <w:color w:val="FFFFFF" w:themeColor="background1"/>
              </w:rPr>
              <w:t>Norma internacional (IEC) equivalente</w:t>
            </w:r>
          </w:p>
        </w:tc>
      </w:tr>
      <w:tr w:rsidR="00E8734D" w:rsidRPr="00E8734D" w14:paraId="30CCDF28" w14:textId="77777777" w:rsidTr="00E8734D">
        <w:trPr>
          <w:cantSplit/>
          <w:trHeight w:val="1134"/>
        </w:trPr>
        <w:tc>
          <w:tcPr>
            <w:tcW w:w="503" w:type="dxa"/>
            <w:tcBorders>
              <w:bottom w:val="dashSmallGap" w:sz="4" w:space="0" w:color="auto"/>
            </w:tcBorders>
            <w:textDirection w:val="btLr"/>
          </w:tcPr>
          <w:p w14:paraId="0396533D" w14:textId="77777777" w:rsidR="00E8734D" w:rsidRPr="002931CD" w:rsidRDefault="00E8734D" w:rsidP="00E8734D">
            <w:pPr>
              <w:suppressAutoHyphens w:val="0"/>
              <w:ind w:left="113" w:right="113"/>
              <w:jc w:val="center"/>
              <w:rPr>
                <w:rFonts w:cs="Calibri"/>
                <w:color w:val="auto"/>
                <w:sz w:val="18"/>
                <w:szCs w:val="18"/>
              </w:rPr>
            </w:pPr>
            <w:r w:rsidRPr="002931CD">
              <w:rPr>
                <w:rFonts w:cs="Calibri"/>
                <w:color w:val="auto"/>
                <w:sz w:val="18"/>
                <w:szCs w:val="18"/>
              </w:rPr>
              <w:t>Norma</w:t>
            </w:r>
          </w:p>
        </w:tc>
        <w:tc>
          <w:tcPr>
            <w:tcW w:w="1193" w:type="dxa"/>
            <w:tcBorders>
              <w:bottom w:val="dashSmallGap" w:sz="4" w:space="0" w:color="auto"/>
            </w:tcBorders>
          </w:tcPr>
          <w:p w14:paraId="3903EEAD" w14:textId="77777777" w:rsidR="00E8734D" w:rsidRPr="002931CD" w:rsidRDefault="00E8734D" w:rsidP="00E8734D">
            <w:pPr>
              <w:suppressAutoHyphens w:val="0"/>
              <w:rPr>
                <w:rFonts w:cs="Calibri"/>
                <w:color w:val="auto"/>
                <w:sz w:val="18"/>
                <w:szCs w:val="18"/>
              </w:rPr>
            </w:pPr>
            <w:r w:rsidRPr="002931CD">
              <w:rPr>
                <w:rFonts w:cs="Calibri"/>
                <w:color w:val="auto"/>
                <w:sz w:val="18"/>
                <w:szCs w:val="18"/>
              </w:rPr>
              <w:t>UNE-EN 60064:1998</w:t>
            </w:r>
          </w:p>
        </w:tc>
        <w:tc>
          <w:tcPr>
            <w:tcW w:w="3402" w:type="dxa"/>
            <w:tcBorders>
              <w:bottom w:val="dashSmallGap" w:sz="4" w:space="0" w:color="auto"/>
            </w:tcBorders>
          </w:tcPr>
          <w:p w14:paraId="66E8406E" w14:textId="77777777" w:rsidR="00E8734D" w:rsidRPr="002931CD" w:rsidRDefault="00E8734D" w:rsidP="00E8734D">
            <w:pPr>
              <w:suppressAutoHyphens w:val="0"/>
              <w:rPr>
                <w:rFonts w:cs="Calibri"/>
                <w:color w:val="auto"/>
                <w:sz w:val="18"/>
                <w:szCs w:val="18"/>
              </w:rPr>
            </w:pPr>
            <w:r w:rsidRPr="002931CD">
              <w:rPr>
                <w:rFonts w:cs="Calibri"/>
                <w:color w:val="auto"/>
                <w:sz w:val="18"/>
                <w:szCs w:val="18"/>
                <w:lang w:val="es-ES"/>
              </w:rPr>
              <w:t xml:space="preserve">Lámparas de filamento de volframio para uso doméstico y alumbrado general similar. </w:t>
            </w:r>
            <w:r w:rsidRPr="002931CD">
              <w:rPr>
                <w:rFonts w:cs="Calibri"/>
                <w:color w:val="auto"/>
                <w:sz w:val="18"/>
                <w:szCs w:val="18"/>
              </w:rPr>
              <w:t>Requisitos de funcionamiento.</w:t>
            </w:r>
          </w:p>
        </w:tc>
        <w:tc>
          <w:tcPr>
            <w:tcW w:w="1276" w:type="dxa"/>
            <w:tcBorders>
              <w:bottom w:val="dashSmallGap" w:sz="4" w:space="0" w:color="auto"/>
            </w:tcBorders>
          </w:tcPr>
          <w:p w14:paraId="76FCB724" w14:textId="77777777" w:rsidR="00E8734D" w:rsidRPr="002931CD" w:rsidRDefault="00E8734D" w:rsidP="00E8734D">
            <w:pPr>
              <w:suppressAutoHyphens w:val="0"/>
              <w:rPr>
                <w:rFonts w:cs="Calibri"/>
                <w:color w:val="auto"/>
                <w:sz w:val="18"/>
                <w:szCs w:val="18"/>
              </w:rPr>
            </w:pPr>
            <w:r w:rsidRPr="002931CD">
              <w:rPr>
                <w:rFonts w:cs="Calibri"/>
                <w:color w:val="auto"/>
                <w:sz w:val="18"/>
                <w:szCs w:val="18"/>
              </w:rPr>
              <w:t>EN 60064:1995 - Idéntico</w:t>
            </w:r>
          </w:p>
        </w:tc>
        <w:tc>
          <w:tcPr>
            <w:tcW w:w="3289" w:type="dxa"/>
            <w:tcBorders>
              <w:bottom w:val="dashSmallGap" w:sz="4" w:space="0" w:color="auto"/>
            </w:tcBorders>
          </w:tcPr>
          <w:p w14:paraId="580AD198" w14:textId="77777777" w:rsidR="00E8734D" w:rsidRPr="002931CD" w:rsidRDefault="00E8734D" w:rsidP="00E8734D">
            <w:pPr>
              <w:suppressAutoHyphens w:val="0"/>
              <w:rPr>
                <w:rFonts w:cs="Calibri"/>
                <w:color w:val="auto"/>
                <w:sz w:val="18"/>
                <w:szCs w:val="18"/>
              </w:rPr>
            </w:pPr>
            <w:r w:rsidRPr="002931CD">
              <w:rPr>
                <w:rFonts w:cs="Calibri"/>
                <w:color w:val="auto"/>
                <w:sz w:val="18"/>
                <w:szCs w:val="18"/>
              </w:rPr>
              <w:t>Tungsten filament lamps for domestic and similar general lighting purposes – Performance requirements</w:t>
            </w:r>
          </w:p>
        </w:tc>
        <w:tc>
          <w:tcPr>
            <w:tcW w:w="1389" w:type="dxa"/>
            <w:tcBorders>
              <w:bottom w:val="dashSmallGap" w:sz="4" w:space="0" w:color="auto"/>
            </w:tcBorders>
          </w:tcPr>
          <w:p w14:paraId="32179541" w14:textId="77777777" w:rsidR="00E8734D" w:rsidRPr="002931CD" w:rsidRDefault="00E8734D" w:rsidP="00E8734D">
            <w:pPr>
              <w:suppressAutoHyphens w:val="0"/>
              <w:rPr>
                <w:rFonts w:cs="Calibri"/>
                <w:color w:val="auto"/>
                <w:sz w:val="18"/>
                <w:szCs w:val="18"/>
              </w:rPr>
            </w:pPr>
            <w:r w:rsidRPr="002931CD">
              <w:rPr>
                <w:rFonts w:cs="Calibri"/>
                <w:color w:val="auto"/>
                <w:sz w:val="18"/>
                <w:szCs w:val="18"/>
              </w:rPr>
              <w:t>IEC 60064:1993 MOD - Idéntico</w:t>
            </w:r>
          </w:p>
        </w:tc>
        <w:tc>
          <w:tcPr>
            <w:tcW w:w="2896" w:type="dxa"/>
            <w:tcBorders>
              <w:bottom w:val="dashSmallGap" w:sz="4" w:space="0" w:color="auto"/>
            </w:tcBorders>
          </w:tcPr>
          <w:p w14:paraId="4DC59AB5" w14:textId="77777777" w:rsidR="00E8734D" w:rsidRPr="002931CD" w:rsidRDefault="00E8734D" w:rsidP="00E8734D">
            <w:pPr>
              <w:suppressAutoHyphens w:val="0"/>
              <w:rPr>
                <w:rFonts w:cs="Calibri"/>
                <w:color w:val="auto"/>
                <w:sz w:val="18"/>
                <w:szCs w:val="18"/>
              </w:rPr>
            </w:pPr>
            <w:r w:rsidRPr="002931CD">
              <w:rPr>
                <w:rFonts w:cs="Calibri"/>
                <w:color w:val="auto"/>
                <w:sz w:val="18"/>
                <w:szCs w:val="18"/>
              </w:rPr>
              <w:t>Tungsten filament lamps for domestic and similar general ligthing purposes - Performance requirements</w:t>
            </w:r>
          </w:p>
        </w:tc>
      </w:tr>
      <w:tr w:rsidR="00E8734D" w:rsidRPr="00E8734D" w14:paraId="094E2C95" w14:textId="77777777" w:rsidTr="00E8734D">
        <w:trPr>
          <w:cantSplit/>
          <w:trHeight w:val="1134"/>
        </w:trPr>
        <w:tc>
          <w:tcPr>
            <w:tcW w:w="503" w:type="dxa"/>
            <w:tcBorders>
              <w:top w:val="dashSmallGap" w:sz="4" w:space="0" w:color="auto"/>
              <w:bottom w:val="single" w:sz="4" w:space="0" w:color="auto"/>
            </w:tcBorders>
            <w:textDirection w:val="btLr"/>
          </w:tcPr>
          <w:p w14:paraId="3E99CD5C" w14:textId="77777777" w:rsidR="00E8734D" w:rsidRPr="002931CD" w:rsidRDefault="00E8734D" w:rsidP="00E8734D">
            <w:pPr>
              <w:suppressAutoHyphens w:val="0"/>
              <w:ind w:left="113" w:right="113"/>
              <w:jc w:val="center"/>
              <w:rPr>
                <w:rFonts w:cs="Calibri"/>
                <w:color w:val="auto"/>
                <w:sz w:val="18"/>
                <w:szCs w:val="18"/>
                <w:lang w:val="es-ES"/>
              </w:rPr>
            </w:pPr>
            <w:r w:rsidRPr="002931CD">
              <w:rPr>
                <w:rFonts w:cs="Calibri"/>
                <w:color w:val="auto"/>
                <w:sz w:val="18"/>
                <w:szCs w:val="18"/>
                <w:lang w:val="es-ES"/>
              </w:rPr>
              <w:t>Últ. mod.</w:t>
            </w:r>
          </w:p>
        </w:tc>
        <w:tc>
          <w:tcPr>
            <w:tcW w:w="1193" w:type="dxa"/>
            <w:tcBorders>
              <w:top w:val="dashSmallGap" w:sz="4" w:space="0" w:color="auto"/>
              <w:bottom w:val="single" w:sz="4" w:space="0" w:color="auto"/>
            </w:tcBorders>
          </w:tcPr>
          <w:p w14:paraId="2D68155E" w14:textId="77777777" w:rsidR="00E8734D" w:rsidRPr="002931CD" w:rsidRDefault="00E8734D" w:rsidP="00E8734D">
            <w:pPr>
              <w:suppressAutoHyphens w:val="0"/>
              <w:rPr>
                <w:rFonts w:cs="Calibri"/>
                <w:color w:val="auto"/>
                <w:sz w:val="18"/>
                <w:szCs w:val="18"/>
                <w:lang w:val="es-ES"/>
              </w:rPr>
            </w:pPr>
            <w:r w:rsidRPr="002931CD">
              <w:rPr>
                <w:rFonts w:cs="Calibri"/>
                <w:color w:val="auto"/>
                <w:sz w:val="18"/>
                <w:szCs w:val="18"/>
                <w:lang w:val="es-ES"/>
              </w:rPr>
              <w:t>UNE-EN 60064:1998/A5:2010</w:t>
            </w:r>
          </w:p>
        </w:tc>
        <w:tc>
          <w:tcPr>
            <w:tcW w:w="3402" w:type="dxa"/>
            <w:tcBorders>
              <w:top w:val="dashSmallGap" w:sz="4" w:space="0" w:color="auto"/>
              <w:bottom w:val="single" w:sz="4" w:space="0" w:color="auto"/>
            </w:tcBorders>
          </w:tcPr>
          <w:p w14:paraId="0D0893EA" w14:textId="77777777" w:rsidR="00E8734D" w:rsidRPr="002931CD" w:rsidRDefault="00E8734D" w:rsidP="00E8734D">
            <w:pPr>
              <w:suppressAutoHyphens w:val="0"/>
              <w:rPr>
                <w:rFonts w:cs="Calibri"/>
                <w:color w:val="auto"/>
                <w:sz w:val="18"/>
                <w:szCs w:val="18"/>
              </w:rPr>
            </w:pPr>
            <w:r w:rsidRPr="002931CD">
              <w:rPr>
                <w:rFonts w:cs="Calibri"/>
                <w:color w:val="auto"/>
                <w:sz w:val="18"/>
                <w:szCs w:val="18"/>
                <w:lang w:val="es-ES"/>
              </w:rPr>
              <w:t xml:space="preserve">Lámparas de filamento de volframio para uso doméstico y alumbrado general similar. Requisitos de </w:t>
            </w:r>
            <w:r w:rsidRPr="002931CD">
              <w:rPr>
                <w:rFonts w:cs="Calibri"/>
                <w:color w:val="auto"/>
                <w:sz w:val="18"/>
                <w:szCs w:val="18"/>
              </w:rPr>
              <w:t>funcionamiento.</w:t>
            </w:r>
          </w:p>
        </w:tc>
        <w:tc>
          <w:tcPr>
            <w:tcW w:w="1276" w:type="dxa"/>
            <w:tcBorders>
              <w:top w:val="dashSmallGap" w:sz="4" w:space="0" w:color="auto"/>
              <w:bottom w:val="single" w:sz="4" w:space="0" w:color="auto"/>
            </w:tcBorders>
          </w:tcPr>
          <w:p w14:paraId="1D1F268A" w14:textId="77777777" w:rsidR="00E8734D" w:rsidRPr="002931CD" w:rsidRDefault="00E8734D" w:rsidP="00E8734D">
            <w:pPr>
              <w:suppressAutoHyphens w:val="0"/>
              <w:rPr>
                <w:rFonts w:cs="Calibri"/>
                <w:color w:val="auto"/>
                <w:sz w:val="18"/>
                <w:szCs w:val="18"/>
              </w:rPr>
            </w:pPr>
            <w:r w:rsidRPr="002931CD">
              <w:rPr>
                <w:rFonts w:cs="Calibri"/>
                <w:color w:val="auto"/>
                <w:sz w:val="18"/>
                <w:szCs w:val="18"/>
              </w:rPr>
              <w:t>EN 60064:1995/A5:2009 - Idéntico</w:t>
            </w:r>
          </w:p>
        </w:tc>
        <w:tc>
          <w:tcPr>
            <w:tcW w:w="3289" w:type="dxa"/>
            <w:tcBorders>
              <w:top w:val="dashSmallGap" w:sz="4" w:space="0" w:color="auto"/>
              <w:bottom w:val="single" w:sz="4" w:space="0" w:color="auto"/>
            </w:tcBorders>
          </w:tcPr>
          <w:p w14:paraId="4F164E41" w14:textId="77777777" w:rsidR="00E8734D" w:rsidRPr="002931CD" w:rsidRDefault="00E8734D" w:rsidP="00E8734D">
            <w:pPr>
              <w:suppressAutoHyphens w:val="0"/>
              <w:rPr>
                <w:rFonts w:cs="Calibri"/>
                <w:color w:val="auto"/>
                <w:sz w:val="18"/>
                <w:szCs w:val="18"/>
              </w:rPr>
            </w:pPr>
            <w:r w:rsidRPr="002931CD">
              <w:rPr>
                <w:rFonts w:cs="Calibri"/>
                <w:color w:val="auto"/>
                <w:sz w:val="18"/>
                <w:szCs w:val="18"/>
              </w:rPr>
              <w:t>Tungsten filament lamps for domestic and similar general lighting purposes - Performance requirements</w:t>
            </w:r>
          </w:p>
        </w:tc>
        <w:tc>
          <w:tcPr>
            <w:tcW w:w="1389" w:type="dxa"/>
            <w:tcBorders>
              <w:top w:val="dashSmallGap" w:sz="4" w:space="0" w:color="auto"/>
              <w:bottom w:val="single" w:sz="4" w:space="0" w:color="auto"/>
            </w:tcBorders>
          </w:tcPr>
          <w:p w14:paraId="25C4F074" w14:textId="77777777" w:rsidR="00E8734D" w:rsidRPr="002931CD" w:rsidRDefault="00E8734D" w:rsidP="00E8734D">
            <w:pPr>
              <w:suppressAutoHyphens w:val="0"/>
              <w:rPr>
                <w:rFonts w:cs="Calibri"/>
                <w:color w:val="auto"/>
                <w:sz w:val="18"/>
                <w:szCs w:val="18"/>
              </w:rPr>
            </w:pPr>
            <w:r w:rsidRPr="002931CD">
              <w:rPr>
                <w:rFonts w:cs="Calibri"/>
                <w:color w:val="auto"/>
                <w:sz w:val="18"/>
                <w:szCs w:val="18"/>
              </w:rPr>
              <w:t>IEC 60064:1993/A5:2009 - Modificación</w:t>
            </w:r>
          </w:p>
        </w:tc>
        <w:tc>
          <w:tcPr>
            <w:tcW w:w="2896" w:type="dxa"/>
            <w:tcBorders>
              <w:top w:val="dashSmallGap" w:sz="4" w:space="0" w:color="auto"/>
              <w:bottom w:val="single" w:sz="4" w:space="0" w:color="auto"/>
            </w:tcBorders>
          </w:tcPr>
          <w:p w14:paraId="0F4947A5" w14:textId="77777777" w:rsidR="00E8734D" w:rsidRPr="002931CD" w:rsidRDefault="00E8734D" w:rsidP="00E8734D">
            <w:pPr>
              <w:suppressAutoHyphens w:val="0"/>
              <w:rPr>
                <w:rFonts w:cs="Calibri"/>
                <w:color w:val="auto"/>
                <w:sz w:val="18"/>
                <w:szCs w:val="18"/>
              </w:rPr>
            </w:pPr>
            <w:r w:rsidRPr="002931CD">
              <w:rPr>
                <w:rFonts w:cs="Calibri"/>
                <w:color w:val="auto"/>
                <w:sz w:val="18"/>
                <w:szCs w:val="18"/>
              </w:rPr>
              <w:t>Tungsten filament lamps for domestic and similar general lighting purposes - Performance requirements</w:t>
            </w:r>
          </w:p>
        </w:tc>
      </w:tr>
      <w:tr w:rsidR="00E8734D" w:rsidRPr="00091BC1" w14:paraId="0BE27C18" w14:textId="77777777" w:rsidTr="00E8734D">
        <w:trPr>
          <w:cantSplit/>
          <w:trHeight w:val="1134"/>
        </w:trPr>
        <w:tc>
          <w:tcPr>
            <w:tcW w:w="503" w:type="dxa"/>
            <w:tcBorders>
              <w:bottom w:val="dashSmallGap" w:sz="4" w:space="0" w:color="auto"/>
            </w:tcBorders>
            <w:shd w:val="clear" w:color="auto" w:fill="DEEAF6"/>
            <w:textDirection w:val="btLr"/>
          </w:tcPr>
          <w:p w14:paraId="171106FB" w14:textId="77777777" w:rsidR="00E8734D" w:rsidRPr="002931CD" w:rsidRDefault="00E8734D" w:rsidP="00E8734D">
            <w:pPr>
              <w:suppressAutoHyphens w:val="0"/>
              <w:ind w:left="113" w:right="113"/>
              <w:jc w:val="center"/>
              <w:rPr>
                <w:rFonts w:cs="Calibri"/>
                <w:color w:val="auto"/>
                <w:sz w:val="18"/>
                <w:szCs w:val="18"/>
              </w:rPr>
            </w:pPr>
            <w:r w:rsidRPr="002931CD">
              <w:rPr>
                <w:rFonts w:cs="Calibri"/>
                <w:color w:val="auto"/>
                <w:sz w:val="18"/>
                <w:szCs w:val="18"/>
              </w:rPr>
              <w:t>Norma</w:t>
            </w:r>
          </w:p>
        </w:tc>
        <w:tc>
          <w:tcPr>
            <w:tcW w:w="1193" w:type="dxa"/>
            <w:tcBorders>
              <w:bottom w:val="dashSmallGap" w:sz="4" w:space="0" w:color="auto"/>
            </w:tcBorders>
            <w:shd w:val="clear" w:color="auto" w:fill="DEEAF6"/>
          </w:tcPr>
          <w:p w14:paraId="03457D2A" w14:textId="77777777" w:rsidR="00E8734D" w:rsidRPr="002931CD" w:rsidRDefault="00E8734D" w:rsidP="00E8734D">
            <w:pPr>
              <w:suppressAutoHyphens w:val="0"/>
              <w:rPr>
                <w:rFonts w:cs="Calibri"/>
                <w:color w:val="auto"/>
                <w:sz w:val="18"/>
                <w:szCs w:val="18"/>
              </w:rPr>
            </w:pPr>
            <w:r w:rsidRPr="002931CD">
              <w:rPr>
                <w:rFonts w:cs="Calibri"/>
                <w:color w:val="auto"/>
                <w:sz w:val="18"/>
                <w:szCs w:val="18"/>
              </w:rPr>
              <w:t>UNE-EN 60357:2004</w:t>
            </w:r>
          </w:p>
        </w:tc>
        <w:tc>
          <w:tcPr>
            <w:tcW w:w="3402" w:type="dxa"/>
            <w:tcBorders>
              <w:bottom w:val="dashSmallGap" w:sz="4" w:space="0" w:color="auto"/>
            </w:tcBorders>
            <w:shd w:val="clear" w:color="auto" w:fill="DEEAF6"/>
          </w:tcPr>
          <w:p w14:paraId="1BDF6DA8" w14:textId="77777777" w:rsidR="00E8734D" w:rsidRPr="002931CD" w:rsidRDefault="00E8734D" w:rsidP="00E8734D">
            <w:pPr>
              <w:suppressAutoHyphens w:val="0"/>
              <w:rPr>
                <w:rFonts w:cs="Calibri"/>
                <w:color w:val="auto"/>
                <w:sz w:val="18"/>
                <w:szCs w:val="18"/>
                <w:lang w:val="es-ES"/>
              </w:rPr>
            </w:pPr>
            <w:r w:rsidRPr="002931CD">
              <w:rPr>
                <w:rFonts w:cs="Calibri"/>
                <w:color w:val="auto"/>
                <w:sz w:val="18"/>
                <w:szCs w:val="18"/>
                <w:lang w:val="es-ES"/>
              </w:rPr>
              <w:t>Lamparas halógenas de volframio (excepto las de vehículos). Requisitos de funcionamiento.</w:t>
            </w:r>
          </w:p>
        </w:tc>
        <w:tc>
          <w:tcPr>
            <w:tcW w:w="1276" w:type="dxa"/>
            <w:tcBorders>
              <w:bottom w:val="dashSmallGap" w:sz="4" w:space="0" w:color="auto"/>
            </w:tcBorders>
            <w:shd w:val="clear" w:color="auto" w:fill="DEEAF6"/>
          </w:tcPr>
          <w:p w14:paraId="657E7EC1" w14:textId="77777777" w:rsidR="00E8734D" w:rsidRPr="002931CD" w:rsidRDefault="00E8734D" w:rsidP="00E8734D">
            <w:pPr>
              <w:suppressAutoHyphens w:val="0"/>
              <w:rPr>
                <w:rFonts w:cs="Calibri"/>
                <w:color w:val="auto"/>
                <w:sz w:val="18"/>
                <w:szCs w:val="18"/>
                <w:lang w:val="es-ES"/>
              </w:rPr>
            </w:pPr>
            <w:r w:rsidRPr="002931CD">
              <w:rPr>
                <w:rFonts w:cs="Calibri"/>
                <w:color w:val="auto"/>
                <w:sz w:val="18"/>
                <w:szCs w:val="18"/>
                <w:lang w:val="es-ES"/>
              </w:rPr>
              <w:t>EN 60357:2003 - Idéntico</w:t>
            </w:r>
          </w:p>
          <w:p w14:paraId="40D18FD9" w14:textId="77777777" w:rsidR="00E8734D" w:rsidRPr="002931CD" w:rsidRDefault="00E8734D" w:rsidP="00E8734D">
            <w:pPr>
              <w:suppressAutoHyphens w:val="0"/>
              <w:rPr>
                <w:rFonts w:cs="Calibri"/>
                <w:color w:val="auto"/>
                <w:sz w:val="18"/>
                <w:szCs w:val="18"/>
                <w:lang w:val="es-ES"/>
              </w:rPr>
            </w:pPr>
            <w:r w:rsidRPr="002931CD">
              <w:rPr>
                <w:rFonts w:cs="Calibri"/>
                <w:color w:val="auto"/>
                <w:sz w:val="18"/>
                <w:szCs w:val="18"/>
                <w:lang w:val="es-ES"/>
              </w:rPr>
              <w:t>EN 60357:2003 CORR:2003 - Idéntico</w:t>
            </w:r>
          </w:p>
        </w:tc>
        <w:tc>
          <w:tcPr>
            <w:tcW w:w="3289" w:type="dxa"/>
            <w:tcBorders>
              <w:bottom w:val="dashSmallGap" w:sz="4" w:space="0" w:color="auto"/>
            </w:tcBorders>
            <w:shd w:val="clear" w:color="auto" w:fill="DEEAF6"/>
          </w:tcPr>
          <w:p w14:paraId="42885A96" w14:textId="77777777" w:rsidR="00E8734D" w:rsidRPr="00BF7375" w:rsidRDefault="00E8734D" w:rsidP="00E8734D">
            <w:pPr>
              <w:suppressAutoHyphens w:val="0"/>
              <w:rPr>
                <w:rFonts w:cs="Calibri"/>
                <w:color w:val="auto"/>
                <w:sz w:val="18"/>
                <w:szCs w:val="18"/>
              </w:rPr>
            </w:pPr>
            <w:r w:rsidRPr="00BF7375">
              <w:rPr>
                <w:rFonts w:cs="Calibri"/>
                <w:color w:val="auto"/>
                <w:sz w:val="18"/>
                <w:szCs w:val="18"/>
              </w:rPr>
              <w:t>Tungsten halogen lamps (non-vehicle) - Performance specifications</w:t>
            </w:r>
          </w:p>
        </w:tc>
        <w:tc>
          <w:tcPr>
            <w:tcW w:w="1389" w:type="dxa"/>
            <w:tcBorders>
              <w:bottom w:val="dashSmallGap" w:sz="4" w:space="0" w:color="auto"/>
            </w:tcBorders>
            <w:shd w:val="clear" w:color="auto" w:fill="DEEAF6"/>
          </w:tcPr>
          <w:p w14:paraId="040815C5" w14:textId="77777777" w:rsidR="00E8734D" w:rsidRPr="002931CD" w:rsidRDefault="00E8734D" w:rsidP="00E8734D">
            <w:pPr>
              <w:suppressAutoHyphens w:val="0"/>
              <w:rPr>
                <w:rFonts w:cs="Calibri"/>
                <w:color w:val="auto"/>
                <w:sz w:val="18"/>
                <w:szCs w:val="18"/>
                <w:lang w:val="es-ES"/>
              </w:rPr>
            </w:pPr>
            <w:r w:rsidRPr="002931CD">
              <w:rPr>
                <w:rFonts w:cs="Calibri"/>
                <w:color w:val="auto"/>
                <w:sz w:val="18"/>
                <w:szCs w:val="18"/>
                <w:lang w:val="es-ES"/>
              </w:rPr>
              <w:t>IEC 60357:2002 - Idéntico</w:t>
            </w:r>
          </w:p>
        </w:tc>
        <w:tc>
          <w:tcPr>
            <w:tcW w:w="2896" w:type="dxa"/>
            <w:tcBorders>
              <w:bottom w:val="dashSmallGap" w:sz="4" w:space="0" w:color="auto"/>
            </w:tcBorders>
            <w:shd w:val="clear" w:color="auto" w:fill="DEEAF6"/>
          </w:tcPr>
          <w:p w14:paraId="4537E1E9" w14:textId="77777777" w:rsidR="00E8734D" w:rsidRPr="00BF7375" w:rsidRDefault="00E8734D" w:rsidP="00E8734D">
            <w:pPr>
              <w:suppressAutoHyphens w:val="0"/>
              <w:rPr>
                <w:rFonts w:cs="Calibri"/>
                <w:color w:val="auto"/>
                <w:sz w:val="18"/>
                <w:szCs w:val="18"/>
                <w:lang w:val="en-US"/>
              </w:rPr>
            </w:pPr>
            <w:r w:rsidRPr="00BF7375">
              <w:rPr>
                <w:rFonts w:cs="Calibri"/>
                <w:color w:val="auto"/>
                <w:sz w:val="18"/>
                <w:szCs w:val="18"/>
                <w:lang w:val="en-US"/>
              </w:rPr>
              <w:t>Tungsten halogen lamps (non vehicle) - Performance specifications</w:t>
            </w:r>
          </w:p>
        </w:tc>
      </w:tr>
      <w:tr w:rsidR="00E8734D" w:rsidRPr="00091BC1" w14:paraId="32BA31F7" w14:textId="77777777" w:rsidTr="00E8734D">
        <w:trPr>
          <w:cantSplit/>
          <w:trHeight w:val="1134"/>
        </w:trPr>
        <w:tc>
          <w:tcPr>
            <w:tcW w:w="503" w:type="dxa"/>
            <w:tcBorders>
              <w:bottom w:val="single" w:sz="4" w:space="0" w:color="auto"/>
            </w:tcBorders>
            <w:shd w:val="clear" w:color="auto" w:fill="DEEAF6"/>
            <w:textDirection w:val="btLr"/>
          </w:tcPr>
          <w:p w14:paraId="0ABF4D09" w14:textId="77777777" w:rsidR="00E8734D" w:rsidRPr="002931CD" w:rsidRDefault="00E8734D" w:rsidP="00E8734D">
            <w:pPr>
              <w:suppressAutoHyphens w:val="0"/>
              <w:ind w:left="113" w:right="113"/>
              <w:jc w:val="center"/>
              <w:rPr>
                <w:rFonts w:cs="Calibri"/>
                <w:color w:val="auto"/>
                <w:sz w:val="18"/>
                <w:szCs w:val="18"/>
                <w:lang w:val="es-ES"/>
              </w:rPr>
            </w:pPr>
            <w:r w:rsidRPr="002931CD">
              <w:rPr>
                <w:rFonts w:cs="Calibri"/>
                <w:color w:val="auto"/>
                <w:sz w:val="18"/>
                <w:szCs w:val="18"/>
                <w:lang w:val="es-ES"/>
              </w:rPr>
              <w:t>Últ. mod.</w:t>
            </w:r>
          </w:p>
        </w:tc>
        <w:tc>
          <w:tcPr>
            <w:tcW w:w="1193" w:type="dxa"/>
            <w:tcBorders>
              <w:bottom w:val="single" w:sz="4" w:space="0" w:color="auto"/>
            </w:tcBorders>
            <w:shd w:val="clear" w:color="auto" w:fill="DEEAF6"/>
          </w:tcPr>
          <w:p w14:paraId="67FAFB1A" w14:textId="77777777" w:rsidR="00E8734D" w:rsidRPr="002931CD" w:rsidRDefault="00E8734D" w:rsidP="00E8734D">
            <w:pPr>
              <w:suppressAutoHyphens w:val="0"/>
              <w:rPr>
                <w:rFonts w:cs="Calibri"/>
                <w:color w:val="auto"/>
                <w:sz w:val="18"/>
                <w:szCs w:val="18"/>
                <w:lang w:val="es-ES"/>
              </w:rPr>
            </w:pPr>
            <w:r w:rsidRPr="002931CD">
              <w:rPr>
                <w:rFonts w:cs="Calibri"/>
                <w:color w:val="auto"/>
                <w:sz w:val="18"/>
                <w:szCs w:val="18"/>
                <w:lang w:val="es-ES"/>
              </w:rPr>
              <w:t>UNE-EN 60357:2004/A11:2016</w:t>
            </w:r>
          </w:p>
        </w:tc>
        <w:tc>
          <w:tcPr>
            <w:tcW w:w="3402" w:type="dxa"/>
            <w:tcBorders>
              <w:bottom w:val="single" w:sz="4" w:space="0" w:color="auto"/>
            </w:tcBorders>
            <w:shd w:val="clear" w:color="auto" w:fill="DEEAF6"/>
          </w:tcPr>
          <w:p w14:paraId="2280146D" w14:textId="77777777" w:rsidR="00E8734D" w:rsidRPr="002931CD" w:rsidRDefault="00E8734D" w:rsidP="00E8734D">
            <w:pPr>
              <w:suppressAutoHyphens w:val="0"/>
              <w:rPr>
                <w:rFonts w:cs="Calibri"/>
                <w:color w:val="auto"/>
                <w:sz w:val="18"/>
                <w:szCs w:val="18"/>
                <w:lang w:val="es-ES"/>
              </w:rPr>
            </w:pPr>
            <w:r w:rsidRPr="002931CD">
              <w:rPr>
                <w:rFonts w:cs="Calibri"/>
                <w:color w:val="auto"/>
                <w:sz w:val="18"/>
                <w:szCs w:val="18"/>
                <w:lang w:val="es-ES"/>
              </w:rPr>
              <w:t>Lámparas halógenas de volframio (excepto las de vehículos). Requisitos de funcionamiento.</w:t>
            </w:r>
          </w:p>
        </w:tc>
        <w:tc>
          <w:tcPr>
            <w:tcW w:w="1276" w:type="dxa"/>
            <w:tcBorders>
              <w:bottom w:val="single" w:sz="4" w:space="0" w:color="auto"/>
            </w:tcBorders>
            <w:shd w:val="clear" w:color="auto" w:fill="DEEAF6"/>
          </w:tcPr>
          <w:p w14:paraId="269C565E" w14:textId="77777777" w:rsidR="00E8734D" w:rsidRPr="002931CD" w:rsidRDefault="00E8734D" w:rsidP="00E8734D">
            <w:pPr>
              <w:suppressAutoHyphens w:val="0"/>
              <w:rPr>
                <w:rFonts w:cs="Calibri"/>
                <w:color w:val="auto"/>
                <w:sz w:val="18"/>
                <w:szCs w:val="18"/>
              </w:rPr>
            </w:pPr>
            <w:r w:rsidRPr="002931CD">
              <w:rPr>
                <w:rFonts w:cs="Calibri"/>
                <w:color w:val="auto"/>
                <w:sz w:val="18"/>
                <w:szCs w:val="18"/>
                <w:lang w:val="es-ES"/>
              </w:rPr>
              <w:t>EN 60357:2</w:t>
            </w:r>
            <w:r w:rsidRPr="002931CD">
              <w:rPr>
                <w:rFonts w:cs="Calibri"/>
                <w:color w:val="auto"/>
                <w:sz w:val="18"/>
                <w:szCs w:val="18"/>
              </w:rPr>
              <w:t>003/A11:2016 - Idéntico</w:t>
            </w:r>
          </w:p>
        </w:tc>
        <w:tc>
          <w:tcPr>
            <w:tcW w:w="3289" w:type="dxa"/>
            <w:tcBorders>
              <w:bottom w:val="single" w:sz="4" w:space="0" w:color="auto"/>
            </w:tcBorders>
            <w:shd w:val="clear" w:color="auto" w:fill="DEEAF6"/>
          </w:tcPr>
          <w:p w14:paraId="56AA1389" w14:textId="77777777" w:rsidR="00E8734D" w:rsidRPr="00BF7375" w:rsidRDefault="00E8734D" w:rsidP="00E8734D">
            <w:pPr>
              <w:suppressAutoHyphens w:val="0"/>
              <w:rPr>
                <w:rFonts w:cs="Calibri"/>
                <w:color w:val="auto"/>
                <w:sz w:val="18"/>
                <w:szCs w:val="18"/>
              </w:rPr>
            </w:pPr>
            <w:r w:rsidRPr="00BF7375">
              <w:rPr>
                <w:rFonts w:cs="Calibri"/>
                <w:color w:val="auto"/>
                <w:sz w:val="18"/>
                <w:szCs w:val="18"/>
              </w:rPr>
              <w:t>Tungsten halogen lamps (non-vehicle) - Performance specifications</w:t>
            </w:r>
          </w:p>
        </w:tc>
        <w:tc>
          <w:tcPr>
            <w:tcW w:w="1389" w:type="dxa"/>
            <w:tcBorders>
              <w:bottom w:val="single" w:sz="4" w:space="0" w:color="auto"/>
            </w:tcBorders>
            <w:shd w:val="clear" w:color="auto" w:fill="DEEAF6"/>
          </w:tcPr>
          <w:p w14:paraId="55BC623C" w14:textId="77777777" w:rsidR="00E8734D" w:rsidRPr="00BF7375" w:rsidRDefault="00E8734D" w:rsidP="00E8734D">
            <w:pPr>
              <w:suppressAutoHyphens w:val="0"/>
              <w:rPr>
                <w:rFonts w:cs="Calibri"/>
                <w:color w:val="auto"/>
                <w:sz w:val="18"/>
                <w:szCs w:val="18"/>
              </w:rPr>
            </w:pPr>
          </w:p>
        </w:tc>
        <w:tc>
          <w:tcPr>
            <w:tcW w:w="2896" w:type="dxa"/>
            <w:tcBorders>
              <w:bottom w:val="single" w:sz="4" w:space="0" w:color="auto"/>
            </w:tcBorders>
            <w:shd w:val="clear" w:color="auto" w:fill="DEEAF6"/>
          </w:tcPr>
          <w:p w14:paraId="37116E1D" w14:textId="77777777" w:rsidR="00E8734D" w:rsidRPr="00BF7375" w:rsidRDefault="00E8734D" w:rsidP="00E8734D">
            <w:pPr>
              <w:suppressAutoHyphens w:val="0"/>
              <w:rPr>
                <w:rFonts w:cs="Calibri"/>
                <w:color w:val="auto"/>
                <w:sz w:val="18"/>
                <w:szCs w:val="18"/>
              </w:rPr>
            </w:pPr>
          </w:p>
        </w:tc>
      </w:tr>
      <w:tr w:rsidR="00E8734D" w:rsidRPr="00E8734D" w14:paraId="1B8EE2B5" w14:textId="77777777" w:rsidTr="00E8734D">
        <w:trPr>
          <w:cantSplit/>
          <w:trHeight w:val="1134"/>
        </w:trPr>
        <w:tc>
          <w:tcPr>
            <w:tcW w:w="503" w:type="dxa"/>
            <w:tcBorders>
              <w:bottom w:val="dashSmallGap" w:sz="4" w:space="0" w:color="auto"/>
            </w:tcBorders>
            <w:textDirection w:val="btLr"/>
          </w:tcPr>
          <w:p w14:paraId="2C1BABFF" w14:textId="77777777" w:rsidR="00E8734D" w:rsidRPr="002931CD" w:rsidRDefault="00E8734D" w:rsidP="00E8734D">
            <w:pPr>
              <w:suppressAutoHyphens w:val="0"/>
              <w:ind w:left="113" w:right="113"/>
              <w:jc w:val="center"/>
              <w:rPr>
                <w:rFonts w:cs="Calibri"/>
                <w:color w:val="auto"/>
                <w:sz w:val="18"/>
                <w:szCs w:val="18"/>
              </w:rPr>
            </w:pPr>
            <w:r w:rsidRPr="002931CD">
              <w:rPr>
                <w:rFonts w:cs="Calibri"/>
                <w:color w:val="auto"/>
                <w:sz w:val="18"/>
                <w:szCs w:val="18"/>
              </w:rPr>
              <w:t>Norma</w:t>
            </w:r>
          </w:p>
        </w:tc>
        <w:tc>
          <w:tcPr>
            <w:tcW w:w="1193" w:type="dxa"/>
            <w:tcBorders>
              <w:bottom w:val="dashSmallGap" w:sz="4" w:space="0" w:color="auto"/>
            </w:tcBorders>
          </w:tcPr>
          <w:p w14:paraId="3CA21241" w14:textId="77777777" w:rsidR="00E8734D" w:rsidRPr="002931CD" w:rsidRDefault="00E8734D" w:rsidP="00E8734D">
            <w:pPr>
              <w:suppressAutoHyphens w:val="0"/>
              <w:rPr>
                <w:rFonts w:cs="Calibri"/>
                <w:color w:val="auto"/>
                <w:sz w:val="18"/>
                <w:szCs w:val="18"/>
              </w:rPr>
            </w:pPr>
            <w:r w:rsidRPr="002931CD">
              <w:rPr>
                <w:rFonts w:cs="Calibri"/>
                <w:color w:val="auto"/>
                <w:sz w:val="18"/>
                <w:szCs w:val="18"/>
              </w:rPr>
              <w:t>UNE-EN 60432-1:2001</w:t>
            </w:r>
          </w:p>
        </w:tc>
        <w:tc>
          <w:tcPr>
            <w:tcW w:w="3402" w:type="dxa"/>
            <w:tcBorders>
              <w:bottom w:val="dashSmallGap" w:sz="4" w:space="0" w:color="auto"/>
            </w:tcBorders>
          </w:tcPr>
          <w:p w14:paraId="30A31F6E" w14:textId="77777777" w:rsidR="00E8734D" w:rsidRPr="002931CD" w:rsidRDefault="00E8734D" w:rsidP="00E8734D">
            <w:pPr>
              <w:suppressAutoHyphens w:val="0"/>
              <w:rPr>
                <w:rFonts w:cs="Calibri"/>
                <w:color w:val="auto"/>
                <w:sz w:val="18"/>
                <w:szCs w:val="18"/>
                <w:lang w:val="es-ES"/>
              </w:rPr>
            </w:pPr>
            <w:r w:rsidRPr="002931CD">
              <w:rPr>
                <w:rFonts w:cs="Calibri"/>
                <w:color w:val="auto"/>
                <w:sz w:val="18"/>
                <w:szCs w:val="18"/>
                <w:lang w:val="es-ES"/>
              </w:rPr>
              <w:t>Lámparas de incandescencia. Requisitos de seguridad. Parte 1: Lámparas de filamento de volframio para uso doméstico y alumbrado general similar.</w:t>
            </w:r>
          </w:p>
        </w:tc>
        <w:tc>
          <w:tcPr>
            <w:tcW w:w="1276" w:type="dxa"/>
            <w:tcBorders>
              <w:bottom w:val="dashSmallGap" w:sz="4" w:space="0" w:color="auto"/>
            </w:tcBorders>
          </w:tcPr>
          <w:p w14:paraId="7CF9944D" w14:textId="77777777" w:rsidR="00E8734D" w:rsidRPr="002931CD" w:rsidRDefault="00E8734D" w:rsidP="00E8734D">
            <w:pPr>
              <w:suppressAutoHyphens w:val="0"/>
              <w:rPr>
                <w:rFonts w:cs="Calibri"/>
                <w:color w:val="auto"/>
                <w:sz w:val="18"/>
                <w:szCs w:val="18"/>
                <w:lang w:val="es-ES"/>
              </w:rPr>
            </w:pPr>
            <w:r w:rsidRPr="002931CD">
              <w:rPr>
                <w:rFonts w:cs="Calibri"/>
                <w:color w:val="auto"/>
                <w:sz w:val="18"/>
                <w:szCs w:val="18"/>
                <w:lang w:val="es-ES"/>
              </w:rPr>
              <w:t>EN 60432-1:2000 - Idéntico</w:t>
            </w:r>
          </w:p>
        </w:tc>
        <w:tc>
          <w:tcPr>
            <w:tcW w:w="3289" w:type="dxa"/>
            <w:tcBorders>
              <w:bottom w:val="dashSmallGap" w:sz="4" w:space="0" w:color="auto"/>
            </w:tcBorders>
          </w:tcPr>
          <w:p w14:paraId="0DBB49E8" w14:textId="77777777" w:rsidR="00E8734D" w:rsidRPr="002931CD" w:rsidRDefault="00E8734D" w:rsidP="00E8734D">
            <w:pPr>
              <w:suppressAutoHyphens w:val="0"/>
              <w:rPr>
                <w:rFonts w:cs="Calibri"/>
                <w:color w:val="auto"/>
                <w:sz w:val="18"/>
                <w:szCs w:val="18"/>
              </w:rPr>
            </w:pPr>
            <w:r w:rsidRPr="002931CD">
              <w:rPr>
                <w:rFonts w:cs="Calibri"/>
                <w:color w:val="auto"/>
                <w:sz w:val="18"/>
                <w:szCs w:val="18"/>
              </w:rPr>
              <w:t>Incandescent lamps - Safety specifications -- Part 1: Tungsten filament lamps for domestic and similar general lighting purposes.</w:t>
            </w:r>
          </w:p>
        </w:tc>
        <w:tc>
          <w:tcPr>
            <w:tcW w:w="1389" w:type="dxa"/>
            <w:tcBorders>
              <w:bottom w:val="dashSmallGap" w:sz="4" w:space="0" w:color="auto"/>
            </w:tcBorders>
          </w:tcPr>
          <w:p w14:paraId="650F0D8A" w14:textId="77777777" w:rsidR="00E8734D" w:rsidRPr="002931CD" w:rsidRDefault="00E8734D" w:rsidP="00E8734D">
            <w:pPr>
              <w:suppressAutoHyphens w:val="0"/>
              <w:rPr>
                <w:rFonts w:cs="Calibri"/>
                <w:color w:val="auto"/>
                <w:sz w:val="18"/>
                <w:szCs w:val="18"/>
              </w:rPr>
            </w:pPr>
            <w:r w:rsidRPr="002931CD">
              <w:rPr>
                <w:rFonts w:cs="Calibri"/>
                <w:color w:val="auto"/>
                <w:sz w:val="18"/>
                <w:szCs w:val="18"/>
              </w:rPr>
              <w:t>IEC 60432-1:1999 MOD - Idéntico</w:t>
            </w:r>
          </w:p>
        </w:tc>
        <w:tc>
          <w:tcPr>
            <w:tcW w:w="2896" w:type="dxa"/>
            <w:tcBorders>
              <w:bottom w:val="dashSmallGap" w:sz="4" w:space="0" w:color="auto"/>
            </w:tcBorders>
          </w:tcPr>
          <w:p w14:paraId="0D87532F" w14:textId="77777777" w:rsidR="00E8734D" w:rsidRPr="002931CD" w:rsidRDefault="00E8734D" w:rsidP="00E8734D">
            <w:pPr>
              <w:suppressAutoHyphens w:val="0"/>
              <w:rPr>
                <w:rFonts w:cs="Calibri"/>
                <w:color w:val="auto"/>
                <w:sz w:val="18"/>
                <w:szCs w:val="18"/>
              </w:rPr>
            </w:pPr>
            <w:r w:rsidRPr="002931CD">
              <w:rPr>
                <w:rFonts w:cs="Calibri"/>
                <w:color w:val="auto"/>
                <w:sz w:val="18"/>
                <w:szCs w:val="18"/>
              </w:rPr>
              <w:t>Incandescent lamps - Safety specifications - Part 1: Tungsten filament lamps for domestic and similar general lighting purposes</w:t>
            </w:r>
          </w:p>
        </w:tc>
      </w:tr>
      <w:tr w:rsidR="00E8734D" w:rsidRPr="00E8734D" w14:paraId="17D2FDC9" w14:textId="77777777" w:rsidTr="00E8734D">
        <w:trPr>
          <w:cantSplit/>
          <w:trHeight w:val="1134"/>
        </w:trPr>
        <w:tc>
          <w:tcPr>
            <w:tcW w:w="503" w:type="dxa"/>
            <w:tcBorders>
              <w:top w:val="dashSmallGap" w:sz="4" w:space="0" w:color="auto"/>
              <w:bottom w:val="single" w:sz="4" w:space="0" w:color="auto"/>
            </w:tcBorders>
            <w:textDirection w:val="btLr"/>
          </w:tcPr>
          <w:p w14:paraId="539BE8CF" w14:textId="77777777" w:rsidR="00E8734D" w:rsidRPr="00CD0AFE" w:rsidRDefault="00E8734D" w:rsidP="00E8734D">
            <w:pPr>
              <w:suppressAutoHyphens w:val="0"/>
              <w:ind w:left="113" w:right="113"/>
              <w:jc w:val="center"/>
              <w:rPr>
                <w:rFonts w:cs="Calibri"/>
                <w:color w:val="auto"/>
                <w:sz w:val="18"/>
                <w:szCs w:val="18"/>
                <w:lang w:val="es-ES"/>
              </w:rPr>
            </w:pPr>
            <w:r w:rsidRPr="00CD0AFE">
              <w:rPr>
                <w:rFonts w:cs="Calibri"/>
                <w:color w:val="auto"/>
                <w:sz w:val="18"/>
                <w:szCs w:val="18"/>
                <w:lang w:val="es-ES"/>
              </w:rPr>
              <w:t>Últ. mod.</w:t>
            </w:r>
          </w:p>
        </w:tc>
        <w:tc>
          <w:tcPr>
            <w:tcW w:w="1193" w:type="dxa"/>
            <w:tcBorders>
              <w:top w:val="dashSmallGap" w:sz="4" w:space="0" w:color="auto"/>
              <w:bottom w:val="single" w:sz="4" w:space="0" w:color="auto"/>
            </w:tcBorders>
          </w:tcPr>
          <w:p w14:paraId="1F3F29BD"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UNE-EN 60432-1:2001/A2:2012</w:t>
            </w:r>
          </w:p>
        </w:tc>
        <w:tc>
          <w:tcPr>
            <w:tcW w:w="3402" w:type="dxa"/>
            <w:tcBorders>
              <w:top w:val="dashSmallGap" w:sz="4" w:space="0" w:color="auto"/>
              <w:bottom w:val="single" w:sz="4" w:space="0" w:color="auto"/>
            </w:tcBorders>
          </w:tcPr>
          <w:p w14:paraId="5530F7A6"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Lámparas de incandescencia. Requisitos de seguridad. Parte 1: Lámparas de filamento de volframio para uso doméstico y alumbrado general similar.</w:t>
            </w:r>
          </w:p>
        </w:tc>
        <w:tc>
          <w:tcPr>
            <w:tcW w:w="1276" w:type="dxa"/>
            <w:tcBorders>
              <w:top w:val="dashSmallGap" w:sz="4" w:space="0" w:color="auto"/>
              <w:bottom w:val="single" w:sz="4" w:space="0" w:color="auto"/>
            </w:tcBorders>
          </w:tcPr>
          <w:p w14:paraId="529979CA"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EN 60432-1:2000//A2:2012 - Idéntico</w:t>
            </w:r>
          </w:p>
        </w:tc>
        <w:tc>
          <w:tcPr>
            <w:tcW w:w="3289" w:type="dxa"/>
            <w:tcBorders>
              <w:top w:val="dashSmallGap" w:sz="4" w:space="0" w:color="auto"/>
              <w:bottom w:val="single" w:sz="4" w:space="0" w:color="auto"/>
            </w:tcBorders>
          </w:tcPr>
          <w:p w14:paraId="64E21618"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Incandescent lamps - Safety specifications - Part 1: Tungsten filament lamps for domestic and similar general lighting purposes</w:t>
            </w:r>
          </w:p>
        </w:tc>
        <w:tc>
          <w:tcPr>
            <w:tcW w:w="1389" w:type="dxa"/>
            <w:tcBorders>
              <w:top w:val="dashSmallGap" w:sz="4" w:space="0" w:color="auto"/>
              <w:bottom w:val="single" w:sz="4" w:space="0" w:color="auto"/>
            </w:tcBorders>
          </w:tcPr>
          <w:p w14:paraId="50767D25"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IEC 60432-1:1999/A2:2011 - Idéntico</w:t>
            </w:r>
          </w:p>
        </w:tc>
        <w:tc>
          <w:tcPr>
            <w:tcW w:w="2896" w:type="dxa"/>
            <w:tcBorders>
              <w:top w:val="dashSmallGap" w:sz="4" w:space="0" w:color="auto"/>
              <w:bottom w:val="single" w:sz="4" w:space="0" w:color="auto"/>
            </w:tcBorders>
          </w:tcPr>
          <w:p w14:paraId="6CABD9E4"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Incandescent lamps - Safety specifications - Part 1: Tungsten filament lamps for domestic and similar general lighting purposes</w:t>
            </w:r>
          </w:p>
        </w:tc>
      </w:tr>
      <w:tr w:rsidR="00E8734D" w:rsidRPr="00E8734D" w14:paraId="4B029234" w14:textId="77777777" w:rsidTr="00E8734D">
        <w:trPr>
          <w:cantSplit/>
          <w:trHeight w:val="1134"/>
        </w:trPr>
        <w:tc>
          <w:tcPr>
            <w:tcW w:w="503" w:type="dxa"/>
            <w:tcBorders>
              <w:bottom w:val="dashSmallGap" w:sz="4" w:space="0" w:color="auto"/>
            </w:tcBorders>
            <w:shd w:val="clear" w:color="auto" w:fill="DEEAF6"/>
            <w:textDirection w:val="btLr"/>
          </w:tcPr>
          <w:p w14:paraId="145EC889" w14:textId="77777777" w:rsidR="00E8734D" w:rsidRPr="00CD0AFE" w:rsidRDefault="00E8734D" w:rsidP="00E8734D">
            <w:pPr>
              <w:suppressAutoHyphens w:val="0"/>
              <w:ind w:left="113" w:right="113"/>
              <w:jc w:val="center"/>
              <w:rPr>
                <w:rFonts w:cs="Calibri"/>
                <w:color w:val="auto"/>
                <w:sz w:val="18"/>
                <w:szCs w:val="18"/>
              </w:rPr>
            </w:pPr>
            <w:r w:rsidRPr="00CD0AFE">
              <w:rPr>
                <w:rFonts w:cs="Calibri"/>
                <w:color w:val="auto"/>
                <w:sz w:val="18"/>
                <w:szCs w:val="18"/>
              </w:rPr>
              <w:t>Norma</w:t>
            </w:r>
          </w:p>
        </w:tc>
        <w:tc>
          <w:tcPr>
            <w:tcW w:w="1193" w:type="dxa"/>
            <w:tcBorders>
              <w:bottom w:val="dashSmallGap" w:sz="4" w:space="0" w:color="auto"/>
            </w:tcBorders>
            <w:shd w:val="clear" w:color="auto" w:fill="DEEAF6"/>
          </w:tcPr>
          <w:p w14:paraId="133FF24F"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UNE-EN 60432-2:2001</w:t>
            </w:r>
          </w:p>
        </w:tc>
        <w:tc>
          <w:tcPr>
            <w:tcW w:w="3402" w:type="dxa"/>
            <w:tcBorders>
              <w:bottom w:val="dashSmallGap" w:sz="4" w:space="0" w:color="auto"/>
            </w:tcBorders>
            <w:shd w:val="clear" w:color="auto" w:fill="DEEAF6"/>
          </w:tcPr>
          <w:p w14:paraId="173F7F91"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Lámparas de incandescencia. Requisitos de seguridad. Parte 2: Lámparas halógenas de volframio para uso doméstico y alumbrado general similar.</w:t>
            </w:r>
          </w:p>
        </w:tc>
        <w:tc>
          <w:tcPr>
            <w:tcW w:w="1276" w:type="dxa"/>
            <w:tcBorders>
              <w:bottom w:val="dashSmallGap" w:sz="4" w:space="0" w:color="auto"/>
            </w:tcBorders>
            <w:shd w:val="clear" w:color="auto" w:fill="DEEAF6"/>
          </w:tcPr>
          <w:p w14:paraId="7A0DA05C"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EN 60432-2:2000 - Idéntico</w:t>
            </w:r>
          </w:p>
        </w:tc>
        <w:tc>
          <w:tcPr>
            <w:tcW w:w="3289" w:type="dxa"/>
            <w:tcBorders>
              <w:bottom w:val="dashSmallGap" w:sz="4" w:space="0" w:color="auto"/>
            </w:tcBorders>
            <w:shd w:val="clear" w:color="auto" w:fill="DEEAF6"/>
          </w:tcPr>
          <w:p w14:paraId="77CDDC95"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Incandescent lamps - Safety specifications -- Part 2: Tungsten halogen lamps for domestic and similar general lighting purposes.</w:t>
            </w:r>
          </w:p>
        </w:tc>
        <w:tc>
          <w:tcPr>
            <w:tcW w:w="1389" w:type="dxa"/>
            <w:tcBorders>
              <w:bottom w:val="dashSmallGap" w:sz="4" w:space="0" w:color="auto"/>
            </w:tcBorders>
            <w:shd w:val="clear" w:color="auto" w:fill="DEEAF6"/>
          </w:tcPr>
          <w:p w14:paraId="2F944760"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IEC 60432-2:1999 MOD - Idéntico</w:t>
            </w:r>
          </w:p>
        </w:tc>
        <w:tc>
          <w:tcPr>
            <w:tcW w:w="2896" w:type="dxa"/>
            <w:tcBorders>
              <w:bottom w:val="dashSmallGap" w:sz="4" w:space="0" w:color="auto"/>
            </w:tcBorders>
            <w:shd w:val="clear" w:color="auto" w:fill="DEEAF6"/>
          </w:tcPr>
          <w:p w14:paraId="66830278"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Incandescent lamps - Safety specifications - Part 2: Tungsten halogen lamps for domestic and similar general lighting purposes</w:t>
            </w:r>
          </w:p>
        </w:tc>
      </w:tr>
      <w:tr w:rsidR="00E8734D" w:rsidRPr="00E8734D" w14:paraId="17B0D7C1" w14:textId="77777777" w:rsidTr="00E8734D">
        <w:trPr>
          <w:cantSplit/>
          <w:trHeight w:val="1134"/>
        </w:trPr>
        <w:tc>
          <w:tcPr>
            <w:tcW w:w="503" w:type="dxa"/>
            <w:tcBorders>
              <w:top w:val="dashSmallGap" w:sz="4" w:space="0" w:color="auto"/>
              <w:bottom w:val="single" w:sz="4" w:space="0" w:color="auto"/>
            </w:tcBorders>
            <w:shd w:val="clear" w:color="auto" w:fill="DEEAF6"/>
            <w:textDirection w:val="btLr"/>
          </w:tcPr>
          <w:p w14:paraId="3CAFC236" w14:textId="77777777" w:rsidR="00E8734D" w:rsidRPr="00CD0AFE" w:rsidRDefault="00E8734D" w:rsidP="00E8734D">
            <w:pPr>
              <w:suppressAutoHyphens w:val="0"/>
              <w:ind w:left="113" w:right="113"/>
              <w:jc w:val="center"/>
              <w:rPr>
                <w:rFonts w:cs="Calibri"/>
                <w:color w:val="auto"/>
                <w:sz w:val="18"/>
                <w:szCs w:val="18"/>
                <w:lang w:val="es-ES"/>
              </w:rPr>
            </w:pPr>
            <w:r w:rsidRPr="00CD0AFE">
              <w:rPr>
                <w:rFonts w:cs="Calibri"/>
                <w:color w:val="auto"/>
                <w:sz w:val="18"/>
                <w:szCs w:val="18"/>
                <w:lang w:val="es-ES"/>
              </w:rPr>
              <w:t>Últ. mod.</w:t>
            </w:r>
          </w:p>
        </w:tc>
        <w:tc>
          <w:tcPr>
            <w:tcW w:w="1193" w:type="dxa"/>
            <w:tcBorders>
              <w:top w:val="dashSmallGap" w:sz="4" w:space="0" w:color="auto"/>
              <w:bottom w:val="single" w:sz="4" w:space="0" w:color="auto"/>
            </w:tcBorders>
            <w:shd w:val="clear" w:color="auto" w:fill="DEEAF6"/>
          </w:tcPr>
          <w:p w14:paraId="3DBA6BFB"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UNE-EN 60432-2:2001/A2:2012</w:t>
            </w:r>
          </w:p>
        </w:tc>
        <w:tc>
          <w:tcPr>
            <w:tcW w:w="3402" w:type="dxa"/>
            <w:tcBorders>
              <w:top w:val="dashSmallGap" w:sz="4" w:space="0" w:color="auto"/>
              <w:bottom w:val="single" w:sz="4" w:space="0" w:color="auto"/>
            </w:tcBorders>
            <w:shd w:val="clear" w:color="auto" w:fill="DEEAF6"/>
          </w:tcPr>
          <w:p w14:paraId="33CD5846"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Lámparas de incandescencia. Requisitos de seguridad. Parte 2: Lámparas halógenas de volframio para uso doméstico y alumbrado general similar</w:t>
            </w:r>
          </w:p>
        </w:tc>
        <w:tc>
          <w:tcPr>
            <w:tcW w:w="1276" w:type="dxa"/>
            <w:tcBorders>
              <w:top w:val="dashSmallGap" w:sz="4" w:space="0" w:color="auto"/>
              <w:bottom w:val="single" w:sz="4" w:space="0" w:color="auto"/>
            </w:tcBorders>
            <w:shd w:val="clear" w:color="auto" w:fill="DEEAF6"/>
          </w:tcPr>
          <w:p w14:paraId="67C031F8"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EN 60432-2:2000/A2:2012 - Idéntico</w:t>
            </w:r>
          </w:p>
        </w:tc>
        <w:tc>
          <w:tcPr>
            <w:tcW w:w="3289" w:type="dxa"/>
            <w:tcBorders>
              <w:top w:val="dashSmallGap" w:sz="4" w:space="0" w:color="auto"/>
              <w:bottom w:val="single" w:sz="4" w:space="0" w:color="auto"/>
            </w:tcBorders>
            <w:shd w:val="clear" w:color="auto" w:fill="DEEAF6"/>
          </w:tcPr>
          <w:p w14:paraId="5349EE4E"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Incandescent lamps - Safety specifications - Part 2: Tungsten halogen lamps for domestic and similar general lighting purposes</w:t>
            </w:r>
          </w:p>
        </w:tc>
        <w:tc>
          <w:tcPr>
            <w:tcW w:w="1389" w:type="dxa"/>
            <w:tcBorders>
              <w:top w:val="dashSmallGap" w:sz="4" w:space="0" w:color="auto"/>
              <w:bottom w:val="single" w:sz="4" w:space="0" w:color="auto"/>
            </w:tcBorders>
            <w:shd w:val="clear" w:color="auto" w:fill="DEEAF6"/>
          </w:tcPr>
          <w:p w14:paraId="5647FFCD"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IEC 60432-2:1999/A2:2012 - Idéntico</w:t>
            </w:r>
          </w:p>
        </w:tc>
        <w:tc>
          <w:tcPr>
            <w:tcW w:w="2896" w:type="dxa"/>
            <w:tcBorders>
              <w:top w:val="dashSmallGap" w:sz="4" w:space="0" w:color="auto"/>
              <w:bottom w:val="single" w:sz="4" w:space="0" w:color="auto"/>
            </w:tcBorders>
            <w:shd w:val="clear" w:color="auto" w:fill="DEEAF6"/>
          </w:tcPr>
          <w:p w14:paraId="232D30AB"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Incandescent lamps - Safety specifications - Part 2: Tungsten halogen lamps for domestic and similar general lighting purposes</w:t>
            </w:r>
          </w:p>
        </w:tc>
      </w:tr>
      <w:tr w:rsidR="00E8734D" w:rsidRPr="00091BC1" w14:paraId="2AD9DD14" w14:textId="77777777" w:rsidTr="00E8734D">
        <w:trPr>
          <w:cantSplit/>
          <w:trHeight w:val="1134"/>
        </w:trPr>
        <w:tc>
          <w:tcPr>
            <w:tcW w:w="503" w:type="dxa"/>
            <w:tcBorders>
              <w:bottom w:val="single" w:sz="4" w:space="0" w:color="auto"/>
            </w:tcBorders>
            <w:textDirection w:val="btLr"/>
          </w:tcPr>
          <w:p w14:paraId="7651D376" w14:textId="77777777" w:rsidR="00E8734D" w:rsidRPr="00CD0AFE" w:rsidRDefault="00E8734D" w:rsidP="00E8734D">
            <w:pPr>
              <w:suppressAutoHyphens w:val="0"/>
              <w:ind w:left="113" w:right="113"/>
              <w:jc w:val="center"/>
              <w:rPr>
                <w:rFonts w:cs="Calibri"/>
                <w:color w:val="auto"/>
                <w:sz w:val="18"/>
                <w:szCs w:val="18"/>
              </w:rPr>
            </w:pPr>
            <w:r w:rsidRPr="00CD0AFE">
              <w:rPr>
                <w:rFonts w:cs="Calibri"/>
                <w:color w:val="auto"/>
                <w:sz w:val="18"/>
                <w:szCs w:val="18"/>
              </w:rPr>
              <w:t>Norma</w:t>
            </w:r>
          </w:p>
        </w:tc>
        <w:tc>
          <w:tcPr>
            <w:tcW w:w="1193" w:type="dxa"/>
            <w:tcBorders>
              <w:bottom w:val="single" w:sz="4" w:space="0" w:color="auto"/>
            </w:tcBorders>
          </w:tcPr>
          <w:p w14:paraId="3C2A5997"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UNE-EN 60432-3:2013</w:t>
            </w:r>
          </w:p>
        </w:tc>
        <w:tc>
          <w:tcPr>
            <w:tcW w:w="3402" w:type="dxa"/>
            <w:tcBorders>
              <w:bottom w:val="single" w:sz="4" w:space="0" w:color="auto"/>
            </w:tcBorders>
          </w:tcPr>
          <w:p w14:paraId="3FBBDC48"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Lámparas de incandescencia. Requisitos de seguridad. Parte 3: Lámparas halógenas de volframio (excepto las de vehículos).</w:t>
            </w:r>
          </w:p>
        </w:tc>
        <w:tc>
          <w:tcPr>
            <w:tcW w:w="1276" w:type="dxa"/>
            <w:tcBorders>
              <w:bottom w:val="single" w:sz="4" w:space="0" w:color="auto"/>
            </w:tcBorders>
          </w:tcPr>
          <w:p w14:paraId="24FE9B9C"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Internacionales EN 60432-3:2013 - Idéntico</w:t>
            </w:r>
          </w:p>
        </w:tc>
        <w:tc>
          <w:tcPr>
            <w:tcW w:w="3289" w:type="dxa"/>
            <w:tcBorders>
              <w:bottom w:val="single" w:sz="4" w:space="0" w:color="auto"/>
            </w:tcBorders>
          </w:tcPr>
          <w:p w14:paraId="56A48743" w14:textId="77777777" w:rsidR="00E8734D" w:rsidRPr="00BF7375" w:rsidRDefault="00E8734D" w:rsidP="00E8734D">
            <w:pPr>
              <w:suppressAutoHyphens w:val="0"/>
              <w:rPr>
                <w:rFonts w:cs="Calibri"/>
                <w:color w:val="auto"/>
                <w:sz w:val="18"/>
                <w:szCs w:val="18"/>
              </w:rPr>
            </w:pPr>
            <w:r w:rsidRPr="00BF7375">
              <w:rPr>
                <w:rFonts w:cs="Calibri"/>
                <w:color w:val="auto"/>
                <w:sz w:val="18"/>
                <w:szCs w:val="18"/>
              </w:rPr>
              <w:t>Incandescent lamps - Safety specifications - Part 3: Tungsten-halogen lamps (non-vehicle)</w:t>
            </w:r>
          </w:p>
        </w:tc>
        <w:tc>
          <w:tcPr>
            <w:tcW w:w="1389" w:type="dxa"/>
            <w:tcBorders>
              <w:bottom w:val="single" w:sz="4" w:space="0" w:color="auto"/>
            </w:tcBorders>
          </w:tcPr>
          <w:p w14:paraId="00E5FC25"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IEC 60432-3:2012 - Idéntico</w:t>
            </w:r>
          </w:p>
        </w:tc>
        <w:tc>
          <w:tcPr>
            <w:tcW w:w="2896" w:type="dxa"/>
            <w:tcBorders>
              <w:bottom w:val="single" w:sz="4" w:space="0" w:color="auto"/>
            </w:tcBorders>
          </w:tcPr>
          <w:p w14:paraId="1206D303" w14:textId="77777777" w:rsidR="00E8734D" w:rsidRPr="00BF7375" w:rsidRDefault="00E8734D" w:rsidP="00E8734D">
            <w:pPr>
              <w:suppressAutoHyphens w:val="0"/>
              <w:rPr>
                <w:rFonts w:cs="Calibri"/>
                <w:color w:val="auto"/>
                <w:sz w:val="18"/>
                <w:szCs w:val="18"/>
              </w:rPr>
            </w:pPr>
            <w:r w:rsidRPr="00BF7375">
              <w:rPr>
                <w:rFonts w:cs="Calibri"/>
                <w:color w:val="auto"/>
                <w:sz w:val="18"/>
                <w:szCs w:val="18"/>
              </w:rPr>
              <w:t>Incandescent lamps - Safety specifications - Part 3: Tungsten halogen lamps (non-vehicle)</w:t>
            </w:r>
          </w:p>
        </w:tc>
      </w:tr>
      <w:tr w:rsidR="00E8734D" w:rsidRPr="00E8734D" w14:paraId="566CD2D8" w14:textId="77777777" w:rsidTr="00E8734D">
        <w:trPr>
          <w:cantSplit/>
          <w:trHeight w:val="1134"/>
        </w:trPr>
        <w:tc>
          <w:tcPr>
            <w:tcW w:w="503" w:type="dxa"/>
            <w:tcBorders>
              <w:top w:val="single" w:sz="4" w:space="0" w:color="auto"/>
              <w:bottom w:val="dashSmallGap" w:sz="4" w:space="0" w:color="auto"/>
            </w:tcBorders>
            <w:shd w:val="clear" w:color="auto" w:fill="DEEAF6"/>
            <w:textDirection w:val="btLr"/>
          </w:tcPr>
          <w:p w14:paraId="03031615" w14:textId="77777777" w:rsidR="00E8734D" w:rsidRPr="00CD0AFE" w:rsidRDefault="00E8734D" w:rsidP="00E8734D">
            <w:pPr>
              <w:suppressAutoHyphens w:val="0"/>
              <w:ind w:left="113" w:right="113"/>
              <w:jc w:val="center"/>
              <w:rPr>
                <w:rFonts w:cs="Calibri"/>
                <w:color w:val="auto"/>
                <w:sz w:val="18"/>
                <w:szCs w:val="18"/>
                <w:lang w:val="es-ES"/>
              </w:rPr>
            </w:pPr>
            <w:r w:rsidRPr="00CD0AFE">
              <w:rPr>
                <w:rFonts w:cs="Calibri"/>
                <w:color w:val="auto"/>
                <w:sz w:val="18"/>
                <w:szCs w:val="18"/>
                <w:lang w:val="es-ES"/>
              </w:rPr>
              <w:t>Norma</w:t>
            </w:r>
          </w:p>
        </w:tc>
        <w:tc>
          <w:tcPr>
            <w:tcW w:w="1193" w:type="dxa"/>
            <w:tcBorders>
              <w:top w:val="single" w:sz="4" w:space="0" w:color="auto"/>
              <w:bottom w:val="dashSmallGap" w:sz="4" w:space="0" w:color="auto"/>
            </w:tcBorders>
            <w:shd w:val="clear" w:color="auto" w:fill="DEEAF6"/>
          </w:tcPr>
          <w:p w14:paraId="2872DC3D"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UNE-EN 60969:1994</w:t>
            </w:r>
          </w:p>
        </w:tc>
        <w:tc>
          <w:tcPr>
            <w:tcW w:w="3402" w:type="dxa"/>
            <w:tcBorders>
              <w:top w:val="single" w:sz="4" w:space="0" w:color="auto"/>
              <w:bottom w:val="dashSmallGap" w:sz="4" w:space="0" w:color="auto"/>
            </w:tcBorders>
            <w:shd w:val="clear" w:color="auto" w:fill="DEEAF6"/>
          </w:tcPr>
          <w:p w14:paraId="5977DF9F" w14:textId="77777777" w:rsidR="00E8734D" w:rsidRPr="00CD0AFE" w:rsidRDefault="00E8734D" w:rsidP="00E8734D">
            <w:pPr>
              <w:suppressAutoHyphens w:val="0"/>
              <w:rPr>
                <w:rFonts w:cs="Calibri"/>
                <w:color w:val="auto"/>
                <w:sz w:val="18"/>
                <w:szCs w:val="18"/>
              </w:rPr>
            </w:pPr>
            <w:r w:rsidRPr="00CD0AFE">
              <w:rPr>
                <w:rFonts w:cs="Calibri"/>
                <w:color w:val="auto"/>
                <w:sz w:val="18"/>
                <w:szCs w:val="18"/>
                <w:lang w:val="es-ES"/>
              </w:rPr>
              <w:t>Lámparas con balasto propio para servicios generales de iluminación. Prescripciones de funcionamiento</w:t>
            </w:r>
            <w:r w:rsidRPr="00CD0AFE">
              <w:rPr>
                <w:rFonts w:cs="Calibri"/>
                <w:color w:val="auto"/>
                <w:sz w:val="18"/>
                <w:szCs w:val="18"/>
              </w:rPr>
              <w:t>. (Versión oficial EN 60969:1993).</w:t>
            </w:r>
          </w:p>
        </w:tc>
        <w:tc>
          <w:tcPr>
            <w:tcW w:w="1276" w:type="dxa"/>
            <w:tcBorders>
              <w:top w:val="single" w:sz="4" w:space="0" w:color="auto"/>
              <w:bottom w:val="dashSmallGap" w:sz="4" w:space="0" w:color="auto"/>
            </w:tcBorders>
            <w:shd w:val="clear" w:color="auto" w:fill="DEEAF6"/>
          </w:tcPr>
          <w:p w14:paraId="66CACC96"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EN 60969:1993 - Idéntico</w:t>
            </w:r>
          </w:p>
        </w:tc>
        <w:tc>
          <w:tcPr>
            <w:tcW w:w="3289" w:type="dxa"/>
            <w:tcBorders>
              <w:top w:val="single" w:sz="4" w:space="0" w:color="auto"/>
              <w:bottom w:val="dashSmallGap" w:sz="4" w:space="0" w:color="auto"/>
            </w:tcBorders>
            <w:shd w:val="clear" w:color="auto" w:fill="DEEAF6"/>
          </w:tcPr>
          <w:p w14:paraId="0D17755B"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Self-ballasted lamps for general lighting services – Performance requirements</w:t>
            </w:r>
          </w:p>
        </w:tc>
        <w:tc>
          <w:tcPr>
            <w:tcW w:w="1389" w:type="dxa"/>
            <w:tcBorders>
              <w:top w:val="single" w:sz="4" w:space="0" w:color="auto"/>
              <w:bottom w:val="dashSmallGap" w:sz="4" w:space="0" w:color="auto"/>
            </w:tcBorders>
            <w:shd w:val="clear" w:color="auto" w:fill="DEEAF6"/>
          </w:tcPr>
          <w:p w14:paraId="57FDD5E3"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IEC 60969:2016</w:t>
            </w:r>
          </w:p>
        </w:tc>
        <w:tc>
          <w:tcPr>
            <w:tcW w:w="2896" w:type="dxa"/>
            <w:tcBorders>
              <w:top w:val="single" w:sz="4" w:space="0" w:color="auto"/>
              <w:bottom w:val="dashSmallGap" w:sz="4" w:space="0" w:color="auto"/>
            </w:tcBorders>
            <w:shd w:val="clear" w:color="auto" w:fill="DEEAF6"/>
          </w:tcPr>
          <w:p w14:paraId="40033749"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Self-ballasted compact fluorescent lamps for general lighting services - Performance requirements</w:t>
            </w:r>
          </w:p>
        </w:tc>
      </w:tr>
      <w:tr w:rsidR="00E8734D" w:rsidRPr="00E8734D" w14:paraId="714616E4" w14:textId="77777777" w:rsidTr="00E8734D">
        <w:trPr>
          <w:cantSplit/>
          <w:trHeight w:val="1134"/>
        </w:trPr>
        <w:tc>
          <w:tcPr>
            <w:tcW w:w="503" w:type="dxa"/>
            <w:tcBorders>
              <w:top w:val="dashSmallGap" w:sz="4" w:space="0" w:color="auto"/>
            </w:tcBorders>
            <w:shd w:val="clear" w:color="auto" w:fill="DEEAF6"/>
            <w:textDirection w:val="btLr"/>
          </w:tcPr>
          <w:p w14:paraId="27E194D1" w14:textId="77777777" w:rsidR="00E8734D" w:rsidRPr="00CD0AFE" w:rsidRDefault="00E8734D" w:rsidP="00E8734D">
            <w:pPr>
              <w:suppressAutoHyphens w:val="0"/>
              <w:ind w:left="113" w:right="113"/>
              <w:jc w:val="center"/>
              <w:rPr>
                <w:rFonts w:cs="Calibri"/>
                <w:color w:val="auto"/>
                <w:sz w:val="18"/>
                <w:szCs w:val="18"/>
                <w:lang w:val="es-ES"/>
              </w:rPr>
            </w:pPr>
            <w:r w:rsidRPr="00CD0AFE">
              <w:rPr>
                <w:rFonts w:cs="Calibri"/>
                <w:color w:val="auto"/>
                <w:sz w:val="18"/>
                <w:szCs w:val="18"/>
                <w:lang w:val="es-ES"/>
              </w:rPr>
              <w:t>Últ. mod.</w:t>
            </w:r>
          </w:p>
        </w:tc>
        <w:tc>
          <w:tcPr>
            <w:tcW w:w="1193" w:type="dxa"/>
            <w:tcBorders>
              <w:top w:val="dashSmallGap" w:sz="4" w:space="0" w:color="auto"/>
            </w:tcBorders>
            <w:shd w:val="clear" w:color="auto" w:fill="DEEAF6"/>
          </w:tcPr>
          <w:p w14:paraId="1416E26E"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UNE-EN 60969/A2:2001</w:t>
            </w:r>
          </w:p>
        </w:tc>
        <w:tc>
          <w:tcPr>
            <w:tcW w:w="3402" w:type="dxa"/>
            <w:tcBorders>
              <w:top w:val="dashSmallGap" w:sz="4" w:space="0" w:color="auto"/>
            </w:tcBorders>
            <w:shd w:val="clear" w:color="auto" w:fill="DEEAF6"/>
          </w:tcPr>
          <w:p w14:paraId="4CF95AE5"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Lámparas con balasto propio para servicios generales de iluminación. Prescripciones de funcionamiento.</w:t>
            </w:r>
          </w:p>
        </w:tc>
        <w:tc>
          <w:tcPr>
            <w:tcW w:w="1276" w:type="dxa"/>
            <w:tcBorders>
              <w:top w:val="dashSmallGap" w:sz="4" w:space="0" w:color="auto"/>
            </w:tcBorders>
            <w:shd w:val="clear" w:color="auto" w:fill="DEEAF6"/>
          </w:tcPr>
          <w:p w14:paraId="1520E13B"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EN 60969:1993/A2:2000 - Idéntico</w:t>
            </w:r>
          </w:p>
        </w:tc>
        <w:tc>
          <w:tcPr>
            <w:tcW w:w="3289" w:type="dxa"/>
            <w:tcBorders>
              <w:top w:val="dashSmallGap" w:sz="4" w:space="0" w:color="auto"/>
            </w:tcBorders>
            <w:shd w:val="clear" w:color="auto" w:fill="DEEAF6"/>
          </w:tcPr>
          <w:p w14:paraId="296D4656"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Self-ballasted lamps for general lighting services - Performance requirements.</w:t>
            </w:r>
          </w:p>
        </w:tc>
        <w:tc>
          <w:tcPr>
            <w:tcW w:w="1389" w:type="dxa"/>
            <w:tcBorders>
              <w:top w:val="dashSmallGap" w:sz="4" w:space="0" w:color="auto"/>
            </w:tcBorders>
            <w:shd w:val="clear" w:color="auto" w:fill="DEEAF6"/>
          </w:tcPr>
          <w:p w14:paraId="60302A08" w14:textId="77777777" w:rsidR="00E8734D" w:rsidRPr="00CD0AFE" w:rsidRDefault="00E8734D" w:rsidP="00E8734D">
            <w:pPr>
              <w:suppressAutoHyphens w:val="0"/>
              <w:rPr>
                <w:rFonts w:cs="Calibri"/>
                <w:color w:val="auto"/>
                <w:sz w:val="18"/>
                <w:szCs w:val="18"/>
              </w:rPr>
            </w:pPr>
          </w:p>
        </w:tc>
        <w:tc>
          <w:tcPr>
            <w:tcW w:w="2896" w:type="dxa"/>
            <w:tcBorders>
              <w:top w:val="dashSmallGap" w:sz="4" w:space="0" w:color="auto"/>
            </w:tcBorders>
            <w:shd w:val="clear" w:color="auto" w:fill="DEEAF6"/>
          </w:tcPr>
          <w:p w14:paraId="32C9581D" w14:textId="77777777" w:rsidR="00E8734D" w:rsidRPr="00CD0AFE" w:rsidRDefault="00E8734D" w:rsidP="00E8734D">
            <w:pPr>
              <w:suppressAutoHyphens w:val="0"/>
              <w:rPr>
                <w:rFonts w:cs="Calibri"/>
                <w:color w:val="auto"/>
                <w:sz w:val="18"/>
                <w:szCs w:val="18"/>
              </w:rPr>
            </w:pPr>
          </w:p>
        </w:tc>
      </w:tr>
      <w:tr w:rsidR="00E8734D" w:rsidRPr="00E8734D" w14:paraId="43C14541" w14:textId="77777777" w:rsidTr="00E8734D">
        <w:trPr>
          <w:cantSplit/>
          <w:trHeight w:val="1134"/>
        </w:trPr>
        <w:tc>
          <w:tcPr>
            <w:tcW w:w="503" w:type="dxa"/>
            <w:tcBorders>
              <w:bottom w:val="single" w:sz="4" w:space="0" w:color="auto"/>
            </w:tcBorders>
            <w:shd w:val="clear" w:color="auto" w:fill="auto"/>
            <w:textDirection w:val="btLr"/>
          </w:tcPr>
          <w:p w14:paraId="28E9182C" w14:textId="77777777" w:rsidR="00E8734D" w:rsidRPr="00CD0AFE" w:rsidRDefault="00E8734D" w:rsidP="00E8734D">
            <w:pPr>
              <w:suppressAutoHyphens w:val="0"/>
              <w:ind w:left="113" w:right="113"/>
              <w:jc w:val="center"/>
              <w:rPr>
                <w:rFonts w:cs="Calibri"/>
                <w:color w:val="auto"/>
                <w:sz w:val="18"/>
                <w:szCs w:val="18"/>
                <w:lang w:val="es-ES"/>
              </w:rPr>
            </w:pPr>
            <w:r w:rsidRPr="00CD0AFE">
              <w:rPr>
                <w:rFonts w:cs="Calibri"/>
                <w:color w:val="auto"/>
                <w:sz w:val="18"/>
                <w:szCs w:val="18"/>
                <w:lang w:val="es-ES"/>
              </w:rPr>
              <w:t>Norma</w:t>
            </w:r>
          </w:p>
        </w:tc>
        <w:tc>
          <w:tcPr>
            <w:tcW w:w="1193" w:type="dxa"/>
            <w:shd w:val="clear" w:color="auto" w:fill="auto"/>
          </w:tcPr>
          <w:p w14:paraId="115126D4"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UNE-EN 60968:2015</w:t>
            </w:r>
          </w:p>
        </w:tc>
        <w:tc>
          <w:tcPr>
            <w:tcW w:w="3402" w:type="dxa"/>
            <w:shd w:val="clear" w:color="auto" w:fill="auto"/>
          </w:tcPr>
          <w:p w14:paraId="714B5A7F" w14:textId="77777777" w:rsidR="00E8734D" w:rsidRPr="00CD0AFE" w:rsidRDefault="00E8734D" w:rsidP="00E8734D">
            <w:pPr>
              <w:suppressAutoHyphens w:val="0"/>
              <w:rPr>
                <w:rFonts w:cs="Calibri"/>
                <w:color w:val="auto"/>
                <w:sz w:val="18"/>
                <w:szCs w:val="18"/>
              </w:rPr>
            </w:pPr>
            <w:r w:rsidRPr="00CD0AFE">
              <w:rPr>
                <w:rFonts w:cs="Calibri"/>
                <w:color w:val="auto"/>
                <w:sz w:val="18"/>
                <w:szCs w:val="18"/>
                <w:lang w:val="es-ES"/>
              </w:rPr>
              <w:t xml:space="preserve">Lámparas fluorescentes con balasto propio para servicios generales de iluminación. </w:t>
            </w:r>
            <w:r w:rsidRPr="00CD0AFE">
              <w:rPr>
                <w:rFonts w:cs="Calibri"/>
                <w:color w:val="auto"/>
                <w:sz w:val="18"/>
                <w:szCs w:val="18"/>
              </w:rPr>
              <w:t>Requisitos de seguridad.</w:t>
            </w:r>
          </w:p>
        </w:tc>
        <w:tc>
          <w:tcPr>
            <w:tcW w:w="1276" w:type="dxa"/>
            <w:shd w:val="clear" w:color="auto" w:fill="auto"/>
          </w:tcPr>
          <w:p w14:paraId="72DB9EEA"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EN 60968:2015 - Idéntico</w:t>
            </w:r>
          </w:p>
        </w:tc>
        <w:tc>
          <w:tcPr>
            <w:tcW w:w="3289" w:type="dxa"/>
            <w:shd w:val="clear" w:color="auto" w:fill="auto"/>
          </w:tcPr>
          <w:p w14:paraId="6E6C5CAF"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Self-ballasted lamps for general lighting services – Safety requirements</w:t>
            </w:r>
          </w:p>
        </w:tc>
        <w:tc>
          <w:tcPr>
            <w:tcW w:w="1389" w:type="dxa"/>
            <w:shd w:val="clear" w:color="auto" w:fill="auto"/>
          </w:tcPr>
          <w:p w14:paraId="4E2C9225"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IEC 60968:2015 - Modificación</w:t>
            </w:r>
          </w:p>
          <w:p w14:paraId="1EEF76ED"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IEC 60968:2015/COR1:2015 - Modificación</w:t>
            </w:r>
          </w:p>
        </w:tc>
        <w:tc>
          <w:tcPr>
            <w:tcW w:w="2896" w:type="dxa"/>
            <w:shd w:val="clear" w:color="auto" w:fill="auto"/>
          </w:tcPr>
          <w:p w14:paraId="63B221A3"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Self-ballasted fluorescent lamps for general lighting services - Safety requirements</w:t>
            </w:r>
          </w:p>
        </w:tc>
      </w:tr>
      <w:tr w:rsidR="00E8734D" w:rsidRPr="00E8734D" w14:paraId="593B91C6" w14:textId="77777777" w:rsidTr="00E8734D">
        <w:trPr>
          <w:cantSplit/>
          <w:trHeight w:val="1134"/>
        </w:trPr>
        <w:tc>
          <w:tcPr>
            <w:tcW w:w="503" w:type="dxa"/>
            <w:tcBorders>
              <w:bottom w:val="dashSmallGap" w:sz="4" w:space="0" w:color="auto"/>
            </w:tcBorders>
            <w:shd w:val="clear" w:color="auto" w:fill="DEEAF6"/>
            <w:textDirection w:val="btLr"/>
          </w:tcPr>
          <w:p w14:paraId="688A9CB0" w14:textId="77777777" w:rsidR="00E8734D" w:rsidRPr="00CD0AFE" w:rsidRDefault="00E8734D" w:rsidP="00E8734D">
            <w:pPr>
              <w:suppressAutoHyphens w:val="0"/>
              <w:ind w:left="113" w:right="113"/>
              <w:jc w:val="center"/>
              <w:rPr>
                <w:rFonts w:cs="Calibri"/>
                <w:color w:val="auto"/>
                <w:sz w:val="18"/>
                <w:szCs w:val="18"/>
                <w:lang w:val="es-ES"/>
              </w:rPr>
            </w:pPr>
            <w:r w:rsidRPr="00CD0AFE">
              <w:rPr>
                <w:rFonts w:cs="Calibri"/>
                <w:color w:val="auto"/>
                <w:sz w:val="18"/>
                <w:szCs w:val="18"/>
                <w:lang w:val="es-ES"/>
              </w:rPr>
              <w:t>Norma</w:t>
            </w:r>
          </w:p>
        </w:tc>
        <w:tc>
          <w:tcPr>
            <w:tcW w:w="1193" w:type="dxa"/>
            <w:tcBorders>
              <w:bottom w:val="dashSmallGap" w:sz="4" w:space="0" w:color="auto"/>
            </w:tcBorders>
            <w:shd w:val="clear" w:color="auto" w:fill="DEEAF6"/>
          </w:tcPr>
          <w:p w14:paraId="28A9F01E"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UNE-EN 60081:1999</w:t>
            </w:r>
          </w:p>
        </w:tc>
        <w:tc>
          <w:tcPr>
            <w:tcW w:w="3402" w:type="dxa"/>
            <w:tcBorders>
              <w:bottom w:val="dashSmallGap" w:sz="4" w:space="0" w:color="auto"/>
            </w:tcBorders>
            <w:shd w:val="clear" w:color="auto" w:fill="DEEAF6"/>
          </w:tcPr>
          <w:p w14:paraId="1A6D831F"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Double-capped fluorescent lamps - Performance specifications</w:t>
            </w:r>
          </w:p>
        </w:tc>
        <w:tc>
          <w:tcPr>
            <w:tcW w:w="1276" w:type="dxa"/>
            <w:tcBorders>
              <w:bottom w:val="dashSmallGap" w:sz="4" w:space="0" w:color="auto"/>
            </w:tcBorders>
            <w:shd w:val="clear" w:color="auto" w:fill="DEEAF6"/>
          </w:tcPr>
          <w:p w14:paraId="764BF607"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EN 60081:1998- Idéntico</w:t>
            </w:r>
          </w:p>
        </w:tc>
        <w:tc>
          <w:tcPr>
            <w:tcW w:w="3289" w:type="dxa"/>
            <w:tcBorders>
              <w:bottom w:val="dashSmallGap" w:sz="4" w:space="0" w:color="auto"/>
            </w:tcBorders>
            <w:shd w:val="clear" w:color="auto" w:fill="DEEAF6"/>
          </w:tcPr>
          <w:p w14:paraId="5B2A6C78"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Double-capped fluorescent lamps — Performance specifications</w:t>
            </w:r>
          </w:p>
        </w:tc>
        <w:tc>
          <w:tcPr>
            <w:tcW w:w="1389" w:type="dxa"/>
            <w:tcBorders>
              <w:bottom w:val="dashSmallGap" w:sz="4" w:space="0" w:color="auto"/>
            </w:tcBorders>
            <w:shd w:val="clear" w:color="auto" w:fill="DEEAF6"/>
          </w:tcPr>
          <w:p w14:paraId="0590103D"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IEC 60081:1997 - Idéntico</w:t>
            </w:r>
          </w:p>
        </w:tc>
        <w:tc>
          <w:tcPr>
            <w:tcW w:w="2896" w:type="dxa"/>
            <w:tcBorders>
              <w:bottom w:val="dashSmallGap" w:sz="4" w:space="0" w:color="auto"/>
            </w:tcBorders>
            <w:shd w:val="clear" w:color="auto" w:fill="DEEAF6"/>
          </w:tcPr>
          <w:p w14:paraId="02CBA312"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Double-capped fluorescent lamps - Performance specifications</w:t>
            </w:r>
          </w:p>
        </w:tc>
      </w:tr>
      <w:tr w:rsidR="00E8734D" w:rsidRPr="00E8734D" w14:paraId="3EDBADAF" w14:textId="77777777" w:rsidTr="00E8734D">
        <w:trPr>
          <w:cantSplit/>
          <w:trHeight w:val="1134"/>
        </w:trPr>
        <w:tc>
          <w:tcPr>
            <w:tcW w:w="503" w:type="dxa"/>
            <w:tcBorders>
              <w:top w:val="dashSmallGap" w:sz="4" w:space="0" w:color="auto"/>
              <w:bottom w:val="single" w:sz="4" w:space="0" w:color="auto"/>
            </w:tcBorders>
            <w:shd w:val="clear" w:color="auto" w:fill="DEEAF6"/>
            <w:textDirection w:val="btLr"/>
          </w:tcPr>
          <w:p w14:paraId="5D544786" w14:textId="77777777" w:rsidR="00E8734D" w:rsidRPr="00CD0AFE" w:rsidRDefault="00E8734D" w:rsidP="00E8734D">
            <w:pPr>
              <w:suppressAutoHyphens w:val="0"/>
              <w:ind w:left="113" w:right="113"/>
              <w:jc w:val="center"/>
              <w:rPr>
                <w:rFonts w:cs="Calibri"/>
                <w:color w:val="auto"/>
                <w:sz w:val="18"/>
                <w:szCs w:val="18"/>
                <w:lang w:val="es-ES"/>
              </w:rPr>
            </w:pPr>
            <w:r w:rsidRPr="00CD0AFE">
              <w:rPr>
                <w:rFonts w:cs="Calibri"/>
                <w:color w:val="auto"/>
                <w:sz w:val="18"/>
                <w:szCs w:val="18"/>
                <w:lang w:val="es-ES"/>
              </w:rPr>
              <w:t>Últ. mod.</w:t>
            </w:r>
          </w:p>
        </w:tc>
        <w:tc>
          <w:tcPr>
            <w:tcW w:w="1193" w:type="dxa"/>
            <w:tcBorders>
              <w:top w:val="dashSmallGap" w:sz="4" w:space="0" w:color="auto"/>
              <w:bottom w:val="single" w:sz="4" w:space="0" w:color="auto"/>
            </w:tcBorders>
            <w:shd w:val="clear" w:color="auto" w:fill="DEEAF6"/>
          </w:tcPr>
          <w:p w14:paraId="0548D46C"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UNE-EN 60081:1998/A6:2017</w:t>
            </w:r>
          </w:p>
        </w:tc>
        <w:tc>
          <w:tcPr>
            <w:tcW w:w="3402" w:type="dxa"/>
            <w:tcBorders>
              <w:top w:val="dashSmallGap" w:sz="4" w:space="0" w:color="auto"/>
              <w:bottom w:val="single" w:sz="4" w:space="0" w:color="auto"/>
            </w:tcBorders>
            <w:shd w:val="clear" w:color="auto" w:fill="DEEAF6"/>
          </w:tcPr>
          <w:p w14:paraId="5609E68F"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Double-capped fluorescent lamps - Performance specifications</w:t>
            </w:r>
          </w:p>
        </w:tc>
        <w:tc>
          <w:tcPr>
            <w:tcW w:w="1276" w:type="dxa"/>
            <w:tcBorders>
              <w:top w:val="dashSmallGap" w:sz="4" w:space="0" w:color="auto"/>
              <w:bottom w:val="single" w:sz="4" w:space="0" w:color="auto"/>
            </w:tcBorders>
            <w:shd w:val="clear" w:color="auto" w:fill="DEEAF6"/>
          </w:tcPr>
          <w:p w14:paraId="54DEE60C"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EN 60081:1998/A6:2017 - Idéntico</w:t>
            </w:r>
          </w:p>
        </w:tc>
        <w:tc>
          <w:tcPr>
            <w:tcW w:w="3289" w:type="dxa"/>
            <w:tcBorders>
              <w:top w:val="dashSmallGap" w:sz="4" w:space="0" w:color="auto"/>
              <w:bottom w:val="single" w:sz="4" w:space="0" w:color="auto"/>
            </w:tcBorders>
            <w:shd w:val="clear" w:color="auto" w:fill="DEEAF6"/>
          </w:tcPr>
          <w:p w14:paraId="062C3BFF"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Double-capped fluorescent lamps - Performance specifications</w:t>
            </w:r>
          </w:p>
        </w:tc>
        <w:tc>
          <w:tcPr>
            <w:tcW w:w="1389" w:type="dxa"/>
            <w:tcBorders>
              <w:top w:val="dashSmallGap" w:sz="4" w:space="0" w:color="auto"/>
              <w:bottom w:val="single" w:sz="4" w:space="0" w:color="auto"/>
            </w:tcBorders>
            <w:shd w:val="clear" w:color="auto" w:fill="DEEAF6"/>
          </w:tcPr>
          <w:p w14:paraId="6A064CBF"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IEC 60081:1997/A6:2017 - Modificación</w:t>
            </w:r>
          </w:p>
        </w:tc>
        <w:tc>
          <w:tcPr>
            <w:tcW w:w="2896" w:type="dxa"/>
            <w:tcBorders>
              <w:top w:val="dashSmallGap" w:sz="4" w:space="0" w:color="auto"/>
              <w:bottom w:val="single" w:sz="4" w:space="0" w:color="auto"/>
            </w:tcBorders>
            <w:shd w:val="clear" w:color="auto" w:fill="DEEAF6"/>
          </w:tcPr>
          <w:p w14:paraId="0EBB348D"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Double-capped fluorescent lamps - Performance specifications</w:t>
            </w:r>
          </w:p>
        </w:tc>
      </w:tr>
      <w:tr w:rsidR="00E8734D" w:rsidRPr="00E8734D" w14:paraId="0ECC6232" w14:textId="77777777" w:rsidTr="00E8734D">
        <w:trPr>
          <w:cantSplit/>
          <w:trHeight w:val="1134"/>
        </w:trPr>
        <w:tc>
          <w:tcPr>
            <w:tcW w:w="503" w:type="dxa"/>
            <w:tcBorders>
              <w:bottom w:val="dashSmallGap" w:sz="4" w:space="0" w:color="auto"/>
            </w:tcBorders>
            <w:shd w:val="clear" w:color="auto" w:fill="auto"/>
            <w:textDirection w:val="btLr"/>
          </w:tcPr>
          <w:p w14:paraId="0CA2EFB7" w14:textId="77777777" w:rsidR="00E8734D" w:rsidRPr="00CD0AFE" w:rsidRDefault="00E8734D" w:rsidP="00E8734D">
            <w:pPr>
              <w:suppressAutoHyphens w:val="0"/>
              <w:ind w:left="113" w:right="113"/>
              <w:jc w:val="center"/>
              <w:rPr>
                <w:rFonts w:cs="Calibri"/>
                <w:color w:val="auto"/>
                <w:sz w:val="18"/>
                <w:szCs w:val="18"/>
                <w:lang w:val="es-ES"/>
              </w:rPr>
            </w:pPr>
            <w:r w:rsidRPr="00CD0AFE">
              <w:rPr>
                <w:rFonts w:cs="Calibri"/>
                <w:color w:val="auto"/>
                <w:sz w:val="18"/>
                <w:szCs w:val="18"/>
                <w:lang w:val="es-ES"/>
              </w:rPr>
              <w:t>Norma</w:t>
            </w:r>
          </w:p>
        </w:tc>
        <w:tc>
          <w:tcPr>
            <w:tcW w:w="1193" w:type="dxa"/>
            <w:tcBorders>
              <w:bottom w:val="dashSmallGap" w:sz="4" w:space="0" w:color="auto"/>
            </w:tcBorders>
            <w:shd w:val="clear" w:color="auto" w:fill="auto"/>
          </w:tcPr>
          <w:p w14:paraId="61D2EA7D"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UNE-EN 61195:2001</w:t>
            </w:r>
          </w:p>
        </w:tc>
        <w:tc>
          <w:tcPr>
            <w:tcW w:w="3402" w:type="dxa"/>
            <w:tcBorders>
              <w:bottom w:val="dashSmallGap" w:sz="4" w:space="0" w:color="auto"/>
            </w:tcBorders>
            <w:shd w:val="clear" w:color="auto" w:fill="auto"/>
          </w:tcPr>
          <w:p w14:paraId="737AA149"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Lámparas fluorescentes de doble casquillo. Requisitos de seguridad.</w:t>
            </w:r>
          </w:p>
        </w:tc>
        <w:tc>
          <w:tcPr>
            <w:tcW w:w="1276" w:type="dxa"/>
            <w:tcBorders>
              <w:bottom w:val="dashSmallGap" w:sz="4" w:space="0" w:color="auto"/>
            </w:tcBorders>
            <w:shd w:val="clear" w:color="auto" w:fill="auto"/>
          </w:tcPr>
          <w:p w14:paraId="428A7298"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EN 61195:1999 - Idéntico</w:t>
            </w:r>
          </w:p>
        </w:tc>
        <w:tc>
          <w:tcPr>
            <w:tcW w:w="3289" w:type="dxa"/>
            <w:tcBorders>
              <w:bottom w:val="dashSmallGap" w:sz="4" w:space="0" w:color="auto"/>
            </w:tcBorders>
            <w:shd w:val="clear" w:color="auto" w:fill="auto"/>
          </w:tcPr>
          <w:p w14:paraId="545AFB79"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Double-capped fluorescent lamps - Safety specifications.</w:t>
            </w:r>
          </w:p>
        </w:tc>
        <w:tc>
          <w:tcPr>
            <w:tcW w:w="1389" w:type="dxa"/>
            <w:tcBorders>
              <w:bottom w:val="dashSmallGap" w:sz="4" w:space="0" w:color="auto"/>
            </w:tcBorders>
            <w:shd w:val="clear" w:color="auto" w:fill="auto"/>
          </w:tcPr>
          <w:p w14:paraId="416E2B05"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IEC 61195:1999 - Idéntico</w:t>
            </w:r>
          </w:p>
          <w:p w14:paraId="3A754565"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IEC 61195:1999 CORR.:2000 - Idéntico</w:t>
            </w:r>
          </w:p>
        </w:tc>
        <w:tc>
          <w:tcPr>
            <w:tcW w:w="2896" w:type="dxa"/>
            <w:tcBorders>
              <w:bottom w:val="dashSmallGap" w:sz="4" w:space="0" w:color="auto"/>
            </w:tcBorders>
            <w:shd w:val="clear" w:color="auto" w:fill="auto"/>
          </w:tcPr>
          <w:p w14:paraId="3FF400B8"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Double-capped fluorescent lamps - Safety specifications</w:t>
            </w:r>
          </w:p>
        </w:tc>
      </w:tr>
      <w:tr w:rsidR="00E8734D" w:rsidRPr="00E8734D" w14:paraId="5F581AC9" w14:textId="77777777" w:rsidTr="00E8734D">
        <w:trPr>
          <w:cantSplit/>
          <w:trHeight w:val="1134"/>
        </w:trPr>
        <w:tc>
          <w:tcPr>
            <w:tcW w:w="503" w:type="dxa"/>
            <w:tcBorders>
              <w:top w:val="dashSmallGap" w:sz="4" w:space="0" w:color="auto"/>
              <w:bottom w:val="single" w:sz="4" w:space="0" w:color="auto"/>
            </w:tcBorders>
            <w:shd w:val="clear" w:color="auto" w:fill="auto"/>
            <w:textDirection w:val="btLr"/>
          </w:tcPr>
          <w:p w14:paraId="51DFD95A" w14:textId="77777777" w:rsidR="00E8734D" w:rsidRPr="00CD0AFE" w:rsidRDefault="00E8734D" w:rsidP="00E8734D">
            <w:pPr>
              <w:suppressAutoHyphens w:val="0"/>
              <w:ind w:left="113" w:right="113"/>
              <w:jc w:val="center"/>
              <w:rPr>
                <w:rFonts w:cs="Calibri"/>
                <w:color w:val="auto"/>
                <w:sz w:val="18"/>
                <w:szCs w:val="18"/>
                <w:lang w:val="es-ES"/>
              </w:rPr>
            </w:pPr>
            <w:r w:rsidRPr="00CD0AFE">
              <w:rPr>
                <w:rFonts w:cs="Calibri"/>
                <w:color w:val="auto"/>
                <w:sz w:val="18"/>
                <w:szCs w:val="18"/>
                <w:lang w:val="es-ES"/>
              </w:rPr>
              <w:t>Últ. mod.</w:t>
            </w:r>
          </w:p>
        </w:tc>
        <w:tc>
          <w:tcPr>
            <w:tcW w:w="1193" w:type="dxa"/>
            <w:tcBorders>
              <w:top w:val="dashSmallGap" w:sz="4" w:space="0" w:color="auto"/>
              <w:bottom w:val="single" w:sz="4" w:space="0" w:color="auto"/>
            </w:tcBorders>
            <w:shd w:val="clear" w:color="auto" w:fill="auto"/>
          </w:tcPr>
          <w:p w14:paraId="13A22C96"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UNE-EN 61195:2001/A2:2015</w:t>
            </w:r>
          </w:p>
        </w:tc>
        <w:tc>
          <w:tcPr>
            <w:tcW w:w="3402" w:type="dxa"/>
            <w:tcBorders>
              <w:top w:val="dashSmallGap" w:sz="4" w:space="0" w:color="auto"/>
              <w:bottom w:val="single" w:sz="4" w:space="0" w:color="auto"/>
            </w:tcBorders>
            <w:shd w:val="clear" w:color="auto" w:fill="auto"/>
          </w:tcPr>
          <w:p w14:paraId="4F9536A1"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Lámparas fluorescentes de doble casquillo. Requisitos de seguridad.</w:t>
            </w:r>
          </w:p>
        </w:tc>
        <w:tc>
          <w:tcPr>
            <w:tcW w:w="1276" w:type="dxa"/>
            <w:tcBorders>
              <w:top w:val="dashSmallGap" w:sz="4" w:space="0" w:color="auto"/>
              <w:bottom w:val="single" w:sz="4" w:space="0" w:color="auto"/>
            </w:tcBorders>
            <w:shd w:val="clear" w:color="auto" w:fill="auto"/>
          </w:tcPr>
          <w:p w14:paraId="2A5DAAE9" w14:textId="77777777" w:rsidR="00E8734D" w:rsidRPr="00CD0AFE" w:rsidRDefault="00E8734D" w:rsidP="00E8734D">
            <w:pPr>
              <w:suppressAutoHyphens w:val="0"/>
              <w:rPr>
                <w:rFonts w:cs="Calibri"/>
                <w:color w:val="auto"/>
                <w:sz w:val="18"/>
                <w:szCs w:val="18"/>
              </w:rPr>
            </w:pPr>
            <w:r w:rsidRPr="00CD0AFE">
              <w:rPr>
                <w:rFonts w:cs="Calibri"/>
                <w:color w:val="auto"/>
                <w:sz w:val="18"/>
                <w:szCs w:val="18"/>
                <w:lang w:val="es-ES"/>
              </w:rPr>
              <w:t>EN 61195:1999/A2:2015 - Idént</w:t>
            </w:r>
            <w:r w:rsidRPr="00CD0AFE">
              <w:rPr>
                <w:rFonts w:cs="Calibri"/>
                <w:color w:val="auto"/>
                <w:sz w:val="18"/>
                <w:szCs w:val="18"/>
              </w:rPr>
              <w:t>ico</w:t>
            </w:r>
          </w:p>
        </w:tc>
        <w:tc>
          <w:tcPr>
            <w:tcW w:w="3289" w:type="dxa"/>
            <w:tcBorders>
              <w:top w:val="dashSmallGap" w:sz="4" w:space="0" w:color="auto"/>
              <w:bottom w:val="single" w:sz="4" w:space="0" w:color="auto"/>
            </w:tcBorders>
            <w:shd w:val="clear" w:color="auto" w:fill="auto"/>
          </w:tcPr>
          <w:p w14:paraId="6672801D"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Double-capped fluorescent lamps - Safety specifications</w:t>
            </w:r>
          </w:p>
        </w:tc>
        <w:tc>
          <w:tcPr>
            <w:tcW w:w="1389" w:type="dxa"/>
            <w:tcBorders>
              <w:top w:val="dashSmallGap" w:sz="4" w:space="0" w:color="auto"/>
              <w:bottom w:val="single" w:sz="4" w:space="0" w:color="auto"/>
            </w:tcBorders>
            <w:shd w:val="clear" w:color="auto" w:fill="auto"/>
          </w:tcPr>
          <w:p w14:paraId="51A9BFB6"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IEC 61195:1999/A2:2014 - Idéntico</w:t>
            </w:r>
          </w:p>
        </w:tc>
        <w:tc>
          <w:tcPr>
            <w:tcW w:w="2896" w:type="dxa"/>
            <w:tcBorders>
              <w:top w:val="dashSmallGap" w:sz="4" w:space="0" w:color="auto"/>
              <w:bottom w:val="single" w:sz="4" w:space="0" w:color="auto"/>
            </w:tcBorders>
            <w:shd w:val="clear" w:color="auto" w:fill="auto"/>
          </w:tcPr>
          <w:p w14:paraId="782C8786"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Double-capped fluorescent lamps - Safety specifications</w:t>
            </w:r>
          </w:p>
        </w:tc>
      </w:tr>
      <w:tr w:rsidR="00E8734D" w:rsidRPr="00E8734D" w14:paraId="0552243B" w14:textId="77777777" w:rsidTr="00E8734D">
        <w:trPr>
          <w:cantSplit/>
          <w:trHeight w:val="1134"/>
        </w:trPr>
        <w:tc>
          <w:tcPr>
            <w:tcW w:w="503" w:type="dxa"/>
            <w:tcBorders>
              <w:bottom w:val="dashSmallGap" w:sz="4" w:space="0" w:color="auto"/>
            </w:tcBorders>
            <w:shd w:val="clear" w:color="auto" w:fill="DEEAF6"/>
            <w:textDirection w:val="btLr"/>
          </w:tcPr>
          <w:p w14:paraId="52087BA4" w14:textId="77777777" w:rsidR="00E8734D" w:rsidRPr="00CD0AFE" w:rsidRDefault="00E8734D" w:rsidP="00E8734D">
            <w:pPr>
              <w:suppressAutoHyphens w:val="0"/>
              <w:ind w:left="113" w:right="113"/>
              <w:jc w:val="center"/>
              <w:rPr>
                <w:rFonts w:cs="Calibri"/>
                <w:color w:val="auto"/>
                <w:sz w:val="18"/>
                <w:szCs w:val="18"/>
                <w:lang w:val="es-ES"/>
              </w:rPr>
            </w:pPr>
            <w:r w:rsidRPr="00CD0AFE">
              <w:rPr>
                <w:rFonts w:cs="Calibri"/>
                <w:color w:val="auto"/>
                <w:sz w:val="18"/>
                <w:szCs w:val="18"/>
                <w:lang w:val="es-ES"/>
              </w:rPr>
              <w:t>Norma</w:t>
            </w:r>
          </w:p>
        </w:tc>
        <w:tc>
          <w:tcPr>
            <w:tcW w:w="1193" w:type="dxa"/>
            <w:tcBorders>
              <w:bottom w:val="dashSmallGap" w:sz="4" w:space="0" w:color="auto"/>
            </w:tcBorders>
            <w:shd w:val="clear" w:color="auto" w:fill="DEEAF6"/>
          </w:tcPr>
          <w:p w14:paraId="2A7C2EA0"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UNE-EN 60901:1998</w:t>
            </w:r>
          </w:p>
        </w:tc>
        <w:tc>
          <w:tcPr>
            <w:tcW w:w="3402" w:type="dxa"/>
            <w:tcBorders>
              <w:bottom w:val="dashSmallGap" w:sz="4" w:space="0" w:color="auto"/>
            </w:tcBorders>
            <w:shd w:val="clear" w:color="auto" w:fill="DEEAF6"/>
          </w:tcPr>
          <w:p w14:paraId="7915871D"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Single-capped fluorescent lamps - Performance specifications</w:t>
            </w:r>
          </w:p>
        </w:tc>
        <w:tc>
          <w:tcPr>
            <w:tcW w:w="1276" w:type="dxa"/>
            <w:tcBorders>
              <w:bottom w:val="dashSmallGap" w:sz="4" w:space="0" w:color="auto"/>
            </w:tcBorders>
            <w:shd w:val="clear" w:color="auto" w:fill="DEEAF6"/>
          </w:tcPr>
          <w:p w14:paraId="49ED5F51"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EN 60901:1996 - Idéntico</w:t>
            </w:r>
          </w:p>
        </w:tc>
        <w:tc>
          <w:tcPr>
            <w:tcW w:w="3289" w:type="dxa"/>
            <w:tcBorders>
              <w:bottom w:val="dashSmallGap" w:sz="4" w:space="0" w:color="auto"/>
            </w:tcBorders>
            <w:shd w:val="clear" w:color="auto" w:fill="DEEAF6"/>
          </w:tcPr>
          <w:p w14:paraId="326E82F7"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Single-capped fluorescent lamps — Performance specifications</w:t>
            </w:r>
          </w:p>
        </w:tc>
        <w:tc>
          <w:tcPr>
            <w:tcW w:w="1389" w:type="dxa"/>
            <w:tcBorders>
              <w:bottom w:val="dashSmallGap" w:sz="4" w:space="0" w:color="auto"/>
            </w:tcBorders>
            <w:shd w:val="clear" w:color="auto" w:fill="DEEAF6"/>
          </w:tcPr>
          <w:p w14:paraId="54A2FDB8"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IEC 60901:1996 - Idéntico</w:t>
            </w:r>
          </w:p>
        </w:tc>
        <w:tc>
          <w:tcPr>
            <w:tcW w:w="2896" w:type="dxa"/>
            <w:tcBorders>
              <w:bottom w:val="dashSmallGap" w:sz="4" w:space="0" w:color="auto"/>
            </w:tcBorders>
            <w:shd w:val="clear" w:color="auto" w:fill="DEEAF6"/>
          </w:tcPr>
          <w:p w14:paraId="0BEC5A55"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Single-capped fluorescent lamps - Performance specifications</w:t>
            </w:r>
          </w:p>
        </w:tc>
      </w:tr>
      <w:tr w:rsidR="00E8734D" w:rsidRPr="00E8734D" w14:paraId="29D59509" w14:textId="77777777" w:rsidTr="00E8734D">
        <w:trPr>
          <w:cantSplit/>
          <w:trHeight w:val="1134"/>
        </w:trPr>
        <w:tc>
          <w:tcPr>
            <w:tcW w:w="503" w:type="dxa"/>
            <w:tcBorders>
              <w:top w:val="dashSmallGap" w:sz="4" w:space="0" w:color="auto"/>
              <w:bottom w:val="single" w:sz="4" w:space="0" w:color="auto"/>
            </w:tcBorders>
            <w:shd w:val="clear" w:color="auto" w:fill="DEEAF6"/>
            <w:textDirection w:val="btLr"/>
          </w:tcPr>
          <w:p w14:paraId="3B44AB7F" w14:textId="77777777" w:rsidR="00E8734D" w:rsidRPr="00CD0AFE" w:rsidRDefault="00E8734D" w:rsidP="00E8734D">
            <w:pPr>
              <w:suppressAutoHyphens w:val="0"/>
              <w:ind w:left="113" w:right="113"/>
              <w:jc w:val="center"/>
              <w:rPr>
                <w:rFonts w:cs="Calibri"/>
                <w:color w:val="auto"/>
                <w:sz w:val="18"/>
                <w:szCs w:val="18"/>
                <w:lang w:val="es-ES"/>
              </w:rPr>
            </w:pPr>
            <w:r w:rsidRPr="00CD0AFE">
              <w:rPr>
                <w:rFonts w:cs="Calibri"/>
                <w:color w:val="auto"/>
                <w:sz w:val="18"/>
                <w:szCs w:val="18"/>
                <w:lang w:val="es-ES"/>
              </w:rPr>
              <w:t>Últ. mod.</w:t>
            </w:r>
          </w:p>
        </w:tc>
        <w:tc>
          <w:tcPr>
            <w:tcW w:w="1193" w:type="dxa"/>
            <w:tcBorders>
              <w:top w:val="dashSmallGap" w:sz="4" w:space="0" w:color="auto"/>
              <w:bottom w:val="single" w:sz="4" w:space="0" w:color="auto"/>
            </w:tcBorders>
            <w:shd w:val="clear" w:color="auto" w:fill="DEEAF6"/>
          </w:tcPr>
          <w:p w14:paraId="54740C97"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UNE-EN 60901:1996/A6:2017</w:t>
            </w:r>
          </w:p>
        </w:tc>
        <w:tc>
          <w:tcPr>
            <w:tcW w:w="3402" w:type="dxa"/>
            <w:tcBorders>
              <w:top w:val="dashSmallGap" w:sz="4" w:space="0" w:color="auto"/>
              <w:bottom w:val="single" w:sz="4" w:space="0" w:color="auto"/>
            </w:tcBorders>
            <w:shd w:val="clear" w:color="auto" w:fill="DEEAF6"/>
          </w:tcPr>
          <w:p w14:paraId="0313D473"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Single-capped fluorescent lamps - Performance specifications</w:t>
            </w:r>
          </w:p>
        </w:tc>
        <w:tc>
          <w:tcPr>
            <w:tcW w:w="1276" w:type="dxa"/>
            <w:tcBorders>
              <w:top w:val="dashSmallGap" w:sz="4" w:space="0" w:color="auto"/>
              <w:bottom w:val="single" w:sz="4" w:space="0" w:color="auto"/>
            </w:tcBorders>
            <w:shd w:val="clear" w:color="auto" w:fill="DEEAF6"/>
          </w:tcPr>
          <w:p w14:paraId="2ACA0038"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EN 60901:1996/A6:2017 - Idéntico</w:t>
            </w:r>
          </w:p>
        </w:tc>
        <w:tc>
          <w:tcPr>
            <w:tcW w:w="3289" w:type="dxa"/>
            <w:tcBorders>
              <w:top w:val="dashSmallGap" w:sz="4" w:space="0" w:color="auto"/>
              <w:bottom w:val="single" w:sz="4" w:space="0" w:color="auto"/>
            </w:tcBorders>
            <w:shd w:val="clear" w:color="auto" w:fill="DEEAF6"/>
          </w:tcPr>
          <w:p w14:paraId="22771FEB"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Single-capped fluorescent lamps — Performance specifications</w:t>
            </w:r>
          </w:p>
        </w:tc>
        <w:tc>
          <w:tcPr>
            <w:tcW w:w="1389" w:type="dxa"/>
            <w:tcBorders>
              <w:top w:val="dashSmallGap" w:sz="4" w:space="0" w:color="auto"/>
              <w:bottom w:val="single" w:sz="4" w:space="0" w:color="auto"/>
            </w:tcBorders>
            <w:shd w:val="clear" w:color="auto" w:fill="DEEAF6"/>
          </w:tcPr>
          <w:p w14:paraId="4F102DFF"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IEC 60901:1996/A6:2014 - Modificación</w:t>
            </w:r>
          </w:p>
        </w:tc>
        <w:tc>
          <w:tcPr>
            <w:tcW w:w="2896" w:type="dxa"/>
            <w:tcBorders>
              <w:top w:val="dashSmallGap" w:sz="4" w:space="0" w:color="auto"/>
              <w:bottom w:val="single" w:sz="4" w:space="0" w:color="auto"/>
            </w:tcBorders>
            <w:shd w:val="clear" w:color="auto" w:fill="DEEAF6"/>
          </w:tcPr>
          <w:p w14:paraId="3AC16F3F"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Single-capped fluorescent lamps - Performance specifications</w:t>
            </w:r>
          </w:p>
        </w:tc>
      </w:tr>
      <w:tr w:rsidR="00E8734D" w:rsidRPr="00E8734D" w14:paraId="3EEC0C36" w14:textId="77777777" w:rsidTr="00E8734D">
        <w:trPr>
          <w:cantSplit/>
          <w:trHeight w:val="1134"/>
        </w:trPr>
        <w:tc>
          <w:tcPr>
            <w:tcW w:w="503" w:type="dxa"/>
            <w:tcBorders>
              <w:bottom w:val="dashSmallGap" w:sz="4" w:space="0" w:color="auto"/>
            </w:tcBorders>
            <w:shd w:val="clear" w:color="auto" w:fill="auto"/>
            <w:textDirection w:val="btLr"/>
          </w:tcPr>
          <w:p w14:paraId="01C34940" w14:textId="77777777" w:rsidR="00E8734D" w:rsidRPr="00CD0AFE" w:rsidRDefault="00E8734D" w:rsidP="00E8734D">
            <w:pPr>
              <w:suppressAutoHyphens w:val="0"/>
              <w:ind w:left="113" w:right="113"/>
              <w:jc w:val="center"/>
              <w:rPr>
                <w:rFonts w:cs="Calibri"/>
                <w:color w:val="auto"/>
                <w:sz w:val="18"/>
                <w:szCs w:val="18"/>
                <w:lang w:val="es-ES"/>
              </w:rPr>
            </w:pPr>
            <w:r w:rsidRPr="00CD0AFE">
              <w:rPr>
                <w:rFonts w:cs="Calibri"/>
                <w:color w:val="auto"/>
                <w:sz w:val="18"/>
                <w:szCs w:val="18"/>
                <w:lang w:val="es-ES"/>
              </w:rPr>
              <w:t>Norma</w:t>
            </w:r>
          </w:p>
        </w:tc>
        <w:tc>
          <w:tcPr>
            <w:tcW w:w="1193" w:type="dxa"/>
            <w:tcBorders>
              <w:bottom w:val="dashSmallGap" w:sz="4" w:space="0" w:color="auto"/>
            </w:tcBorders>
            <w:shd w:val="clear" w:color="auto" w:fill="auto"/>
          </w:tcPr>
          <w:p w14:paraId="3BDDBA99"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UNE-EN 61199:2012</w:t>
            </w:r>
          </w:p>
        </w:tc>
        <w:tc>
          <w:tcPr>
            <w:tcW w:w="3402" w:type="dxa"/>
            <w:tcBorders>
              <w:bottom w:val="dashSmallGap" w:sz="4" w:space="0" w:color="auto"/>
            </w:tcBorders>
            <w:shd w:val="clear" w:color="auto" w:fill="auto"/>
          </w:tcPr>
          <w:p w14:paraId="444C48B7"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Lámparas fluorescentes de casquillo único. Requisitos de seguridad.</w:t>
            </w:r>
          </w:p>
        </w:tc>
        <w:tc>
          <w:tcPr>
            <w:tcW w:w="1276" w:type="dxa"/>
            <w:tcBorders>
              <w:bottom w:val="dashSmallGap" w:sz="4" w:space="0" w:color="auto"/>
            </w:tcBorders>
            <w:shd w:val="clear" w:color="auto" w:fill="auto"/>
          </w:tcPr>
          <w:p w14:paraId="3D8E69C0"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EN 61199:2011 - Idéntico</w:t>
            </w:r>
          </w:p>
        </w:tc>
        <w:tc>
          <w:tcPr>
            <w:tcW w:w="3289" w:type="dxa"/>
            <w:tcBorders>
              <w:bottom w:val="dashSmallGap" w:sz="4" w:space="0" w:color="auto"/>
            </w:tcBorders>
            <w:shd w:val="clear" w:color="auto" w:fill="auto"/>
          </w:tcPr>
          <w:p w14:paraId="1B7BB95A"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Single-capped fluorescent lamps - Safety specifications</w:t>
            </w:r>
          </w:p>
        </w:tc>
        <w:tc>
          <w:tcPr>
            <w:tcW w:w="1389" w:type="dxa"/>
            <w:tcBorders>
              <w:bottom w:val="dashSmallGap" w:sz="4" w:space="0" w:color="auto"/>
            </w:tcBorders>
            <w:shd w:val="clear" w:color="auto" w:fill="auto"/>
          </w:tcPr>
          <w:p w14:paraId="748279EC"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IEC 61199:2011 - Idéntico</w:t>
            </w:r>
          </w:p>
        </w:tc>
        <w:tc>
          <w:tcPr>
            <w:tcW w:w="2896" w:type="dxa"/>
            <w:tcBorders>
              <w:bottom w:val="dashSmallGap" w:sz="4" w:space="0" w:color="auto"/>
            </w:tcBorders>
            <w:shd w:val="clear" w:color="auto" w:fill="auto"/>
          </w:tcPr>
          <w:p w14:paraId="4C8C56D5"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Single-capped fluorescent lamps - Safety specifications</w:t>
            </w:r>
          </w:p>
        </w:tc>
      </w:tr>
      <w:tr w:rsidR="00E8734D" w:rsidRPr="00E8734D" w14:paraId="304B0DA0" w14:textId="77777777" w:rsidTr="00E8734D">
        <w:trPr>
          <w:cantSplit/>
          <w:trHeight w:val="1134"/>
        </w:trPr>
        <w:tc>
          <w:tcPr>
            <w:tcW w:w="503" w:type="dxa"/>
            <w:tcBorders>
              <w:top w:val="dashSmallGap" w:sz="4" w:space="0" w:color="auto"/>
              <w:bottom w:val="single" w:sz="4" w:space="0" w:color="auto"/>
            </w:tcBorders>
            <w:shd w:val="clear" w:color="auto" w:fill="auto"/>
            <w:textDirection w:val="btLr"/>
          </w:tcPr>
          <w:p w14:paraId="009D3D80" w14:textId="77777777" w:rsidR="00E8734D" w:rsidRPr="00CD0AFE" w:rsidRDefault="00E8734D" w:rsidP="00E8734D">
            <w:pPr>
              <w:suppressAutoHyphens w:val="0"/>
              <w:ind w:left="113" w:right="113"/>
              <w:jc w:val="center"/>
              <w:rPr>
                <w:rFonts w:cs="Calibri"/>
                <w:color w:val="auto"/>
                <w:sz w:val="18"/>
                <w:szCs w:val="18"/>
                <w:lang w:val="es-ES"/>
              </w:rPr>
            </w:pPr>
            <w:r w:rsidRPr="00CD0AFE">
              <w:rPr>
                <w:rFonts w:cs="Calibri"/>
                <w:color w:val="auto"/>
                <w:sz w:val="18"/>
                <w:szCs w:val="18"/>
                <w:lang w:val="es-ES"/>
              </w:rPr>
              <w:t>Últ. mod.</w:t>
            </w:r>
          </w:p>
        </w:tc>
        <w:tc>
          <w:tcPr>
            <w:tcW w:w="1193" w:type="dxa"/>
            <w:tcBorders>
              <w:top w:val="dashSmallGap" w:sz="4" w:space="0" w:color="auto"/>
              <w:bottom w:val="single" w:sz="4" w:space="0" w:color="auto"/>
            </w:tcBorders>
            <w:shd w:val="clear" w:color="auto" w:fill="auto"/>
          </w:tcPr>
          <w:p w14:paraId="2B4D0EB9"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UNE-EN 61199:2012/A2:2015</w:t>
            </w:r>
          </w:p>
        </w:tc>
        <w:tc>
          <w:tcPr>
            <w:tcW w:w="3402" w:type="dxa"/>
            <w:tcBorders>
              <w:top w:val="dashSmallGap" w:sz="4" w:space="0" w:color="auto"/>
              <w:bottom w:val="single" w:sz="4" w:space="0" w:color="auto"/>
            </w:tcBorders>
            <w:shd w:val="clear" w:color="auto" w:fill="auto"/>
          </w:tcPr>
          <w:p w14:paraId="463AA407"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Lámparas fluorescentes de casquillo único. Requisitos de seguridad.</w:t>
            </w:r>
          </w:p>
        </w:tc>
        <w:tc>
          <w:tcPr>
            <w:tcW w:w="1276" w:type="dxa"/>
            <w:tcBorders>
              <w:top w:val="dashSmallGap" w:sz="4" w:space="0" w:color="auto"/>
              <w:bottom w:val="single" w:sz="4" w:space="0" w:color="auto"/>
            </w:tcBorders>
            <w:shd w:val="clear" w:color="auto" w:fill="auto"/>
          </w:tcPr>
          <w:p w14:paraId="52B37732" w14:textId="77777777" w:rsidR="00E8734D" w:rsidRPr="00CD0AFE" w:rsidRDefault="00E8734D" w:rsidP="00E8734D">
            <w:pPr>
              <w:suppressAutoHyphens w:val="0"/>
              <w:rPr>
                <w:rFonts w:cs="Calibri"/>
                <w:color w:val="auto"/>
                <w:sz w:val="18"/>
                <w:szCs w:val="18"/>
              </w:rPr>
            </w:pPr>
            <w:r w:rsidRPr="00CD0AFE">
              <w:rPr>
                <w:rFonts w:cs="Calibri"/>
                <w:color w:val="auto"/>
                <w:sz w:val="18"/>
                <w:szCs w:val="18"/>
                <w:lang w:val="es-ES"/>
              </w:rPr>
              <w:t>EN 61199:2011/A2:2015 - Idént</w:t>
            </w:r>
            <w:r w:rsidRPr="00CD0AFE">
              <w:rPr>
                <w:rFonts w:cs="Calibri"/>
                <w:color w:val="auto"/>
                <w:sz w:val="18"/>
                <w:szCs w:val="18"/>
              </w:rPr>
              <w:t>ico</w:t>
            </w:r>
          </w:p>
        </w:tc>
        <w:tc>
          <w:tcPr>
            <w:tcW w:w="3289" w:type="dxa"/>
            <w:tcBorders>
              <w:top w:val="dashSmallGap" w:sz="4" w:space="0" w:color="auto"/>
              <w:bottom w:val="single" w:sz="4" w:space="0" w:color="auto"/>
            </w:tcBorders>
            <w:shd w:val="clear" w:color="auto" w:fill="auto"/>
          </w:tcPr>
          <w:p w14:paraId="49F0A8CF"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Single-capped fluorescent lamps - Safety specifications</w:t>
            </w:r>
          </w:p>
        </w:tc>
        <w:tc>
          <w:tcPr>
            <w:tcW w:w="1389" w:type="dxa"/>
            <w:tcBorders>
              <w:top w:val="dashSmallGap" w:sz="4" w:space="0" w:color="auto"/>
              <w:bottom w:val="single" w:sz="4" w:space="0" w:color="auto"/>
            </w:tcBorders>
            <w:shd w:val="clear" w:color="auto" w:fill="auto"/>
          </w:tcPr>
          <w:p w14:paraId="3088D967"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IEC 61199:2011/A2:2014 - Idéntico</w:t>
            </w:r>
          </w:p>
        </w:tc>
        <w:tc>
          <w:tcPr>
            <w:tcW w:w="2896" w:type="dxa"/>
            <w:tcBorders>
              <w:top w:val="dashSmallGap" w:sz="4" w:space="0" w:color="auto"/>
              <w:bottom w:val="single" w:sz="4" w:space="0" w:color="auto"/>
            </w:tcBorders>
            <w:shd w:val="clear" w:color="auto" w:fill="auto"/>
          </w:tcPr>
          <w:p w14:paraId="0D0913D8"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Single-capped fluorescent lamps - Safety specifications</w:t>
            </w:r>
          </w:p>
        </w:tc>
      </w:tr>
      <w:tr w:rsidR="00E8734D" w:rsidRPr="00E8734D" w14:paraId="30D39506" w14:textId="77777777" w:rsidTr="00E8734D">
        <w:trPr>
          <w:cantSplit/>
          <w:trHeight w:val="1134"/>
        </w:trPr>
        <w:tc>
          <w:tcPr>
            <w:tcW w:w="503" w:type="dxa"/>
            <w:tcBorders>
              <w:top w:val="single" w:sz="4" w:space="0" w:color="auto"/>
              <w:bottom w:val="dashSmallGap" w:sz="4" w:space="0" w:color="auto"/>
            </w:tcBorders>
            <w:shd w:val="clear" w:color="auto" w:fill="DEEAF6"/>
            <w:textDirection w:val="btLr"/>
          </w:tcPr>
          <w:p w14:paraId="4A5689E4" w14:textId="77777777" w:rsidR="00E8734D" w:rsidRPr="00CD0AFE" w:rsidRDefault="00E8734D" w:rsidP="00E8734D">
            <w:pPr>
              <w:suppressAutoHyphens w:val="0"/>
              <w:ind w:left="113" w:right="113"/>
              <w:jc w:val="center"/>
              <w:rPr>
                <w:rFonts w:cs="Calibri"/>
                <w:color w:val="auto"/>
                <w:sz w:val="18"/>
                <w:szCs w:val="18"/>
                <w:lang w:val="es-ES"/>
              </w:rPr>
            </w:pPr>
            <w:r w:rsidRPr="00CD0AFE">
              <w:rPr>
                <w:rFonts w:cs="Calibri"/>
                <w:color w:val="auto"/>
                <w:sz w:val="18"/>
                <w:szCs w:val="18"/>
                <w:lang w:val="es-ES"/>
              </w:rPr>
              <w:t>Norma</w:t>
            </w:r>
          </w:p>
        </w:tc>
        <w:tc>
          <w:tcPr>
            <w:tcW w:w="1193" w:type="dxa"/>
            <w:tcBorders>
              <w:top w:val="single" w:sz="4" w:space="0" w:color="auto"/>
              <w:bottom w:val="dashSmallGap" w:sz="4" w:space="0" w:color="auto"/>
            </w:tcBorders>
            <w:shd w:val="clear" w:color="auto" w:fill="DEEAF6"/>
          </w:tcPr>
          <w:p w14:paraId="74F4D6B4"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UNE-EN 62612:2014</w:t>
            </w:r>
          </w:p>
        </w:tc>
        <w:tc>
          <w:tcPr>
            <w:tcW w:w="3402" w:type="dxa"/>
            <w:tcBorders>
              <w:top w:val="single" w:sz="4" w:space="0" w:color="auto"/>
              <w:bottom w:val="dashSmallGap" w:sz="4" w:space="0" w:color="auto"/>
            </w:tcBorders>
            <w:shd w:val="clear" w:color="auto" w:fill="DEEAF6"/>
          </w:tcPr>
          <w:p w14:paraId="6FDDA04A"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Lámparas de LED con balasto propio para servicios de iluminación general con tensión de alimentación &gt; 50 V. Requisitos de funcionamiento.</w:t>
            </w:r>
          </w:p>
        </w:tc>
        <w:tc>
          <w:tcPr>
            <w:tcW w:w="1276" w:type="dxa"/>
            <w:tcBorders>
              <w:top w:val="single" w:sz="4" w:space="0" w:color="auto"/>
              <w:bottom w:val="dashSmallGap" w:sz="4" w:space="0" w:color="auto"/>
            </w:tcBorders>
            <w:shd w:val="clear" w:color="auto" w:fill="DEEAF6"/>
          </w:tcPr>
          <w:p w14:paraId="245B1C1D"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EN 62612:2013 - Idéntico</w:t>
            </w:r>
          </w:p>
        </w:tc>
        <w:tc>
          <w:tcPr>
            <w:tcW w:w="3289" w:type="dxa"/>
            <w:tcBorders>
              <w:top w:val="single" w:sz="4" w:space="0" w:color="auto"/>
              <w:bottom w:val="dashSmallGap" w:sz="4" w:space="0" w:color="auto"/>
            </w:tcBorders>
            <w:shd w:val="clear" w:color="auto" w:fill="DEEAF6"/>
          </w:tcPr>
          <w:p w14:paraId="5652474C"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Self-ballasted LED lamps for general lighting services with supply voltages &gt; 50 V – Performance requirements</w:t>
            </w:r>
          </w:p>
        </w:tc>
        <w:tc>
          <w:tcPr>
            <w:tcW w:w="1389" w:type="dxa"/>
            <w:tcBorders>
              <w:top w:val="single" w:sz="4" w:space="0" w:color="auto"/>
              <w:bottom w:val="dashSmallGap" w:sz="4" w:space="0" w:color="auto"/>
            </w:tcBorders>
            <w:shd w:val="clear" w:color="auto" w:fill="DEEAF6"/>
          </w:tcPr>
          <w:p w14:paraId="2D860261"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IEC 62612:2013 (idéntico)</w:t>
            </w:r>
          </w:p>
        </w:tc>
        <w:tc>
          <w:tcPr>
            <w:tcW w:w="2896" w:type="dxa"/>
            <w:tcBorders>
              <w:top w:val="single" w:sz="4" w:space="0" w:color="auto"/>
              <w:bottom w:val="dashSmallGap" w:sz="4" w:space="0" w:color="auto"/>
            </w:tcBorders>
            <w:shd w:val="clear" w:color="auto" w:fill="DEEAF6"/>
          </w:tcPr>
          <w:p w14:paraId="09161FEE"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Self-ballasted LED lamps for general lighting services with supply voltages &gt; 50 V - Performance requirements</w:t>
            </w:r>
          </w:p>
        </w:tc>
      </w:tr>
      <w:tr w:rsidR="00E8734D" w:rsidRPr="00E8734D" w14:paraId="75CE6A45" w14:textId="77777777" w:rsidTr="00E8734D">
        <w:trPr>
          <w:cantSplit/>
          <w:trHeight w:val="1134"/>
        </w:trPr>
        <w:tc>
          <w:tcPr>
            <w:tcW w:w="503" w:type="dxa"/>
            <w:tcBorders>
              <w:top w:val="dashSmallGap" w:sz="4" w:space="0" w:color="auto"/>
              <w:bottom w:val="single" w:sz="4" w:space="0" w:color="auto"/>
            </w:tcBorders>
            <w:shd w:val="clear" w:color="auto" w:fill="DEEAF6"/>
            <w:textDirection w:val="btLr"/>
          </w:tcPr>
          <w:p w14:paraId="4008DD6C" w14:textId="77777777" w:rsidR="00E8734D" w:rsidRPr="00CD0AFE" w:rsidRDefault="00E8734D" w:rsidP="00E8734D">
            <w:pPr>
              <w:suppressAutoHyphens w:val="0"/>
              <w:ind w:left="113" w:right="113"/>
              <w:jc w:val="center"/>
              <w:rPr>
                <w:rFonts w:cs="Calibri"/>
                <w:color w:val="auto"/>
                <w:sz w:val="18"/>
                <w:szCs w:val="18"/>
                <w:lang w:val="es-ES"/>
              </w:rPr>
            </w:pPr>
            <w:r w:rsidRPr="00CD0AFE">
              <w:rPr>
                <w:rFonts w:cs="Calibri"/>
                <w:color w:val="auto"/>
                <w:sz w:val="18"/>
                <w:szCs w:val="18"/>
                <w:lang w:val="es-ES"/>
              </w:rPr>
              <w:t>Últ. mod.</w:t>
            </w:r>
          </w:p>
        </w:tc>
        <w:tc>
          <w:tcPr>
            <w:tcW w:w="1193" w:type="dxa"/>
            <w:tcBorders>
              <w:top w:val="dashSmallGap" w:sz="4" w:space="0" w:color="auto"/>
              <w:bottom w:val="single" w:sz="4" w:space="0" w:color="auto"/>
            </w:tcBorders>
            <w:shd w:val="clear" w:color="auto" w:fill="DEEAF6"/>
          </w:tcPr>
          <w:p w14:paraId="2F2354B2"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UNE-EN 62612/A1:2017</w:t>
            </w:r>
          </w:p>
        </w:tc>
        <w:tc>
          <w:tcPr>
            <w:tcW w:w="3402" w:type="dxa"/>
            <w:tcBorders>
              <w:top w:val="dashSmallGap" w:sz="4" w:space="0" w:color="auto"/>
              <w:bottom w:val="single" w:sz="4" w:space="0" w:color="auto"/>
            </w:tcBorders>
            <w:shd w:val="clear" w:color="auto" w:fill="DEEAF6"/>
          </w:tcPr>
          <w:p w14:paraId="7975100B"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Lámparas LED con balasto incorporado para servicios de iluminación general con tensión de alimentación &gt; 50 V. Requisitos de funcionamiento</w:t>
            </w:r>
          </w:p>
        </w:tc>
        <w:tc>
          <w:tcPr>
            <w:tcW w:w="1276" w:type="dxa"/>
            <w:tcBorders>
              <w:top w:val="dashSmallGap" w:sz="4" w:space="0" w:color="auto"/>
              <w:bottom w:val="single" w:sz="4" w:space="0" w:color="auto"/>
            </w:tcBorders>
            <w:shd w:val="clear" w:color="auto" w:fill="DEEAF6"/>
          </w:tcPr>
          <w:p w14:paraId="1AF57EF8"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EN 62612:2013/A1:2017 - Idéntico</w:t>
            </w:r>
          </w:p>
        </w:tc>
        <w:tc>
          <w:tcPr>
            <w:tcW w:w="3289" w:type="dxa"/>
            <w:tcBorders>
              <w:top w:val="dashSmallGap" w:sz="4" w:space="0" w:color="auto"/>
              <w:bottom w:val="single" w:sz="4" w:space="0" w:color="auto"/>
            </w:tcBorders>
            <w:shd w:val="clear" w:color="auto" w:fill="DEEAF6"/>
          </w:tcPr>
          <w:p w14:paraId="5714A511"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Self-ballasted LED lamps for general lighting services with supply voltages &gt; 50 V – Performance requirements</w:t>
            </w:r>
          </w:p>
        </w:tc>
        <w:tc>
          <w:tcPr>
            <w:tcW w:w="1389" w:type="dxa"/>
            <w:tcBorders>
              <w:top w:val="dashSmallGap" w:sz="4" w:space="0" w:color="auto"/>
              <w:bottom w:val="single" w:sz="4" w:space="0" w:color="auto"/>
            </w:tcBorders>
            <w:shd w:val="clear" w:color="auto" w:fill="DEEAF6"/>
          </w:tcPr>
          <w:p w14:paraId="4E0D6720"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IEC 62612:2013/A1:201X - Idéntico</w:t>
            </w:r>
          </w:p>
          <w:p w14:paraId="733A0A51"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IEC 62612:2013/A1:2015 - Idéntico</w:t>
            </w:r>
          </w:p>
        </w:tc>
        <w:tc>
          <w:tcPr>
            <w:tcW w:w="2896" w:type="dxa"/>
            <w:tcBorders>
              <w:top w:val="dashSmallGap" w:sz="4" w:space="0" w:color="auto"/>
              <w:bottom w:val="single" w:sz="4" w:space="0" w:color="auto"/>
            </w:tcBorders>
            <w:shd w:val="clear" w:color="auto" w:fill="DEEAF6"/>
          </w:tcPr>
          <w:p w14:paraId="14AAC183"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Self-ballasted LED lamps for general lighting services with supply voltages &gt; 50 V - Performance requirements</w:t>
            </w:r>
          </w:p>
        </w:tc>
      </w:tr>
      <w:tr w:rsidR="00E8734D" w:rsidRPr="00E8734D" w14:paraId="773BD145" w14:textId="77777777" w:rsidTr="00E8734D">
        <w:trPr>
          <w:cantSplit/>
          <w:trHeight w:val="1134"/>
        </w:trPr>
        <w:tc>
          <w:tcPr>
            <w:tcW w:w="503" w:type="dxa"/>
            <w:tcBorders>
              <w:bottom w:val="dashSmallGap" w:sz="4" w:space="0" w:color="auto"/>
            </w:tcBorders>
            <w:shd w:val="clear" w:color="auto" w:fill="auto"/>
            <w:textDirection w:val="btLr"/>
          </w:tcPr>
          <w:p w14:paraId="0ACFD54D" w14:textId="77777777" w:rsidR="00E8734D" w:rsidRPr="00CD0AFE" w:rsidRDefault="00E8734D" w:rsidP="00E8734D">
            <w:pPr>
              <w:suppressAutoHyphens w:val="0"/>
              <w:ind w:left="113" w:right="113"/>
              <w:jc w:val="center"/>
              <w:rPr>
                <w:rFonts w:cs="Calibri"/>
                <w:color w:val="auto"/>
                <w:sz w:val="18"/>
                <w:szCs w:val="18"/>
                <w:lang w:val="es-ES"/>
              </w:rPr>
            </w:pPr>
            <w:r w:rsidRPr="00CD0AFE">
              <w:rPr>
                <w:rFonts w:cs="Calibri"/>
                <w:color w:val="auto"/>
                <w:sz w:val="18"/>
                <w:szCs w:val="18"/>
                <w:lang w:val="es-ES"/>
              </w:rPr>
              <w:t>Norma</w:t>
            </w:r>
          </w:p>
        </w:tc>
        <w:tc>
          <w:tcPr>
            <w:tcW w:w="1193" w:type="dxa"/>
            <w:tcBorders>
              <w:bottom w:val="dashSmallGap" w:sz="4" w:space="0" w:color="auto"/>
            </w:tcBorders>
            <w:shd w:val="clear" w:color="auto" w:fill="auto"/>
          </w:tcPr>
          <w:p w14:paraId="6236A4BE"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UNE-EN 62560:2013</w:t>
            </w:r>
          </w:p>
        </w:tc>
        <w:tc>
          <w:tcPr>
            <w:tcW w:w="3402" w:type="dxa"/>
            <w:tcBorders>
              <w:bottom w:val="dashSmallGap" w:sz="4" w:space="0" w:color="auto"/>
            </w:tcBorders>
            <w:shd w:val="clear" w:color="auto" w:fill="auto"/>
          </w:tcPr>
          <w:p w14:paraId="655AE895"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Lámparas LED con balasto incorporado para servicios de iluminación general con tensión &gt; 50 V. Especificaciones de seguridad.</w:t>
            </w:r>
          </w:p>
        </w:tc>
        <w:tc>
          <w:tcPr>
            <w:tcW w:w="1276" w:type="dxa"/>
            <w:tcBorders>
              <w:bottom w:val="dashSmallGap" w:sz="4" w:space="0" w:color="auto"/>
            </w:tcBorders>
            <w:shd w:val="clear" w:color="auto" w:fill="auto"/>
          </w:tcPr>
          <w:p w14:paraId="6B999AFB"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EN 62560:2012 - Idéntico</w:t>
            </w:r>
          </w:p>
        </w:tc>
        <w:tc>
          <w:tcPr>
            <w:tcW w:w="3289" w:type="dxa"/>
            <w:tcBorders>
              <w:bottom w:val="dashSmallGap" w:sz="4" w:space="0" w:color="auto"/>
            </w:tcBorders>
            <w:shd w:val="clear" w:color="auto" w:fill="auto"/>
          </w:tcPr>
          <w:p w14:paraId="7EDB7CE0"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Self-ballasted LED lamps for general lighting services by voltage &gt;50 V – Safety specifications</w:t>
            </w:r>
          </w:p>
        </w:tc>
        <w:tc>
          <w:tcPr>
            <w:tcW w:w="1389" w:type="dxa"/>
            <w:tcBorders>
              <w:bottom w:val="dashSmallGap" w:sz="4" w:space="0" w:color="auto"/>
            </w:tcBorders>
            <w:shd w:val="clear" w:color="auto" w:fill="auto"/>
          </w:tcPr>
          <w:p w14:paraId="45529A95"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IEC 62560:2011 - Modificación</w:t>
            </w:r>
          </w:p>
          <w:p w14:paraId="0D010DB0"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IEC 62560:2011/Corr.1:2012 - Idéntico</w:t>
            </w:r>
          </w:p>
        </w:tc>
        <w:tc>
          <w:tcPr>
            <w:tcW w:w="2896" w:type="dxa"/>
            <w:tcBorders>
              <w:bottom w:val="dashSmallGap" w:sz="4" w:space="0" w:color="auto"/>
            </w:tcBorders>
            <w:shd w:val="clear" w:color="auto" w:fill="auto"/>
          </w:tcPr>
          <w:p w14:paraId="7C76DE51"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Self-ballasted LED-lamps for general lighting services by voltage &gt; 50 V - Safety specifications</w:t>
            </w:r>
          </w:p>
        </w:tc>
      </w:tr>
      <w:tr w:rsidR="00E8734D" w:rsidRPr="00E8734D" w14:paraId="311F4A0D" w14:textId="77777777" w:rsidTr="00E8734D">
        <w:trPr>
          <w:cantSplit/>
          <w:trHeight w:val="1134"/>
        </w:trPr>
        <w:tc>
          <w:tcPr>
            <w:tcW w:w="503" w:type="dxa"/>
            <w:tcBorders>
              <w:top w:val="dashSmallGap" w:sz="4" w:space="0" w:color="auto"/>
              <w:bottom w:val="single" w:sz="4" w:space="0" w:color="auto"/>
            </w:tcBorders>
            <w:shd w:val="clear" w:color="auto" w:fill="auto"/>
            <w:textDirection w:val="btLr"/>
          </w:tcPr>
          <w:p w14:paraId="4CD82A0B" w14:textId="77777777" w:rsidR="00E8734D" w:rsidRPr="00CD0AFE" w:rsidRDefault="00E8734D" w:rsidP="00E8734D">
            <w:pPr>
              <w:suppressAutoHyphens w:val="0"/>
              <w:ind w:left="113" w:right="113"/>
              <w:jc w:val="center"/>
              <w:rPr>
                <w:rFonts w:cs="Calibri"/>
                <w:color w:val="auto"/>
                <w:sz w:val="18"/>
                <w:szCs w:val="18"/>
                <w:lang w:val="es-ES"/>
              </w:rPr>
            </w:pPr>
            <w:r w:rsidRPr="00CD0AFE">
              <w:rPr>
                <w:rFonts w:cs="Calibri"/>
                <w:color w:val="auto"/>
                <w:sz w:val="18"/>
                <w:szCs w:val="18"/>
                <w:lang w:val="es-ES"/>
              </w:rPr>
              <w:t>Últ. mod.</w:t>
            </w:r>
          </w:p>
        </w:tc>
        <w:tc>
          <w:tcPr>
            <w:tcW w:w="1193" w:type="dxa"/>
            <w:tcBorders>
              <w:top w:val="dashSmallGap" w:sz="4" w:space="0" w:color="auto"/>
              <w:bottom w:val="single" w:sz="4" w:space="0" w:color="auto"/>
            </w:tcBorders>
            <w:shd w:val="clear" w:color="auto" w:fill="auto"/>
          </w:tcPr>
          <w:p w14:paraId="1BD1CA14"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UNE-EN 62560:2013/A1:2015</w:t>
            </w:r>
          </w:p>
        </w:tc>
        <w:tc>
          <w:tcPr>
            <w:tcW w:w="3402" w:type="dxa"/>
            <w:tcBorders>
              <w:top w:val="dashSmallGap" w:sz="4" w:space="0" w:color="auto"/>
              <w:bottom w:val="single" w:sz="4" w:space="0" w:color="auto"/>
            </w:tcBorders>
            <w:shd w:val="clear" w:color="auto" w:fill="auto"/>
          </w:tcPr>
          <w:p w14:paraId="5A423230"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Lámparas LED con balasto incorporado para servicios de iluminación general con tensión &gt; 50 V. Especificaciones de seguridad.</w:t>
            </w:r>
          </w:p>
        </w:tc>
        <w:tc>
          <w:tcPr>
            <w:tcW w:w="1276" w:type="dxa"/>
            <w:tcBorders>
              <w:top w:val="dashSmallGap" w:sz="4" w:space="0" w:color="auto"/>
              <w:bottom w:val="single" w:sz="4" w:space="0" w:color="auto"/>
            </w:tcBorders>
            <w:shd w:val="clear" w:color="auto" w:fill="auto"/>
          </w:tcPr>
          <w:p w14:paraId="388C3BDF"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EN 62560:2012/A1:2015 - Idéntico</w:t>
            </w:r>
          </w:p>
          <w:p w14:paraId="76E1AB15"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EN 62560:2012/A1:2015/AC:2015 - Idéntico</w:t>
            </w:r>
          </w:p>
        </w:tc>
        <w:tc>
          <w:tcPr>
            <w:tcW w:w="3289" w:type="dxa"/>
            <w:tcBorders>
              <w:top w:val="dashSmallGap" w:sz="4" w:space="0" w:color="auto"/>
              <w:bottom w:val="single" w:sz="4" w:space="0" w:color="auto"/>
            </w:tcBorders>
            <w:shd w:val="clear" w:color="auto" w:fill="auto"/>
          </w:tcPr>
          <w:p w14:paraId="4A6D32FF"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Self-ballasted LED lamps for general lighting services by voltage &gt;50 V – Safety specifications</w:t>
            </w:r>
          </w:p>
        </w:tc>
        <w:tc>
          <w:tcPr>
            <w:tcW w:w="1389" w:type="dxa"/>
            <w:tcBorders>
              <w:top w:val="dashSmallGap" w:sz="4" w:space="0" w:color="auto"/>
              <w:bottom w:val="single" w:sz="4" w:space="0" w:color="auto"/>
            </w:tcBorders>
            <w:shd w:val="clear" w:color="auto" w:fill="auto"/>
          </w:tcPr>
          <w:p w14:paraId="5A4A4FE7"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IEC 62560:2011/A1:2015 - Modificación</w:t>
            </w:r>
          </w:p>
          <w:p w14:paraId="6FE84701"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IEC 62560:2011/A1:2015/COR1:2015 - Idéntico</w:t>
            </w:r>
          </w:p>
        </w:tc>
        <w:tc>
          <w:tcPr>
            <w:tcW w:w="2896" w:type="dxa"/>
            <w:tcBorders>
              <w:top w:val="dashSmallGap" w:sz="4" w:space="0" w:color="auto"/>
              <w:bottom w:val="single" w:sz="4" w:space="0" w:color="auto"/>
            </w:tcBorders>
            <w:shd w:val="clear" w:color="auto" w:fill="auto"/>
          </w:tcPr>
          <w:p w14:paraId="3CF8D565"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Self-ballasted LED-lamps for general lighting services by voltage &gt; 50 V - Safety specifications</w:t>
            </w:r>
          </w:p>
        </w:tc>
      </w:tr>
      <w:tr w:rsidR="00E8734D" w:rsidRPr="00E8734D" w14:paraId="24447F96" w14:textId="77777777" w:rsidTr="00C44202">
        <w:trPr>
          <w:cantSplit/>
          <w:trHeight w:val="1134"/>
        </w:trPr>
        <w:tc>
          <w:tcPr>
            <w:tcW w:w="503" w:type="dxa"/>
            <w:tcBorders>
              <w:bottom w:val="single" w:sz="4" w:space="0" w:color="auto"/>
            </w:tcBorders>
            <w:shd w:val="clear" w:color="auto" w:fill="DEEAF6"/>
            <w:textDirection w:val="btLr"/>
          </w:tcPr>
          <w:p w14:paraId="18689DB5" w14:textId="77777777" w:rsidR="00E8734D" w:rsidRPr="00CD0AFE" w:rsidRDefault="00E8734D" w:rsidP="00E8734D">
            <w:pPr>
              <w:suppressAutoHyphens w:val="0"/>
              <w:ind w:left="113" w:right="113"/>
              <w:jc w:val="center"/>
              <w:rPr>
                <w:rFonts w:cs="Calibri"/>
                <w:color w:val="auto"/>
                <w:sz w:val="18"/>
                <w:szCs w:val="18"/>
                <w:lang w:val="es-ES"/>
              </w:rPr>
            </w:pPr>
            <w:r w:rsidRPr="00CD0AFE">
              <w:rPr>
                <w:rFonts w:cs="Calibri"/>
                <w:color w:val="auto"/>
                <w:sz w:val="18"/>
                <w:szCs w:val="18"/>
                <w:lang w:val="es-ES"/>
              </w:rPr>
              <w:t>Norma</w:t>
            </w:r>
          </w:p>
        </w:tc>
        <w:tc>
          <w:tcPr>
            <w:tcW w:w="1193" w:type="dxa"/>
            <w:tcBorders>
              <w:bottom w:val="single" w:sz="4" w:space="0" w:color="auto"/>
            </w:tcBorders>
            <w:shd w:val="clear" w:color="auto" w:fill="DEEAF6"/>
          </w:tcPr>
          <w:p w14:paraId="0076D916"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UNE-EN 62717:2017</w:t>
            </w:r>
          </w:p>
        </w:tc>
        <w:tc>
          <w:tcPr>
            <w:tcW w:w="3402" w:type="dxa"/>
            <w:tcBorders>
              <w:bottom w:val="single" w:sz="4" w:space="0" w:color="auto"/>
            </w:tcBorders>
            <w:shd w:val="clear" w:color="auto" w:fill="DEEAF6"/>
          </w:tcPr>
          <w:p w14:paraId="6A72DA89"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LED modules for general lighting - Performance requirements</w:t>
            </w:r>
          </w:p>
        </w:tc>
        <w:tc>
          <w:tcPr>
            <w:tcW w:w="1276" w:type="dxa"/>
            <w:tcBorders>
              <w:bottom w:val="single" w:sz="4" w:space="0" w:color="auto"/>
            </w:tcBorders>
            <w:shd w:val="clear" w:color="auto" w:fill="DEEAF6"/>
          </w:tcPr>
          <w:p w14:paraId="5336A6CA"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EN 62717:2017 - Idéntico</w:t>
            </w:r>
          </w:p>
        </w:tc>
        <w:tc>
          <w:tcPr>
            <w:tcW w:w="3289" w:type="dxa"/>
            <w:tcBorders>
              <w:bottom w:val="single" w:sz="4" w:space="0" w:color="auto"/>
            </w:tcBorders>
            <w:shd w:val="clear" w:color="auto" w:fill="DEEAF6"/>
          </w:tcPr>
          <w:p w14:paraId="72A983B3"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LED modules for general lighting - Performance requirements</w:t>
            </w:r>
          </w:p>
        </w:tc>
        <w:tc>
          <w:tcPr>
            <w:tcW w:w="1389" w:type="dxa"/>
            <w:tcBorders>
              <w:bottom w:val="single" w:sz="4" w:space="0" w:color="auto"/>
            </w:tcBorders>
            <w:shd w:val="clear" w:color="auto" w:fill="DEEAF6"/>
          </w:tcPr>
          <w:p w14:paraId="6C2E4E94"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IEC 62717:2014 - Modificación</w:t>
            </w:r>
          </w:p>
          <w:p w14:paraId="47897AFA"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IEC 62717:2014/A1:2015 - Modificación</w:t>
            </w:r>
          </w:p>
        </w:tc>
        <w:tc>
          <w:tcPr>
            <w:tcW w:w="2896" w:type="dxa"/>
            <w:tcBorders>
              <w:bottom w:val="single" w:sz="4" w:space="0" w:color="auto"/>
            </w:tcBorders>
            <w:shd w:val="clear" w:color="auto" w:fill="DEEAF6"/>
          </w:tcPr>
          <w:p w14:paraId="003FA25D"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LED modules for general lighting - Performance requirements</w:t>
            </w:r>
          </w:p>
        </w:tc>
      </w:tr>
      <w:tr w:rsidR="00E8734D" w:rsidRPr="00E8734D" w14:paraId="7989DC51" w14:textId="77777777" w:rsidTr="00C44202">
        <w:trPr>
          <w:cantSplit/>
          <w:trHeight w:val="1134"/>
        </w:trPr>
        <w:tc>
          <w:tcPr>
            <w:tcW w:w="503" w:type="dxa"/>
            <w:tcBorders>
              <w:bottom w:val="dashSmallGap" w:sz="4" w:space="0" w:color="auto"/>
            </w:tcBorders>
            <w:textDirection w:val="btLr"/>
          </w:tcPr>
          <w:p w14:paraId="72DF6100" w14:textId="77777777" w:rsidR="00E8734D" w:rsidRPr="00CD0AFE" w:rsidRDefault="00E8734D" w:rsidP="00E8734D">
            <w:pPr>
              <w:suppressAutoHyphens w:val="0"/>
              <w:ind w:left="113" w:right="113"/>
              <w:jc w:val="center"/>
              <w:rPr>
                <w:rFonts w:cs="Calibri"/>
                <w:color w:val="auto"/>
                <w:sz w:val="18"/>
                <w:szCs w:val="18"/>
                <w:lang w:val="es-ES"/>
              </w:rPr>
            </w:pPr>
            <w:r w:rsidRPr="00CD0AFE">
              <w:rPr>
                <w:rFonts w:cs="Calibri"/>
                <w:color w:val="auto"/>
                <w:sz w:val="18"/>
                <w:szCs w:val="18"/>
                <w:lang w:val="es-ES"/>
              </w:rPr>
              <w:t>Norma</w:t>
            </w:r>
          </w:p>
        </w:tc>
        <w:tc>
          <w:tcPr>
            <w:tcW w:w="1193" w:type="dxa"/>
            <w:tcBorders>
              <w:bottom w:val="dashSmallGap" w:sz="4" w:space="0" w:color="auto"/>
            </w:tcBorders>
            <w:shd w:val="clear" w:color="auto" w:fill="auto"/>
          </w:tcPr>
          <w:p w14:paraId="7E993E79"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UNE-EN 62031:2009</w:t>
            </w:r>
          </w:p>
        </w:tc>
        <w:tc>
          <w:tcPr>
            <w:tcW w:w="3402" w:type="dxa"/>
            <w:tcBorders>
              <w:bottom w:val="dashSmallGap" w:sz="4" w:space="0" w:color="auto"/>
            </w:tcBorders>
            <w:shd w:val="clear" w:color="auto" w:fill="auto"/>
          </w:tcPr>
          <w:p w14:paraId="57FEA35D"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Módulos LED para alumbrado general. Requisitos de seguridad.</w:t>
            </w:r>
          </w:p>
        </w:tc>
        <w:tc>
          <w:tcPr>
            <w:tcW w:w="1276" w:type="dxa"/>
            <w:tcBorders>
              <w:bottom w:val="dashSmallGap" w:sz="4" w:space="0" w:color="auto"/>
            </w:tcBorders>
            <w:shd w:val="clear" w:color="auto" w:fill="auto"/>
          </w:tcPr>
          <w:p w14:paraId="5ECE06EB"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EN 62031:2008 - Idéntico</w:t>
            </w:r>
          </w:p>
        </w:tc>
        <w:tc>
          <w:tcPr>
            <w:tcW w:w="3289" w:type="dxa"/>
            <w:tcBorders>
              <w:bottom w:val="dashSmallGap" w:sz="4" w:space="0" w:color="auto"/>
            </w:tcBorders>
            <w:shd w:val="clear" w:color="auto" w:fill="auto"/>
          </w:tcPr>
          <w:p w14:paraId="20EC40F0"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LED modules for general lighting - Safety specifications</w:t>
            </w:r>
          </w:p>
        </w:tc>
        <w:tc>
          <w:tcPr>
            <w:tcW w:w="1389" w:type="dxa"/>
            <w:tcBorders>
              <w:bottom w:val="dashSmallGap" w:sz="4" w:space="0" w:color="auto"/>
            </w:tcBorders>
            <w:shd w:val="clear" w:color="auto" w:fill="auto"/>
          </w:tcPr>
          <w:p w14:paraId="2283E951"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IEC 62031:2008 - Idéntico</w:t>
            </w:r>
          </w:p>
        </w:tc>
        <w:tc>
          <w:tcPr>
            <w:tcW w:w="2896" w:type="dxa"/>
            <w:tcBorders>
              <w:bottom w:val="dashSmallGap" w:sz="4" w:space="0" w:color="auto"/>
            </w:tcBorders>
            <w:shd w:val="clear" w:color="auto" w:fill="auto"/>
          </w:tcPr>
          <w:p w14:paraId="399A8FC2"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LED modules for general lighting - Safety specifications</w:t>
            </w:r>
          </w:p>
        </w:tc>
      </w:tr>
      <w:tr w:rsidR="00E8734D" w:rsidRPr="00E8734D" w14:paraId="4BFB26E9" w14:textId="77777777" w:rsidTr="00C44202">
        <w:trPr>
          <w:cantSplit/>
          <w:trHeight w:val="1134"/>
        </w:trPr>
        <w:tc>
          <w:tcPr>
            <w:tcW w:w="503" w:type="dxa"/>
            <w:tcBorders>
              <w:top w:val="dashSmallGap" w:sz="4" w:space="0" w:color="auto"/>
              <w:bottom w:val="single" w:sz="4" w:space="0" w:color="auto"/>
            </w:tcBorders>
            <w:textDirection w:val="btLr"/>
          </w:tcPr>
          <w:p w14:paraId="38D5FD45" w14:textId="77777777" w:rsidR="00E8734D" w:rsidRPr="00CD0AFE" w:rsidRDefault="00E8734D" w:rsidP="00E8734D">
            <w:pPr>
              <w:suppressAutoHyphens w:val="0"/>
              <w:ind w:left="113" w:right="113"/>
              <w:jc w:val="center"/>
              <w:rPr>
                <w:rFonts w:cs="Calibri"/>
                <w:color w:val="auto"/>
                <w:sz w:val="18"/>
                <w:szCs w:val="18"/>
                <w:lang w:val="es-ES"/>
              </w:rPr>
            </w:pPr>
            <w:r w:rsidRPr="00CD0AFE">
              <w:rPr>
                <w:rFonts w:cs="Calibri"/>
                <w:color w:val="auto"/>
                <w:sz w:val="18"/>
                <w:szCs w:val="18"/>
                <w:lang w:val="es-ES"/>
              </w:rPr>
              <w:t>Últ. mod.</w:t>
            </w:r>
          </w:p>
        </w:tc>
        <w:tc>
          <w:tcPr>
            <w:tcW w:w="1193" w:type="dxa"/>
            <w:tcBorders>
              <w:top w:val="dashSmallGap" w:sz="4" w:space="0" w:color="auto"/>
              <w:bottom w:val="single" w:sz="4" w:space="0" w:color="auto"/>
            </w:tcBorders>
            <w:shd w:val="clear" w:color="auto" w:fill="auto"/>
          </w:tcPr>
          <w:p w14:paraId="04622500"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UNE-EN 62031:2009/A2:2015</w:t>
            </w:r>
          </w:p>
        </w:tc>
        <w:tc>
          <w:tcPr>
            <w:tcW w:w="3402" w:type="dxa"/>
            <w:tcBorders>
              <w:top w:val="dashSmallGap" w:sz="4" w:space="0" w:color="auto"/>
              <w:bottom w:val="single" w:sz="4" w:space="0" w:color="auto"/>
            </w:tcBorders>
            <w:shd w:val="clear" w:color="auto" w:fill="auto"/>
          </w:tcPr>
          <w:p w14:paraId="443217D0"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Módulos LED para alumbrado general. Requisitos de seguridad.</w:t>
            </w:r>
          </w:p>
        </w:tc>
        <w:tc>
          <w:tcPr>
            <w:tcW w:w="1276" w:type="dxa"/>
            <w:tcBorders>
              <w:top w:val="dashSmallGap" w:sz="4" w:space="0" w:color="auto"/>
              <w:bottom w:val="single" w:sz="4" w:space="0" w:color="auto"/>
            </w:tcBorders>
            <w:shd w:val="clear" w:color="auto" w:fill="auto"/>
          </w:tcPr>
          <w:p w14:paraId="50C863D9" w14:textId="77777777" w:rsidR="00E8734D" w:rsidRPr="00CD0AFE" w:rsidRDefault="00E8734D" w:rsidP="00E8734D">
            <w:pPr>
              <w:suppressAutoHyphens w:val="0"/>
              <w:rPr>
                <w:rFonts w:cs="Calibri"/>
                <w:color w:val="auto"/>
                <w:sz w:val="18"/>
                <w:szCs w:val="18"/>
                <w:lang w:val="es-ES"/>
              </w:rPr>
            </w:pPr>
            <w:r w:rsidRPr="00CD0AFE">
              <w:rPr>
                <w:rFonts w:cs="Calibri"/>
                <w:color w:val="auto"/>
                <w:sz w:val="18"/>
                <w:szCs w:val="18"/>
                <w:lang w:val="es-ES"/>
              </w:rPr>
              <w:t>EN 62031:2008/A2:2015 - Idéntico</w:t>
            </w:r>
          </w:p>
        </w:tc>
        <w:tc>
          <w:tcPr>
            <w:tcW w:w="3289" w:type="dxa"/>
            <w:tcBorders>
              <w:top w:val="dashSmallGap" w:sz="4" w:space="0" w:color="auto"/>
              <w:bottom w:val="single" w:sz="4" w:space="0" w:color="auto"/>
            </w:tcBorders>
            <w:shd w:val="clear" w:color="auto" w:fill="auto"/>
          </w:tcPr>
          <w:p w14:paraId="32AB5B24"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LED modules for general lighting - Safety specifications</w:t>
            </w:r>
          </w:p>
        </w:tc>
        <w:tc>
          <w:tcPr>
            <w:tcW w:w="1389" w:type="dxa"/>
            <w:tcBorders>
              <w:top w:val="dashSmallGap" w:sz="4" w:space="0" w:color="auto"/>
              <w:bottom w:val="single" w:sz="4" w:space="0" w:color="auto"/>
            </w:tcBorders>
            <w:shd w:val="clear" w:color="auto" w:fill="auto"/>
          </w:tcPr>
          <w:p w14:paraId="72D44FB6" w14:textId="77777777" w:rsidR="00E8734D" w:rsidRPr="00CD0AFE" w:rsidRDefault="00E8734D" w:rsidP="00E8734D">
            <w:pPr>
              <w:suppressAutoHyphens w:val="0"/>
              <w:rPr>
                <w:rFonts w:cs="Calibri"/>
                <w:color w:val="auto"/>
                <w:sz w:val="18"/>
                <w:szCs w:val="18"/>
              </w:rPr>
            </w:pPr>
            <w:r w:rsidRPr="00CD0AFE">
              <w:rPr>
                <w:rFonts w:cs="Calibri"/>
                <w:color w:val="auto"/>
                <w:sz w:val="18"/>
                <w:szCs w:val="18"/>
                <w:lang w:val="es-ES"/>
              </w:rPr>
              <w:t>IE</w:t>
            </w:r>
            <w:r w:rsidRPr="00CD0AFE">
              <w:rPr>
                <w:rFonts w:cs="Calibri"/>
                <w:color w:val="auto"/>
                <w:sz w:val="18"/>
                <w:szCs w:val="18"/>
              </w:rPr>
              <w:t>C 62031:2008/A2:2014 - Idéntico</w:t>
            </w:r>
          </w:p>
        </w:tc>
        <w:tc>
          <w:tcPr>
            <w:tcW w:w="2896" w:type="dxa"/>
            <w:tcBorders>
              <w:top w:val="dashSmallGap" w:sz="4" w:space="0" w:color="auto"/>
              <w:bottom w:val="single" w:sz="4" w:space="0" w:color="auto"/>
            </w:tcBorders>
            <w:shd w:val="clear" w:color="auto" w:fill="auto"/>
          </w:tcPr>
          <w:p w14:paraId="5602FEF0" w14:textId="77777777" w:rsidR="00E8734D" w:rsidRPr="00CD0AFE" w:rsidRDefault="00E8734D" w:rsidP="00E8734D">
            <w:pPr>
              <w:suppressAutoHyphens w:val="0"/>
              <w:rPr>
                <w:rFonts w:cs="Calibri"/>
                <w:color w:val="auto"/>
                <w:sz w:val="18"/>
                <w:szCs w:val="18"/>
              </w:rPr>
            </w:pPr>
            <w:r w:rsidRPr="00CD0AFE">
              <w:rPr>
                <w:rFonts w:cs="Calibri"/>
                <w:color w:val="auto"/>
                <w:sz w:val="18"/>
                <w:szCs w:val="18"/>
              </w:rPr>
              <w:t>LED modules for general lighting - Safety specifications</w:t>
            </w:r>
          </w:p>
        </w:tc>
      </w:tr>
      <w:tr w:rsidR="00077124" w:rsidRPr="00091BC1" w14:paraId="228679DA" w14:textId="77777777" w:rsidTr="00B1771D">
        <w:trPr>
          <w:cantSplit/>
          <w:trHeight w:val="1134"/>
        </w:trPr>
        <w:tc>
          <w:tcPr>
            <w:tcW w:w="503" w:type="dxa"/>
            <w:tcBorders>
              <w:top w:val="single" w:sz="4" w:space="0" w:color="auto"/>
              <w:bottom w:val="single" w:sz="4" w:space="0" w:color="auto"/>
            </w:tcBorders>
            <w:shd w:val="clear" w:color="auto" w:fill="DEEAF6"/>
            <w:textDirection w:val="btLr"/>
          </w:tcPr>
          <w:p w14:paraId="6BD521B2" w14:textId="5E9D6569" w:rsidR="00077124" w:rsidRPr="00CD0AFE" w:rsidRDefault="00077124" w:rsidP="00077124">
            <w:pPr>
              <w:suppressAutoHyphens w:val="0"/>
              <w:ind w:left="113" w:right="113"/>
              <w:jc w:val="center"/>
              <w:rPr>
                <w:rFonts w:cs="Calibri"/>
                <w:color w:val="auto"/>
                <w:sz w:val="18"/>
                <w:szCs w:val="18"/>
                <w:lang w:val="es-ES"/>
              </w:rPr>
            </w:pPr>
            <w:r w:rsidRPr="009252D6">
              <w:rPr>
                <w:rFonts w:cs="Calibri"/>
                <w:color w:val="FF0000"/>
                <w:sz w:val="18"/>
                <w:szCs w:val="18"/>
              </w:rPr>
              <w:t>Norma</w:t>
            </w:r>
          </w:p>
        </w:tc>
        <w:tc>
          <w:tcPr>
            <w:tcW w:w="1193" w:type="dxa"/>
            <w:tcBorders>
              <w:top w:val="single" w:sz="4" w:space="0" w:color="auto"/>
              <w:bottom w:val="single" w:sz="4" w:space="0" w:color="auto"/>
            </w:tcBorders>
            <w:shd w:val="clear" w:color="auto" w:fill="DEEAF6"/>
          </w:tcPr>
          <w:p w14:paraId="5748682D" w14:textId="77777777" w:rsidR="00077124" w:rsidRPr="009252D6" w:rsidRDefault="00077124" w:rsidP="00077124">
            <w:pPr>
              <w:suppressAutoHyphens w:val="0"/>
              <w:rPr>
                <w:rFonts w:cs="Calibri"/>
                <w:color w:val="FF0000"/>
                <w:sz w:val="18"/>
                <w:szCs w:val="18"/>
                <w:lang w:val="en-US"/>
              </w:rPr>
            </w:pPr>
            <w:r w:rsidRPr="009252D6">
              <w:rPr>
                <w:rFonts w:cs="Calibri"/>
                <w:color w:val="FF0000"/>
                <w:sz w:val="18"/>
                <w:szCs w:val="18"/>
                <w:lang w:val="en-US"/>
              </w:rPr>
              <w:t>UNE-EN 62722-2-1:2016</w:t>
            </w:r>
          </w:p>
          <w:p w14:paraId="6A7AA61E" w14:textId="77777777" w:rsidR="00077124" w:rsidRPr="00CD0AFE" w:rsidRDefault="00077124" w:rsidP="00077124">
            <w:pPr>
              <w:suppressAutoHyphens w:val="0"/>
              <w:rPr>
                <w:rFonts w:cs="Calibri"/>
                <w:color w:val="auto"/>
                <w:sz w:val="18"/>
                <w:szCs w:val="18"/>
                <w:lang w:val="es-ES"/>
              </w:rPr>
            </w:pPr>
          </w:p>
        </w:tc>
        <w:tc>
          <w:tcPr>
            <w:tcW w:w="3402" w:type="dxa"/>
            <w:tcBorders>
              <w:top w:val="single" w:sz="4" w:space="0" w:color="auto"/>
              <w:bottom w:val="single" w:sz="4" w:space="0" w:color="auto"/>
            </w:tcBorders>
            <w:shd w:val="clear" w:color="auto" w:fill="DEEAF6"/>
          </w:tcPr>
          <w:p w14:paraId="7E43C1DC" w14:textId="0FD169EE" w:rsidR="00077124" w:rsidRPr="00CD0AFE" w:rsidRDefault="00077124" w:rsidP="00077124">
            <w:pPr>
              <w:suppressAutoHyphens w:val="0"/>
              <w:rPr>
                <w:rFonts w:cs="Calibri"/>
                <w:color w:val="auto"/>
                <w:sz w:val="18"/>
                <w:szCs w:val="18"/>
                <w:lang w:val="es-ES"/>
              </w:rPr>
            </w:pPr>
            <w:r w:rsidRPr="009252D6">
              <w:rPr>
                <w:rFonts w:cs="Calibri"/>
                <w:color w:val="FF0000"/>
                <w:sz w:val="18"/>
                <w:szCs w:val="18"/>
                <w:lang w:val="es-ES"/>
              </w:rPr>
              <w:t>Prestaciones de las luminarias. Parte 2-1: Requisitos particulares para luminarias de LED</w:t>
            </w:r>
          </w:p>
        </w:tc>
        <w:tc>
          <w:tcPr>
            <w:tcW w:w="1276" w:type="dxa"/>
            <w:tcBorders>
              <w:top w:val="single" w:sz="4" w:space="0" w:color="auto"/>
              <w:bottom w:val="single" w:sz="4" w:space="0" w:color="auto"/>
            </w:tcBorders>
            <w:shd w:val="clear" w:color="auto" w:fill="DEEAF6"/>
          </w:tcPr>
          <w:p w14:paraId="08710385" w14:textId="6FD9924B" w:rsidR="00077124" w:rsidRPr="00CD0AFE" w:rsidRDefault="00077124" w:rsidP="00077124">
            <w:pPr>
              <w:suppressAutoHyphens w:val="0"/>
              <w:rPr>
                <w:rFonts w:cs="Calibri"/>
                <w:color w:val="auto"/>
                <w:sz w:val="18"/>
                <w:szCs w:val="18"/>
                <w:lang w:val="es-ES"/>
              </w:rPr>
            </w:pPr>
            <w:r w:rsidRPr="009252D6">
              <w:rPr>
                <w:rFonts w:cs="Calibri"/>
                <w:color w:val="FF0000"/>
                <w:sz w:val="18"/>
                <w:szCs w:val="18"/>
                <w:lang w:val="es-ES"/>
              </w:rPr>
              <w:t>EN 62722-2-1 - Idéntico</w:t>
            </w:r>
          </w:p>
        </w:tc>
        <w:tc>
          <w:tcPr>
            <w:tcW w:w="3289" w:type="dxa"/>
            <w:tcBorders>
              <w:top w:val="single" w:sz="4" w:space="0" w:color="auto"/>
              <w:bottom w:val="single" w:sz="4" w:space="0" w:color="auto"/>
            </w:tcBorders>
            <w:shd w:val="clear" w:color="auto" w:fill="DEEAF6"/>
          </w:tcPr>
          <w:p w14:paraId="72A0BCB0" w14:textId="08CE485A" w:rsidR="00077124" w:rsidRPr="00BF7375" w:rsidRDefault="00077124" w:rsidP="00077124">
            <w:pPr>
              <w:suppressAutoHyphens w:val="0"/>
              <w:rPr>
                <w:rFonts w:cs="Calibri"/>
                <w:color w:val="auto"/>
                <w:sz w:val="18"/>
                <w:szCs w:val="18"/>
              </w:rPr>
            </w:pPr>
            <w:r w:rsidRPr="00BF7375">
              <w:rPr>
                <w:rFonts w:cs="Calibri"/>
                <w:color w:val="FF0000"/>
                <w:sz w:val="18"/>
                <w:szCs w:val="18"/>
                <w:lang w:val="en-US"/>
              </w:rPr>
              <w:t>Luminaire performance. Part 2-1: Particular requirements for LED luminaires.</w:t>
            </w:r>
          </w:p>
        </w:tc>
        <w:tc>
          <w:tcPr>
            <w:tcW w:w="1389" w:type="dxa"/>
            <w:tcBorders>
              <w:top w:val="single" w:sz="4" w:space="0" w:color="auto"/>
              <w:bottom w:val="single" w:sz="4" w:space="0" w:color="auto"/>
            </w:tcBorders>
            <w:shd w:val="clear" w:color="auto" w:fill="DEEAF6"/>
          </w:tcPr>
          <w:p w14:paraId="1B738EB2" w14:textId="6CBA56F8" w:rsidR="00077124" w:rsidRPr="00CD0AFE" w:rsidRDefault="00077124" w:rsidP="00077124">
            <w:pPr>
              <w:suppressAutoHyphens w:val="0"/>
              <w:rPr>
                <w:rFonts w:cs="Calibri"/>
                <w:color w:val="auto"/>
                <w:sz w:val="18"/>
                <w:szCs w:val="18"/>
                <w:lang w:val="es-ES"/>
              </w:rPr>
            </w:pPr>
            <w:r w:rsidRPr="009252D6">
              <w:rPr>
                <w:rFonts w:cs="Calibri"/>
                <w:color w:val="FF0000"/>
                <w:sz w:val="18"/>
                <w:szCs w:val="18"/>
                <w:lang w:val="en-US"/>
              </w:rPr>
              <w:t>IEC 62772-2-1:2014 – Mod.</w:t>
            </w:r>
          </w:p>
        </w:tc>
        <w:tc>
          <w:tcPr>
            <w:tcW w:w="2896" w:type="dxa"/>
            <w:tcBorders>
              <w:top w:val="single" w:sz="4" w:space="0" w:color="auto"/>
              <w:bottom w:val="single" w:sz="4" w:space="0" w:color="auto"/>
            </w:tcBorders>
            <w:shd w:val="clear" w:color="auto" w:fill="DEEAF6"/>
          </w:tcPr>
          <w:p w14:paraId="3B3605BA" w14:textId="43A763BA" w:rsidR="00077124" w:rsidRPr="00BF7375" w:rsidRDefault="00077124" w:rsidP="00077124">
            <w:pPr>
              <w:suppressAutoHyphens w:val="0"/>
              <w:rPr>
                <w:rFonts w:cs="Calibri"/>
                <w:color w:val="auto"/>
                <w:sz w:val="18"/>
                <w:szCs w:val="18"/>
              </w:rPr>
            </w:pPr>
            <w:r w:rsidRPr="00BF7375">
              <w:rPr>
                <w:rFonts w:cs="Calibri"/>
                <w:color w:val="FF0000"/>
                <w:sz w:val="18"/>
                <w:szCs w:val="18"/>
                <w:lang w:val="en-US"/>
              </w:rPr>
              <w:t>Luminaire performance – Part 2.1: Particular requirements for LED luminaires</w:t>
            </w:r>
          </w:p>
        </w:tc>
      </w:tr>
      <w:tr w:rsidR="00077124" w:rsidRPr="00091BC1" w14:paraId="77C40ED9" w14:textId="77777777" w:rsidTr="00B1771D">
        <w:trPr>
          <w:cantSplit/>
          <w:trHeight w:val="1134"/>
        </w:trPr>
        <w:tc>
          <w:tcPr>
            <w:tcW w:w="503" w:type="dxa"/>
            <w:tcBorders>
              <w:bottom w:val="single" w:sz="4" w:space="0" w:color="auto"/>
            </w:tcBorders>
            <w:shd w:val="clear" w:color="auto" w:fill="DEEAF6"/>
            <w:textDirection w:val="btLr"/>
          </w:tcPr>
          <w:p w14:paraId="2AA07D97" w14:textId="07A9A553" w:rsidR="00077124" w:rsidRPr="00CD0AFE" w:rsidRDefault="00077124" w:rsidP="00077124">
            <w:pPr>
              <w:suppressAutoHyphens w:val="0"/>
              <w:ind w:left="113" w:right="113"/>
              <w:jc w:val="center"/>
              <w:rPr>
                <w:rFonts w:cs="Calibri"/>
                <w:color w:val="auto"/>
                <w:sz w:val="18"/>
                <w:szCs w:val="18"/>
                <w:lang w:val="es-ES"/>
              </w:rPr>
            </w:pPr>
            <w:r w:rsidRPr="009252D6">
              <w:rPr>
                <w:rFonts w:cs="Calibri"/>
                <w:color w:val="FF0000"/>
                <w:sz w:val="18"/>
                <w:szCs w:val="18"/>
                <w:lang w:val="es-ES"/>
              </w:rPr>
              <w:t>Ült. mod.</w:t>
            </w:r>
          </w:p>
        </w:tc>
        <w:tc>
          <w:tcPr>
            <w:tcW w:w="1193" w:type="dxa"/>
            <w:tcBorders>
              <w:top w:val="dashSmallGap" w:sz="4" w:space="0" w:color="auto"/>
              <w:bottom w:val="single" w:sz="4" w:space="0" w:color="auto"/>
            </w:tcBorders>
            <w:shd w:val="clear" w:color="auto" w:fill="DEEAF6"/>
          </w:tcPr>
          <w:p w14:paraId="69FED921" w14:textId="123810F6" w:rsidR="00077124" w:rsidRPr="00CD0AFE" w:rsidRDefault="00077124" w:rsidP="00077124">
            <w:pPr>
              <w:suppressAutoHyphens w:val="0"/>
              <w:rPr>
                <w:rFonts w:cs="Calibri"/>
                <w:color w:val="auto"/>
                <w:sz w:val="18"/>
                <w:szCs w:val="18"/>
                <w:lang w:val="es-ES"/>
              </w:rPr>
            </w:pPr>
            <w:r w:rsidRPr="009252D6">
              <w:rPr>
                <w:rFonts w:cs="Calibri"/>
                <w:color w:val="FF0000"/>
                <w:sz w:val="18"/>
                <w:szCs w:val="18"/>
                <w:lang w:val="es-ES"/>
              </w:rPr>
              <w:t>UNE-EN 62722-2-1:2016</w:t>
            </w:r>
          </w:p>
        </w:tc>
        <w:tc>
          <w:tcPr>
            <w:tcW w:w="3402" w:type="dxa"/>
            <w:tcBorders>
              <w:top w:val="dashSmallGap" w:sz="4" w:space="0" w:color="auto"/>
              <w:bottom w:val="single" w:sz="4" w:space="0" w:color="auto"/>
            </w:tcBorders>
            <w:shd w:val="clear" w:color="auto" w:fill="DEEAF6"/>
          </w:tcPr>
          <w:p w14:paraId="70DCA791" w14:textId="0BEF5C80" w:rsidR="00077124" w:rsidRPr="00CD0AFE" w:rsidRDefault="00077124" w:rsidP="00077124">
            <w:pPr>
              <w:suppressAutoHyphens w:val="0"/>
              <w:rPr>
                <w:rFonts w:cs="Calibri"/>
                <w:color w:val="auto"/>
                <w:sz w:val="18"/>
                <w:szCs w:val="18"/>
                <w:lang w:val="es-ES"/>
              </w:rPr>
            </w:pPr>
            <w:r w:rsidRPr="009252D6">
              <w:rPr>
                <w:rFonts w:cs="Calibri"/>
                <w:color w:val="FF0000"/>
                <w:sz w:val="18"/>
                <w:szCs w:val="18"/>
                <w:lang w:val="es-ES"/>
              </w:rPr>
              <w:t>Prestaciones de las luminarias. Parte 2-1: Requisitos particulares para luminarias de LED</w:t>
            </w:r>
          </w:p>
        </w:tc>
        <w:tc>
          <w:tcPr>
            <w:tcW w:w="1276" w:type="dxa"/>
            <w:tcBorders>
              <w:top w:val="dashSmallGap" w:sz="4" w:space="0" w:color="auto"/>
              <w:bottom w:val="single" w:sz="4" w:space="0" w:color="auto"/>
            </w:tcBorders>
            <w:shd w:val="clear" w:color="auto" w:fill="DEEAF6"/>
          </w:tcPr>
          <w:p w14:paraId="5C156B0C" w14:textId="78BC57A3" w:rsidR="00077124" w:rsidRPr="00CD0AFE" w:rsidRDefault="00077124" w:rsidP="00077124">
            <w:pPr>
              <w:suppressAutoHyphens w:val="0"/>
              <w:rPr>
                <w:rFonts w:cs="Calibri"/>
                <w:color w:val="auto"/>
                <w:sz w:val="18"/>
                <w:szCs w:val="18"/>
                <w:lang w:val="es-ES"/>
              </w:rPr>
            </w:pPr>
            <w:r w:rsidRPr="009252D6">
              <w:rPr>
                <w:rFonts w:cs="Calibri"/>
                <w:color w:val="FF0000"/>
                <w:sz w:val="18"/>
                <w:szCs w:val="18"/>
                <w:lang w:val="es-ES"/>
              </w:rPr>
              <w:t>EN 62722-2-1 - Idéntico</w:t>
            </w:r>
          </w:p>
        </w:tc>
        <w:tc>
          <w:tcPr>
            <w:tcW w:w="3289" w:type="dxa"/>
            <w:tcBorders>
              <w:top w:val="dashSmallGap" w:sz="4" w:space="0" w:color="auto"/>
              <w:bottom w:val="single" w:sz="4" w:space="0" w:color="auto"/>
            </w:tcBorders>
            <w:shd w:val="clear" w:color="auto" w:fill="DEEAF6"/>
          </w:tcPr>
          <w:p w14:paraId="3CB8917D" w14:textId="6C7B10CF" w:rsidR="00077124" w:rsidRPr="00BF7375" w:rsidRDefault="00077124" w:rsidP="00077124">
            <w:pPr>
              <w:suppressAutoHyphens w:val="0"/>
              <w:rPr>
                <w:rFonts w:cs="Calibri"/>
                <w:color w:val="auto"/>
                <w:sz w:val="18"/>
                <w:szCs w:val="18"/>
              </w:rPr>
            </w:pPr>
            <w:r w:rsidRPr="00BF7375">
              <w:rPr>
                <w:rFonts w:cs="Calibri"/>
                <w:color w:val="FF0000"/>
                <w:sz w:val="18"/>
                <w:szCs w:val="18"/>
                <w:lang w:val="en-US"/>
              </w:rPr>
              <w:t>Luminaire performance. Part 2-1: Particular requirements for LED luminaires.</w:t>
            </w:r>
          </w:p>
        </w:tc>
        <w:tc>
          <w:tcPr>
            <w:tcW w:w="1389" w:type="dxa"/>
            <w:tcBorders>
              <w:top w:val="dashSmallGap" w:sz="4" w:space="0" w:color="auto"/>
              <w:bottom w:val="single" w:sz="4" w:space="0" w:color="auto"/>
            </w:tcBorders>
            <w:shd w:val="clear" w:color="auto" w:fill="DEEAF6"/>
          </w:tcPr>
          <w:p w14:paraId="0FB231FE" w14:textId="4840B422" w:rsidR="00077124" w:rsidRPr="00CD0AFE" w:rsidRDefault="00077124" w:rsidP="00077124">
            <w:pPr>
              <w:suppressAutoHyphens w:val="0"/>
              <w:rPr>
                <w:rFonts w:cs="Calibri"/>
                <w:color w:val="auto"/>
                <w:sz w:val="18"/>
                <w:szCs w:val="18"/>
                <w:lang w:val="es-ES"/>
              </w:rPr>
            </w:pPr>
            <w:r w:rsidRPr="009252D6">
              <w:rPr>
                <w:rFonts w:cs="Calibri"/>
                <w:color w:val="FF0000"/>
                <w:sz w:val="18"/>
                <w:szCs w:val="18"/>
                <w:lang w:val="en-US"/>
              </w:rPr>
              <w:t>IEC 62772-2-1:201X - Idéntico</w:t>
            </w:r>
          </w:p>
        </w:tc>
        <w:tc>
          <w:tcPr>
            <w:tcW w:w="2896" w:type="dxa"/>
            <w:tcBorders>
              <w:top w:val="dashSmallGap" w:sz="4" w:space="0" w:color="auto"/>
              <w:bottom w:val="single" w:sz="4" w:space="0" w:color="auto"/>
            </w:tcBorders>
            <w:shd w:val="clear" w:color="auto" w:fill="DEEAF6"/>
          </w:tcPr>
          <w:p w14:paraId="42349EFC" w14:textId="754B5B95" w:rsidR="00077124" w:rsidRPr="00BF7375" w:rsidRDefault="00077124" w:rsidP="00077124">
            <w:pPr>
              <w:suppressAutoHyphens w:val="0"/>
              <w:rPr>
                <w:rFonts w:cs="Calibri"/>
                <w:color w:val="auto"/>
                <w:sz w:val="18"/>
                <w:szCs w:val="18"/>
              </w:rPr>
            </w:pPr>
            <w:r w:rsidRPr="00BF7375">
              <w:rPr>
                <w:rFonts w:cs="Calibri"/>
                <w:color w:val="FF0000"/>
                <w:sz w:val="18"/>
                <w:szCs w:val="18"/>
                <w:lang w:val="en-US"/>
              </w:rPr>
              <w:t>Luminaire performance – Part 2.1: Particular requirements for LED luminaires</w:t>
            </w:r>
          </w:p>
        </w:tc>
      </w:tr>
      <w:tr w:rsidR="00077124" w:rsidRPr="00E8734D" w14:paraId="2E1ABEEE" w14:textId="77777777" w:rsidTr="009E0753">
        <w:trPr>
          <w:cantSplit/>
          <w:trHeight w:val="1134"/>
        </w:trPr>
        <w:tc>
          <w:tcPr>
            <w:tcW w:w="503" w:type="dxa"/>
            <w:tcBorders>
              <w:bottom w:val="dashSmallGap" w:sz="4" w:space="0" w:color="auto"/>
            </w:tcBorders>
            <w:shd w:val="clear" w:color="auto" w:fill="auto"/>
            <w:textDirection w:val="btLr"/>
          </w:tcPr>
          <w:p w14:paraId="7D109DCB" w14:textId="77777777" w:rsidR="00077124" w:rsidRPr="00CD0AFE" w:rsidRDefault="00077124" w:rsidP="00077124">
            <w:pPr>
              <w:suppressAutoHyphens w:val="0"/>
              <w:ind w:left="113" w:right="113"/>
              <w:jc w:val="center"/>
              <w:rPr>
                <w:rFonts w:cs="Calibri"/>
                <w:color w:val="auto"/>
                <w:sz w:val="18"/>
                <w:szCs w:val="18"/>
              </w:rPr>
            </w:pPr>
            <w:r w:rsidRPr="00CD0AFE">
              <w:rPr>
                <w:rFonts w:cs="Calibri"/>
                <w:color w:val="auto"/>
                <w:sz w:val="18"/>
                <w:szCs w:val="18"/>
              </w:rPr>
              <w:t>Norma</w:t>
            </w:r>
          </w:p>
        </w:tc>
        <w:tc>
          <w:tcPr>
            <w:tcW w:w="1193" w:type="dxa"/>
            <w:tcBorders>
              <w:bottom w:val="dashSmallGap" w:sz="4" w:space="0" w:color="auto"/>
            </w:tcBorders>
            <w:shd w:val="clear" w:color="auto" w:fill="auto"/>
          </w:tcPr>
          <w:p w14:paraId="01827D32"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UNE-EN 62838:2016</w:t>
            </w:r>
          </w:p>
        </w:tc>
        <w:tc>
          <w:tcPr>
            <w:tcW w:w="3402" w:type="dxa"/>
            <w:tcBorders>
              <w:bottom w:val="dashSmallGap" w:sz="4" w:space="0" w:color="auto"/>
            </w:tcBorders>
            <w:shd w:val="clear" w:color="auto" w:fill="auto"/>
          </w:tcPr>
          <w:p w14:paraId="060991CD" w14:textId="77777777" w:rsidR="00077124" w:rsidRPr="00CD0AFE" w:rsidRDefault="00077124" w:rsidP="00077124">
            <w:pPr>
              <w:suppressAutoHyphens w:val="0"/>
              <w:rPr>
                <w:rFonts w:cs="Calibri"/>
                <w:color w:val="auto"/>
                <w:sz w:val="18"/>
                <w:szCs w:val="18"/>
              </w:rPr>
            </w:pPr>
            <w:r w:rsidRPr="00CD0AFE">
              <w:rPr>
                <w:rFonts w:cs="Calibri"/>
                <w:color w:val="auto"/>
                <w:sz w:val="18"/>
                <w:szCs w:val="18"/>
                <w:lang w:val="es-ES"/>
              </w:rPr>
              <w:t xml:space="preserve">Lámparas LED semi-integradas para servicios generales de iluminación con tensiones de alimentación no superiores a 50 V eficaces en corriente alterna o 120 V sin rizado en corriente continua. </w:t>
            </w:r>
            <w:r w:rsidRPr="00CD0AFE">
              <w:rPr>
                <w:rFonts w:cs="Calibri"/>
                <w:color w:val="auto"/>
                <w:sz w:val="18"/>
                <w:szCs w:val="18"/>
              </w:rPr>
              <w:t>Especificaciones de seguridad.</w:t>
            </w:r>
          </w:p>
        </w:tc>
        <w:tc>
          <w:tcPr>
            <w:tcW w:w="1276" w:type="dxa"/>
            <w:tcBorders>
              <w:bottom w:val="dashSmallGap" w:sz="4" w:space="0" w:color="auto"/>
            </w:tcBorders>
            <w:shd w:val="clear" w:color="auto" w:fill="auto"/>
          </w:tcPr>
          <w:p w14:paraId="382B2683"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EN 62838:2016 - Idéntico</w:t>
            </w:r>
          </w:p>
        </w:tc>
        <w:tc>
          <w:tcPr>
            <w:tcW w:w="3289" w:type="dxa"/>
            <w:tcBorders>
              <w:bottom w:val="dashSmallGap" w:sz="4" w:space="0" w:color="auto"/>
            </w:tcBorders>
            <w:shd w:val="clear" w:color="auto" w:fill="auto"/>
          </w:tcPr>
          <w:p w14:paraId="6A714809"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LEDsi lamps for general lighting services with supply voltages not exceeding 50 v a.c. r.m.s. or 120 v ripple free D.C. - Safety specifications</w:t>
            </w:r>
          </w:p>
        </w:tc>
        <w:tc>
          <w:tcPr>
            <w:tcW w:w="1389" w:type="dxa"/>
            <w:tcBorders>
              <w:bottom w:val="dashSmallGap" w:sz="4" w:space="0" w:color="auto"/>
            </w:tcBorders>
            <w:shd w:val="clear" w:color="auto" w:fill="auto"/>
          </w:tcPr>
          <w:p w14:paraId="16E5770F" w14:textId="77777777" w:rsidR="00077124" w:rsidRPr="00CD0AFE" w:rsidRDefault="00077124" w:rsidP="00077124">
            <w:pPr>
              <w:suppressAutoHyphens w:val="0"/>
              <w:rPr>
                <w:rFonts w:cs="Calibri"/>
                <w:color w:val="auto"/>
                <w:sz w:val="18"/>
                <w:szCs w:val="18"/>
                <w:lang w:val="es-ES"/>
              </w:rPr>
            </w:pPr>
            <w:r w:rsidRPr="00CD0AFE">
              <w:rPr>
                <w:rFonts w:cs="Calibri"/>
                <w:color w:val="auto"/>
                <w:sz w:val="18"/>
                <w:szCs w:val="18"/>
                <w:lang w:val="es-ES"/>
              </w:rPr>
              <w:t>IEC 62838:201X - Idéntico</w:t>
            </w:r>
          </w:p>
          <w:p w14:paraId="7C15429A" w14:textId="77777777" w:rsidR="00077124" w:rsidRPr="00CD0AFE" w:rsidRDefault="00077124" w:rsidP="00077124">
            <w:pPr>
              <w:suppressAutoHyphens w:val="0"/>
              <w:rPr>
                <w:rFonts w:cs="Calibri"/>
                <w:color w:val="auto"/>
                <w:sz w:val="18"/>
                <w:szCs w:val="18"/>
                <w:lang w:val="es-ES"/>
              </w:rPr>
            </w:pPr>
            <w:r w:rsidRPr="00CD0AFE">
              <w:rPr>
                <w:rFonts w:cs="Calibri"/>
                <w:color w:val="auto"/>
                <w:sz w:val="18"/>
                <w:szCs w:val="18"/>
                <w:lang w:val="es-ES"/>
              </w:rPr>
              <w:t>IEC 62838:2015 - Idéntico</w:t>
            </w:r>
          </w:p>
        </w:tc>
        <w:tc>
          <w:tcPr>
            <w:tcW w:w="2896" w:type="dxa"/>
            <w:tcBorders>
              <w:bottom w:val="dashSmallGap" w:sz="4" w:space="0" w:color="auto"/>
            </w:tcBorders>
            <w:shd w:val="clear" w:color="auto" w:fill="auto"/>
          </w:tcPr>
          <w:p w14:paraId="56A90B13"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LEDsi lamps for general lighting services with supply voltages not exceeding 50 V a.c. r.m.s. or 120 V ripple free d.c. - Safety specifications</w:t>
            </w:r>
          </w:p>
        </w:tc>
      </w:tr>
      <w:tr w:rsidR="00077124" w:rsidRPr="00E8734D" w14:paraId="5C488CFC" w14:textId="77777777" w:rsidTr="009E0753">
        <w:trPr>
          <w:cantSplit/>
          <w:trHeight w:val="1134"/>
        </w:trPr>
        <w:tc>
          <w:tcPr>
            <w:tcW w:w="503" w:type="dxa"/>
            <w:tcBorders>
              <w:top w:val="dashSmallGap" w:sz="4" w:space="0" w:color="auto"/>
            </w:tcBorders>
            <w:shd w:val="clear" w:color="auto" w:fill="auto"/>
            <w:textDirection w:val="btLr"/>
          </w:tcPr>
          <w:p w14:paraId="531B80EF" w14:textId="77777777" w:rsidR="00077124" w:rsidRPr="00CD0AFE" w:rsidRDefault="00077124" w:rsidP="00077124">
            <w:pPr>
              <w:suppressAutoHyphens w:val="0"/>
              <w:ind w:left="113" w:right="113"/>
              <w:jc w:val="center"/>
              <w:rPr>
                <w:rFonts w:cs="Calibri"/>
                <w:color w:val="auto"/>
                <w:sz w:val="18"/>
                <w:szCs w:val="18"/>
                <w:lang w:val="es-ES"/>
              </w:rPr>
            </w:pPr>
            <w:r w:rsidRPr="00CD0AFE">
              <w:rPr>
                <w:rFonts w:cs="Calibri"/>
                <w:color w:val="auto"/>
                <w:sz w:val="18"/>
                <w:szCs w:val="18"/>
                <w:lang w:val="es-ES"/>
              </w:rPr>
              <w:t>Últ. mod.</w:t>
            </w:r>
          </w:p>
        </w:tc>
        <w:tc>
          <w:tcPr>
            <w:tcW w:w="1193" w:type="dxa"/>
            <w:tcBorders>
              <w:top w:val="dashSmallGap" w:sz="4" w:space="0" w:color="auto"/>
            </w:tcBorders>
            <w:shd w:val="clear" w:color="auto" w:fill="auto"/>
          </w:tcPr>
          <w:p w14:paraId="612E2DCF" w14:textId="77777777" w:rsidR="00077124" w:rsidRPr="00CD0AFE" w:rsidRDefault="00077124" w:rsidP="00077124">
            <w:pPr>
              <w:suppressAutoHyphens w:val="0"/>
              <w:rPr>
                <w:rFonts w:cs="Calibri"/>
                <w:color w:val="auto"/>
                <w:sz w:val="18"/>
                <w:szCs w:val="18"/>
                <w:lang w:val="es-ES"/>
              </w:rPr>
            </w:pPr>
            <w:r w:rsidRPr="00CD0AFE">
              <w:rPr>
                <w:rFonts w:cs="Calibri"/>
                <w:color w:val="auto"/>
                <w:sz w:val="18"/>
                <w:szCs w:val="18"/>
                <w:lang w:val="es-ES"/>
              </w:rPr>
              <w:t>PNE-EN 62838:2016/AC:2017-11</w:t>
            </w:r>
          </w:p>
        </w:tc>
        <w:tc>
          <w:tcPr>
            <w:tcW w:w="3402" w:type="dxa"/>
            <w:tcBorders>
              <w:top w:val="dashSmallGap" w:sz="4" w:space="0" w:color="auto"/>
            </w:tcBorders>
            <w:shd w:val="clear" w:color="auto" w:fill="auto"/>
          </w:tcPr>
          <w:p w14:paraId="43A04800" w14:textId="77777777" w:rsidR="00077124" w:rsidRPr="00CD0AFE" w:rsidRDefault="00077124" w:rsidP="00077124">
            <w:pPr>
              <w:suppressAutoHyphens w:val="0"/>
              <w:rPr>
                <w:rFonts w:cs="Calibri"/>
                <w:color w:val="auto"/>
                <w:sz w:val="18"/>
                <w:szCs w:val="18"/>
              </w:rPr>
            </w:pPr>
            <w:r w:rsidRPr="00CD0AFE">
              <w:rPr>
                <w:rFonts w:cs="Calibri"/>
                <w:color w:val="auto"/>
                <w:sz w:val="18"/>
                <w:szCs w:val="18"/>
                <w:lang w:val="es-ES"/>
              </w:rPr>
              <w:t xml:space="preserve">Lámparas LED semi-integradas para servicios generales de iluminación con tensiones de alimentación no superiores a 50 V eficaces en corriente alterna o 120 V sin rizado en corriente continua. </w:t>
            </w:r>
            <w:r w:rsidRPr="00CD0AFE">
              <w:rPr>
                <w:rFonts w:cs="Calibri"/>
                <w:color w:val="auto"/>
                <w:sz w:val="18"/>
                <w:szCs w:val="18"/>
              </w:rPr>
              <w:t>Especificaciones de seguridad.</w:t>
            </w:r>
          </w:p>
        </w:tc>
        <w:tc>
          <w:tcPr>
            <w:tcW w:w="1276" w:type="dxa"/>
            <w:tcBorders>
              <w:top w:val="dashSmallGap" w:sz="4" w:space="0" w:color="auto"/>
            </w:tcBorders>
            <w:shd w:val="clear" w:color="auto" w:fill="auto"/>
          </w:tcPr>
          <w:p w14:paraId="76F6EDC1"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EN 62838:2016/AC:2017-11</w:t>
            </w:r>
          </w:p>
        </w:tc>
        <w:tc>
          <w:tcPr>
            <w:tcW w:w="3289" w:type="dxa"/>
            <w:tcBorders>
              <w:top w:val="dashSmallGap" w:sz="4" w:space="0" w:color="auto"/>
            </w:tcBorders>
            <w:shd w:val="clear" w:color="auto" w:fill="auto"/>
          </w:tcPr>
          <w:p w14:paraId="7A0C096F"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LEDsi lamps for general lighting services with supply voltages not exceeding 50 v a.c. r.m.s. or 120 v ripple free D.C. - Safety specifications</w:t>
            </w:r>
          </w:p>
        </w:tc>
        <w:tc>
          <w:tcPr>
            <w:tcW w:w="1389" w:type="dxa"/>
            <w:tcBorders>
              <w:top w:val="dashSmallGap" w:sz="4" w:space="0" w:color="auto"/>
            </w:tcBorders>
            <w:shd w:val="clear" w:color="auto" w:fill="auto"/>
          </w:tcPr>
          <w:p w14:paraId="3AD2DF23"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IEC 62838:2015/COR1:2017</w:t>
            </w:r>
          </w:p>
        </w:tc>
        <w:tc>
          <w:tcPr>
            <w:tcW w:w="2896" w:type="dxa"/>
            <w:tcBorders>
              <w:top w:val="dashSmallGap" w:sz="4" w:space="0" w:color="auto"/>
            </w:tcBorders>
            <w:shd w:val="clear" w:color="auto" w:fill="auto"/>
          </w:tcPr>
          <w:p w14:paraId="46C70646"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LEDsi lamps for general lighting services with supply voltages not exceeding 50 V a.c. r.m.s. or 120 V ripple free d.c. - Safety specifications</w:t>
            </w:r>
          </w:p>
        </w:tc>
      </w:tr>
      <w:tr w:rsidR="00077124" w:rsidRPr="00E8734D" w14:paraId="0D34E73F" w14:textId="77777777" w:rsidTr="009E0753">
        <w:trPr>
          <w:cantSplit/>
          <w:trHeight w:val="1134"/>
        </w:trPr>
        <w:tc>
          <w:tcPr>
            <w:tcW w:w="503" w:type="dxa"/>
            <w:shd w:val="clear" w:color="auto" w:fill="DEEAF6"/>
            <w:textDirection w:val="btLr"/>
          </w:tcPr>
          <w:p w14:paraId="66558C6A" w14:textId="77777777" w:rsidR="00077124" w:rsidRPr="00CD0AFE" w:rsidRDefault="00077124" w:rsidP="00077124">
            <w:pPr>
              <w:suppressAutoHyphens w:val="0"/>
              <w:ind w:left="113" w:right="113"/>
              <w:jc w:val="center"/>
              <w:rPr>
                <w:rFonts w:cs="Calibri"/>
                <w:color w:val="auto"/>
                <w:sz w:val="18"/>
                <w:szCs w:val="18"/>
              </w:rPr>
            </w:pPr>
            <w:r w:rsidRPr="00CD0AFE">
              <w:rPr>
                <w:rFonts w:cs="Calibri"/>
                <w:color w:val="auto"/>
                <w:sz w:val="18"/>
                <w:szCs w:val="18"/>
              </w:rPr>
              <w:t>Norma</w:t>
            </w:r>
          </w:p>
        </w:tc>
        <w:tc>
          <w:tcPr>
            <w:tcW w:w="1193" w:type="dxa"/>
            <w:shd w:val="clear" w:color="auto" w:fill="DEEAF6"/>
          </w:tcPr>
          <w:p w14:paraId="7AF8BBC9"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UNE-EN 62776:2015</w:t>
            </w:r>
          </w:p>
        </w:tc>
        <w:tc>
          <w:tcPr>
            <w:tcW w:w="3402" w:type="dxa"/>
            <w:shd w:val="clear" w:color="auto" w:fill="DEEAF6"/>
          </w:tcPr>
          <w:p w14:paraId="334902D5" w14:textId="77777777" w:rsidR="00077124" w:rsidRPr="00CD0AFE" w:rsidRDefault="00077124" w:rsidP="00077124">
            <w:pPr>
              <w:suppressAutoHyphens w:val="0"/>
              <w:rPr>
                <w:rFonts w:cs="Calibri"/>
                <w:color w:val="auto"/>
                <w:sz w:val="18"/>
                <w:szCs w:val="18"/>
                <w:lang w:val="es-ES"/>
              </w:rPr>
            </w:pPr>
            <w:r w:rsidRPr="00CD0AFE">
              <w:rPr>
                <w:rFonts w:cs="Calibri"/>
                <w:color w:val="auto"/>
                <w:sz w:val="18"/>
                <w:szCs w:val="18"/>
                <w:lang w:val="es-ES"/>
              </w:rPr>
              <w:t>Lámparas LED de doble casquillo diseñadas para sustitución de lámparas fluorescentes lineales. Especificaciones de seguridad</w:t>
            </w:r>
          </w:p>
        </w:tc>
        <w:tc>
          <w:tcPr>
            <w:tcW w:w="1276" w:type="dxa"/>
            <w:shd w:val="clear" w:color="auto" w:fill="DEEAF6"/>
          </w:tcPr>
          <w:p w14:paraId="12FE861D"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EN 62776:2015 - Idéntico</w:t>
            </w:r>
          </w:p>
        </w:tc>
        <w:tc>
          <w:tcPr>
            <w:tcW w:w="3289" w:type="dxa"/>
            <w:shd w:val="clear" w:color="auto" w:fill="DEEAF6"/>
          </w:tcPr>
          <w:p w14:paraId="496BCD1E"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Double-capped LED lamps designed to retrofit linear fluorescent lamps - Safety specifications</w:t>
            </w:r>
          </w:p>
        </w:tc>
        <w:tc>
          <w:tcPr>
            <w:tcW w:w="1389" w:type="dxa"/>
            <w:shd w:val="clear" w:color="auto" w:fill="DEEAF6"/>
          </w:tcPr>
          <w:p w14:paraId="47A8D5C9" w14:textId="77777777" w:rsidR="00077124" w:rsidRPr="00CD0AFE" w:rsidRDefault="00077124" w:rsidP="00077124">
            <w:pPr>
              <w:suppressAutoHyphens w:val="0"/>
              <w:rPr>
                <w:rFonts w:cs="Calibri"/>
                <w:color w:val="auto"/>
                <w:sz w:val="18"/>
                <w:szCs w:val="18"/>
                <w:lang w:val="es-ES"/>
              </w:rPr>
            </w:pPr>
            <w:r w:rsidRPr="00CD0AFE">
              <w:rPr>
                <w:rFonts w:cs="Calibri"/>
                <w:color w:val="auto"/>
                <w:sz w:val="18"/>
                <w:szCs w:val="18"/>
                <w:lang w:val="es-ES"/>
              </w:rPr>
              <w:t>IEC 62776:2014 - Idéntico</w:t>
            </w:r>
          </w:p>
          <w:p w14:paraId="331E4A59" w14:textId="77777777" w:rsidR="00077124" w:rsidRPr="00CD0AFE" w:rsidRDefault="00077124" w:rsidP="00077124">
            <w:pPr>
              <w:suppressAutoHyphens w:val="0"/>
              <w:rPr>
                <w:rFonts w:cs="Calibri"/>
                <w:color w:val="auto"/>
                <w:sz w:val="18"/>
                <w:szCs w:val="18"/>
                <w:lang w:val="es-ES"/>
              </w:rPr>
            </w:pPr>
            <w:r w:rsidRPr="00CD0AFE">
              <w:rPr>
                <w:rFonts w:cs="Calibri"/>
                <w:color w:val="auto"/>
                <w:sz w:val="18"/>
                <w:szCs w:val="18"/>
                <w:lang w:val="es-ES"/>
              </w:rPr>
              <w:t>IEC 62776:2014/COR1:2015 - Idéntico</w:t>
            </w:r>
          </w:p>
        </w:tc>
        <w:tc>
          <w:tcPr>
            <w:tcW w:w="2896" w:type="dxa"/>
            <w:shd w:val="clear" w:color="auto" w:fill="DEEAF6"/>
          </w:tcPr>
          <w:p w14:paraId="2C17195E"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Double-capped LED lamps designed to retrofit linear fluorescent lamps - Safety specifications</w:t>
            </w:r>
          </w:p>
        </w:tc>
      </w:tr>
      <w:tr w:rsidR="00077124" w:rsidRPr="00E8734D" w14:paraId="161DD92C" w14:textId="77777777" w:rsidTr="009E0753">
        <w:trPr>
          <w:cantSplit/>
          <w:trHeight w:val="1134"/>
        </w:trPr>
        <w:tc>
          <w:tcPr>
            <w:tcW w:w="503" w:type="dxa"/>
            <w:shd w:val="clear" w:color="auto" w:fill="auto"/>
            <w:textDirection w:val="btLr"/>
          </w:tcPr>
          <w:p w14:paraId="419802ED" w14:textId="77777777" w:rsidR="00077124" w:rsidRPr="00CD0AFE" w:rsidRDefault="00077124" w:rsidP="00077124">
            <w:pPr>
              <w:suppressAutoHyphens w:val="0"/>
              <w:ind w:left="113" w:right="113"/>
              <w:jc w:val="center"/>
              <w:rPr>
                <w:rFonts w:cs="Calibri"/>
                <w:color w:val="auto"/>
                <w:sz w:val="18"/>
                <w:szCs w:val="18"/>
                <w:lang w:val="es-ES"/>
              </w:rPr>
            </w:pPr>
            <w:r w:rsidRPr="00CD0AFE">
              <w:rPr>
                <w:rFonts w:cs="Calibri"/>
                <w:color w:val="auto"/>
                <w:sz w:val="18"/>
                <w:szCs w:val="18"/>
                <w:lang w:val="es-ES"/>
              </w:rPr>
              <w:t>Norma</w:t>
            </w:r>
          </w:p>
        </w:tc>
        <w:tc>
          <w:tcPr>
            <w:tcW w:w="1193" w:type="dxa"/>
            <w:shd w:val="clear" w:color="auto" w:fill="auto"/>
          </w:tcPr>
          <w:p w14:paraId="7FB509EC"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UNE-EN 62922:2017</w:t>
            </w:r>
          </w:p>
        </w:tc>
        <w:tc>
          <w:tcPr>
            <w:tcW w:w="3402" w:type="dxa"/>
            <w:shd w:val="clear" w:color="auto" w:fill="auto"/>
          </w:tcPr>
          <w:p w14:paraId="5F4A9C0B"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Organic light emitting diode (OLED) panels for general lighting - Performance requirements</w:t>
            </w:r>
          </w:p>
        </w:tc>
        <w:tc>
          <w:tcPr>
            <w:tcW w:w="1276" w:type="dxa"/>
            <w:shd w:val="clear" w:color="auto" w:fill="auto"/>
          </w:tcPr>
          <w:p w14:paraId="4C512ED5"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EN 62922:2017 - Idéntico</w:t>
            </w:r>
          </w:p>
        </w:tc>
        <w:tc>
          <w:tcPr>
            <w:tcW w:w="3289" w:type="dxa"/>
            <w:shd w:val="clear" w:color="auto" w:fill="auto"/>
          </w:tcPr>
          <w:p w14:paraId="617E7D3D"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Organic light emitting diode (OLED) panels for general lighting - Performance requirements</w:t>
            </w:r>
          </w:p>
        </w:tc>
        <w:tc>
          <w:tcPr>
            <w:tcW w:w="1389" w:type="dxa"/>
            <w:shd w:val="clear" w:color="auto" w:fill="auto"/>
          </w:tcPr>
          <w:p w14:paraId="4C978186"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IEC 62922:2016 - Idéntico</w:t>
            </w:r>
          </w:p>
        </w:tc>
        <w:tc>
          <w:tcPr>
            <w:tcW w:w="2896" w:type="dxa"/>
            <w:shd w:val="clear" w:color="auto" w:fill="auto"/>
          </w:tcPr>
          <w:p w14:paraId="6B50CEE3"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Organic light emitting diode (OLED) panels for general lighting - Performance requirements</w:t>
            </w:r>
          </w:p>
        </w:tc>
      </w:tr>
      <w:tr w:rsidR="00077124" w:rsidRPr="00E8734D" w14:paraId="6CD5BCB5" w14:textId="77777777" w:rsidTr="009E0753">
        <w:trPr>
          <w:cantSplit/>
          <w:trHeight w:val="1134"/>
        </w:trPr>
        <w:tc>
          <w:tcPr>
            <w:tcW w:w="503" w:type="dxa"/>
            <w:tcBorders>
              <w:bottom w:val="single" w:sz="4" w:space="0" w:color="auto"/>
            </w:tcBorders>
            <w:shd w:val="clear" w:color="auto" w:fill="DEEAF6"/>
            <w:textDirection w:val="btLr"/>
          </w:tcPr>
          <w:p w14:paraId="12212675" w14:textId="77777777" w:rsidR="00077124" w:rsidRPr="00CD0AFE" w:rsidRDefault="00077124" w:rsidP="00077124">
            <w:pPr>
              <w:suppressAutoHyphens w:val="0"/>
              <w:ind w:left="113" w:right="113"/>
              <w:jc w:val="center"/>
              <w:rPr>
                <w:rFonts w:cs="Calibri"/>
                <w:color w:val="auto"/>
                <w:sz w:val="18"/>
                <w:szCs w:val="18"/>
                <w:lang w:val="es-ES"/>
              </w:rPr>
            </w:pPr>
            <w:r w:rsidRPr="00CD0AFE">
              <w:rPr>
                <w:rFonts w:cs="Calibri"/>
                <w:color w:val="auto"/>
                <w:sz w:val="18"/>
                <w:szCs w:val="18"/>
                <w:lang w:val="es-ES"/>
              </w:rPr>
              <w:t>Norma</w:t>
            </w:r>
          </w:p>
        </w:tc>
        <w:tc>
          <w:tcPr>
            <w:tcW w:w="1193" w:type="dxa"/>
            <w:tcBorders>
              <w:bottom w:val="single" w:sz="4" w:space="0" w:color="auto"/>
            </w:tcBorders>
            <w:shd w:val="clear" w:color="auto" w:fill="DEEAF6"/>
          </w:tcPr>
          <w:p w14:paraId="1CCD1632" w14:textId="77777777" w:rsidR="00077124" w:rsidRPr="00CD0AFE" w:rsidRDefault="00077124" w:rsidP="00077124">
            <w:pPr>
              <w:suppressAutoHyphens w:val="0"/>
              <w:rPr>
                <w:rFonts w:cs="Calibri"/>
                <w:color w:val="auto"/>
                <w:sz w:val="18"/>
                <w:szCs w:val="18"/>
                <w:lang w:val="es-ES"/>
              </w:rPr>
            </w:pPr>
            <w:r w:rsidRPr="00CD0AFE">
              <w:rPr>
                <w:rFonts w:cs="Calibri"/>
                <w:color w:val="auto"/>
                <w:sz w:val="18"/>
                <w:szCs w:val="18"/>
                <w:lang w:val="es-ES"/>
              </w:rPr>
              <w:t>UNE-EN 62868:2016</w:t>
            </w:r>
          </w:p>
        </w:tc>
        <w:tc>
          <w:tcPr>
            <w:tcW w:w="3402" w:type="dxa"/>
            <w:tcBorders>
              <w:bottom w:val="single" w:sz="4" w:space="0" w:color="auto"/>
            </w:tcBorders>
            <w:shd w:val="clear" w:color="auto" w:fill="DEEAF6"/>
          </w:tcPr>
          <w:p w14:paraId="02D93EC8" w14:textId="77777777" w:rsidR="00077124" w:rsidRPr="00CD0AFE" w:rsidRDefault="00077124" w:rsidP="00077124">
            <w:pPr>
              <w:suppressAutoHyphens w:val="0"/>
              <w:rPr>
                <w:rFonts w:cs="Calibri"/>
                <w:color w:val="auto"/>
                <w:sz w:val="18"/>
                <w:szCs w:val="18"/>
              </w:rPr>
            </w:pPr>
            <w:r w:rsidRPr="00CD0AFE">
              <w:rPr>
                <w:rFonts w:cs="Calibri"/>
                <w:color w:val="auto"/>
                <w:sz w:val="18"/>
                <w:szCs w:val="18"/>
                <w:lang w:val="es-ES"/>
              </w:rPr>
              <w:t>Paneles de diodos orgánicos emisores de luz (OLED) para iluminación general. Requisitos de seguri</w:t>
            </w:r>
            <w:r w:rsidRPr="00CD0AFE">
              <w:rPr>
                <w:rFonts w:cs="Calibri"/>
                <w:color w:val="auto"/>
                <w:sz w:val="18"/>
                <w:szCs w:val="18"/>
              </w:rPr>
              <w:t>dad.</w:t>
            </w:r>
          </w:p>
        </w:tc>
        <w:tc>
          <w:tcPr>
            <w:tcW w:w="1276" w:type="dxa"/>
            <w:tcBorders>
              <w:bottom w:val="single" w:sz="4" w:space="0" w:color="auto"/>
            </w:tcBorders>
            <w:shd w:val="clear" w:color="auto" w:fill="DEEAF6"/>
          </w:tcPr>
          <w:p w14:paraId="634A1E20"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EN 62868:2015 - Idéntico</w:t>
            </w:r>
          </w:p>
        </w:tc>
        <w:tc>
          <w:tcPr>
            <w:tcW w:w="3289" w:type="dxa"/>
            <w:tcBorders>
              <w:bottom w:val="single" w:sz="4" w:space="0" w:color="auto"/>
            </w:tcBorders>
            <w:shd w:val="clear" w:color="auto" w:fill="DEEAF6"/>
          </w:tcPr>
          <w:p w14:paraId="2D72968F"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Organic light emitting diode (OLED) panels for general lighting - Safety requirements</w:t>
            </w:r>
          </w:p>
        </w:tc>
        <w:tc>
          <w:tcPr>
            <w:tcW w:w="1389" w:type="dxa"/>
            <w:tcBorders>
              <w:bottom w:val="single" w:sz="4" w:space="0" w:color="auto"/>
            </w:tcBorders>
            <w:shd w:val="clear" w:color="auto" w:fill="DEEAF6"/>
          </w:tcPr>
          <w:p w14:paraId="2006A9C4" w14:textId="77777777" w:rsidR="00077124" w:rsidRPr="00CD0AFE" w:rsidRDefault="00077124" w:rsidP="00077124">
            <w:pPr>
              <w:suppressAutoHyphens w:val="0"/>
              <w:rPr>
                <w:rFonts w:cs="Calibri"/>
                <w:color w:val="auto"/>
                <w:sz w:val="18"/>
                <w:szCs w:val="18"/>
                <w:lang w:val="es-ES"/>
              </w:rPr>
            </w:pPr>
            <w:r w:rsidRPr="00CD0AFE">
              <w:rPr>
                <w:rFonts w:cs="Calibri"/>
                <w:color w:val="auto"/>
                <w:sz w:val="18"/>
                <w:szCs w:val="18"/>
                <w:lang w:val="es-ES"/>
              </w:rPr>
              <w:t>IEC 62868:201X - Idéntico</w:t>
            </w:r>
          </w:p>
          <w:p w14:paraId="3AAB986C" w14:textId="77777777" w:rsidR="00077124" w:rsidRPr="00CD0AFE" w:rsidRDefault="00077124" w:rsidP="00077124">
            <w:pPr>
              <w:suppressAutoHyphens w:val="0"/>
              <w:rPr>
                <w:rFonts w:cs="Calibri"/>
                <w:color w:val="auto"/>
                <w:sz w:val="18"/>
                <w:szCs w:val="18"/>
                <w:lang w:val="es-ES"/>
              </w:rPr>
            </w:pPr>
            <w:r w:rsidRPr="00CD0AFE">
              <w:rPr>
                <w:rFonts w:cs="Calibri"/>
                <w:color w:val="auto"/>
                <w:sz w:val="18"/>
                <w:szCs w:val="18"/>
                <w:lang w:val="es-ES"/>
              </w:rPr>
              <w:t>IEC 62868:2014 - Idéntico</w:t>
            </w:r>
          </w:p>
        </w:tc>
        <w:tc>
          <w:tcPr>
            <w:tcW w:w="2896" w:type="dxa"/>
            <w:tcBorders>
              <w:bottom w:val="single" w:sz="4" w:space="0" w:color="auto"/>
            </w:tcBorders>
            <w:shd w:val="clear" w:color="auto" w:fill="DEEAF6"/>
          </w:tcPr>
          <w:p w14:paraId="6403475E"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Organic light emitting diode (OLED) panels for general lighting - Safety requirements</w:t>
            </w:r>
          </w:p>
        </w:tc>
      </w:tr>
      <w:tr w:rsidR="00077124" w:rsidRPr="00E8734D" w14:paraId="47354FF6" w14:textId="77777777" w:rsidTr="009E0753">
        <w:trPr>
          <w:cantSplit/>
          <w:trHeight w:val="1134"/>
        </w:trPr>
        <w:tc>
          <w:tcPr>
            <w:tcW w:w="503" w:type="dxa"/>
            <w:tcBorders>
              <w:bottom w:val="dashSmallGap" w:sz="4" w:space="0" w:color="auto"/>
            </w:tcBorders>
            <w:shd w:val="clear" w:color="auto" w:fill="auto"/>
            <w:textDirection w:val="btLr"/>
          </w:tcPr>
          <w:p w14:paraId="5EB56A9B" w14:textId="77777777" w:rsidR="00077124" w:rsidRPr="00CD0AFE" w:rsidRDefault="00077124" w:rsidP="00077124">
            <w:pPr>
              <w:suppressAutoHyphens w:val="0"/>
              <w:ind w:left="113" w:right="113"/>
              <w:jc w:val="center"/>
              <w:rPr>
                <w:rFonts w:cs="Calibri"/>
                <w:color w:val="auto"/>
                <w:sz w:val="18"/>
                <w:szCs w:val="18"/>
                <w:lang w:val="es-ES"/>
              </w:rPr>
            </w:pPr>
            <w:r w:rsidRPr="00CD0AFE">
              <w:rPr>
                <w:rFonts w:cs="Calibri"/>
                <w:color w:val="auto"/>
                <w:sz w:val="18"/>
                <w:szCs w:val="18"/>
                <w:lang w:val="es-ES"/>
              </w:rPr>
              <w:t>Norma</w:t>
            </w:r>
          </w:p>
        </w:tc>
        <w:tc>
          <w:tcPr>
            <w:tcW w:w="1193" w:type="dxa"/>
            <w:tcBorders>
              <w:bottom w:val="dashSmallGap" w:sz="4" w:space="0" w:color="auto"/>
            </w:tcBorders>
            <w:shd w:val="clear" w:color="auto" w:fill="auto"/>
          </w:tcPr>
          <w:p w14:paraId="70C7AA13" w14:textId="77777777" w:rsidR="00077124" w:rsidRPr="00BF7375" w:rsidRDefault="00077124" w:rsidP="00077124">
            <w:pPr>
              <w:suppressAutoHyphens w:val="0"/>
              <w:rPr>
                <w:rFonts w:cs="Calibri"/>
                <w:color w:val="auto"/>
                <w:sz w:val="18"/>
                <w:szCs w:val="18"/>
                <w:lang w:val="es-ES"/>
              </w:rPr>
            </w:pPr>
            <w:r w:rsidRPr="00BF7375">
              <w:rPr>
                <w:rFonts w:cs="Calibri"/>
                <w:color w:val="auto"/>
                <w:sz w:val="18"/>
                <w:szCs w:val="18"/>
                <w:lang w:val="es-ES"/>
              </w:rPr>
              <w:t>UNE-EN 60188:2002</w:t>
            </w:r>
          </w:p>
          <w:p w14:paraId="36D49F14" w14:textId="77777777" w:rsidR="00077124" w:rsidRPr="00BF7375" w:rsidRDefault="00077124" w:rsidP="00077124">
            <w:pPr>
              <w:suppressAutoHyphens w:val="0"/>
              <w:rPr>
                <w:rFonts w:cs="Calibri"/>
                <w:color w:val="auto"/>
                <w:sz w:val="18"/>
                <w:szCs w:val="18"/>
                <w:lang w:val="es-ES"/>
              </w:rPr>
            </w:pPr>
            <w:r w:rsidRPr="00BF7375">
              <w:rPr>
                <w:rFonts w:cs="Calibri"/>
                <w:color w:val="auto"/>
                <w:sz w:val="18"/>
                <w:szCs w:val="18"/>
                <w:lang w:val="es-ES"/>
              </w:rPr>
              <w:t>UNE-EN 60188:2002 ERRATUM</w:t>
            </w:r>
          </w:p>
        </w:tc>
        <w:tc>
          <w:tcPr>
            <w:tcW w:w="3402" w:type="dxa"/>
            <w:tcBorders>
              <w:bottom w:val="dashSmallGap" w:sz="4" w:space="0" w:color="auto"/>
            </w:tcBorders>
            <w:shd w:val="clear" w:color="auto" w:fill="auto"/>
          </w:tcPr>
          <w:p w14:paraId="15E785A1" w14:textId="77777777" w:rsidR="00077124" w:rsidRPr="00CD0AFE" w:rsidRDefault="00077124" w:rsidP="00077124">
            <w:pPr>
              <w:suppressAutoHyphens w:val="0"/>
              <w:rPr>
                <w:rFonts w:cs="Calibri"/>
                <w:color w:val="auto"/>
                <w:sz w:val="18"/>
                <w:szCs w:val="18"/>
              </w:rPr>
            </w:pPr>
            <w:r w:rsidRPr="00CD0AFE">
              <w:rPr>
                <w:rFonts w:cs="Calibri"/>
                <w:color w:val="auto"/>
                <w:sz w:val="18"/>
                <w:szCs w:val="18"/>
                <w:lang w:val="es-ES"/>
              </w:rPr>
              <w:t xml:space="preserve">Lámparas de vapor de mercurio a alta presión. </w:t>
            </w:r>
            <w:r w:rsidRPr="00CD0AFE">
              <w:rPr>
                <w:rFonts w:cs="Calibri"/>
                <w:color w:val="auto"/>
                <w:sz w:val="18"/>
                <w:szCs w:val="18"/>
              </w:rPr>
              <w:t>Requisitos de funcionamiento.</w:t>
            </w:r>
          </w:p>
        </w:tc>
        <w:tc>
          <w:tcPr>
            <w:tcW w:w="1276" w:type="dxa"/>
            <w:tcBorders>
              <w:bottom w:val="dashSmallGap" w:sz="4" w:space="0" w:color="auto"/>
            </w:tcBorders>
            <w:shd w:val="clear" w:color="auto" w:fill="auto"/>
          </w:tcPr>
          <w:p w14:paraId="6DFE3047"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 xml:space="preserve">EN 60188:2001 - Idéntico </w:t>
            </w:r>
          </w:p>
        </w:tc>
        <w:tc>
          <w:tcPr>
            <w:tcW w:w="3289" w:type="dxa"/>
            <w:tcBorders>
              <w:bottom w:val="dashSmallGap" w:sz="4" w:space="0" w:color="auto"/>
            </w:tcBorders>
            <w:shd w:val="clear" w:color="auto" w:fill="auto"/>
          </w:tcPr>
          <w:p w14:paraId="4B8EF5E0"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High-pressure mercury vapour lamps — Performance specifications</w:t>
            </w:r>
          </w:p>
        </w:tc>
        <w:tc>
          <w:tcPr>
            <w:tcW w:w="1389" w:type="dxa"/>
            <w:tcBorders>
              <w:bottom w:val="dashSmallGap" w:sz="4" w:space="0" w:color="auto"/>
            </w:tcBorders>
            <w:shd w:val="clear" w:color="auto" w:fill="auto"/>
          </w:tcPr>
          <w:p w14:paraId="467B635F"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IEC 60188:2001 - Idéntico</w:t>
            </w:r>
          </w:p>
        </w:tc>
        <w:tc>
          <w:tcPr>
            <w:tcW w:w="2896" w:type="dxa"/>
            <w:tcBorders>
              <w:bottom w:val="dashSmallGap" w:sz="4" w:space="0" w:color="auto"/>
            </w:tcBorders>
            <w:shd w:val="clear" w:color="auto" w:fill="auto"/>
          </w:tcPr>
          <w:p w14:paraId="06A01AEB"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High-pressure mercury vapour lamps - Performance specifications</w:t>
            </w:r>
          </w:p>
        </w:tc>
      </w:tr>
      <w:tr w:rsidR="00077124" w:rsidRPr="00E8734D" w14:paraId="6CF7DBAB" w14:textId="77777777" w:rsidTr="009E0753">
        <w:trPr>
          <w:cantSplit/>
          <w:trHeight w:val="1134"/>
        </w:trPr>
        <w:tc>
          <w:tcPr>
            <w:tcW w:w="503" w:type="dxa"/>
            <w:tcBorders>
              <w:top w:val="dashSmallGap" w:sz="4" w:space="0" w:color="auto"/>
              <w:bottom w:val="single" w:sz="4" w:space="0" w:color="auto"/>
            </w:tcBorders>
            <w:shd w:val="clear" w:color="auto" w:fill="auto"/>
            <w:textDirection w:val="btLr"/>
          </w:tcPr>
          <w:p w14:paraId="634958BF" w14:textId="77777777" w:rsidR="00077124" w:rsidRPr="00CD0AFE" w:rsidRDefault="00077124" w:rsidP="00077124">
            <w:pPr>
              <w:suppressAutoHyphens w:val="0"/>
              <w:ind w:left="113" w:right="113"/>
              <w:jc w:val="center"/>
              <w:rPr>
                <w:rFonts w:cs="Calibri"/>
                <w:color w:val="auto"/>
                <w:sz w:val="18"/>
                <w:szCs w:val="18"/>
                <w:lang w:val="es-ES"/>
              </w:rPr>
            </w:pPr>
            <w:r w:rsidRPr="00CD0AFE">
              <w:rPr>
                <w:rFonts w:cs="Calibri"/>
                <w:color w:val="auto"/>
                <w:sz w:val="18"/>
                <w:szCs w:val="18"/>
                <w:lang w:val="es-ES"/>
              </w:rPr>
              <w:t>Últ. mod.</w:t>
            </w:r>
          </w:p>
        </w:tc>
        <w:tc>
          <w:tcPr>
            <w:tcW w:w="1193" w:type="dxa"/>
            <w:tcBorders>
              <w:top w:val="dashSmallGap" w:sz="4" w:space="0" w:color="auto"/>
              <w:bottom w:val="single" w:sz="4" w:space="0" w:color="auto"/>
            </w:tcBorders>
            <w:shd w:val="clear" w:color="auto" w:fill="auto"/>
          </w:tcPr>
          <w:p w14:paraId="0FDE8310" w14:textId="77777777" w:rsidR="00077124" w:rsidRPr="00CD0AFE" w:rsidRDefault="00077124" w:rsidP="00077124">
            <w:pPr>
              <w:suppressAutoHyphens w:val="0"/>
              <w:rPr>
                <w:rFonts w:cs="Calibri"/>
                <w:color w:val="auto"/>
                <w:sz w:val="18"/>
                <w:szCs w:val="18"/>
                <w:lang w:val="es-ES"/>
              </w:rPr>
            </w:pPr>
            <w:r w:rsidRPr="00CD0AFE">
              <w:rPr>
                <w:rFonts w:cs="Calibri"/>
                <w:color w:val="auto"/>
                <w:sz w:val="18"/>
                <w:szCs w:val="18"/>
                <w:lang w:val="es-ES"/>
              </w:rPr>
              <w:t>PNE-EN 60188:2001/prAA:2017</w:t>
            </w:r>
          </w:p>
        </w:tc>
        <w:tc>
          <w:tcPr>
            <w:tcW w:w="3402" w:type="dxa"/>
            <w:tcBorders>
              <w:top w:val="dashSmallGap" w:sz="4" w:space="0" w:color="auto"/>
              <w:bottom w:val="single" w:sz="4" w:space="0" w:color="auto"/>
            </w:tcBorders>
            <w:shd w:val="clear" w:color="auto" w:fill="auto"/>
          </w:tcPr>
          <w:p w14:paraId="6656B0F6" w14:textId="77777777" w:rsidR="00077124" w:rsidRPr="00CD0AFE" w:rsidRDefault="00077124" w:rsidP="00077124">
            <w:pPr>
              <w:suppressAutoHyphens w:val="0"/>
              <w:rPr>
                <w:rFonts w:cs="Calibri"/>
                <w:color w:val="auto"/>
                <w:sz w:val="18"/>
                <w:szCs w:val="18"/>
                <w:lang w:val="es-ES"/>
              </w:rPr>
            </w:pPr>
            <w:r w:rsidRPr="00CD0AFE">
              <w:rPr>
                <w:rFonts w:cs="Calibri"/>
                <w:color w:val="auto"/>
                <w:sz w:val="18"/>
                <w:szCs w:val="18"/>
                <w:lang w:val="es-ES"/>
              </w:rPr>
              <w:t>Lámparas de vapor de mercurio a alta presión. Requisitos de funcionamiento.</w:t>
            </w:r>
          </w:p>
        </w:tc>
        <w:tc>
          <w:tcPr>
            <w:tcW w:w="1276" w:type="dxa"/>
            <w:tcBorders>
              <w:top w:val="dashSmallGap" w:sz="4" w:space="0" w:color="auto"/>
              <w:bottom w:val="single" w:sz="4" w:space="0" w:color="auto"/>
            </w:tcBorders>
            <w:shd w:val="clear" w:color="auto" w:fill="auto"/>
          </w:tcPr>
          <w:p w14:paraId="26CFB765" w14:textId="77777777" w:rsidR="00077124" w:rsidRPr="00CD0AFE" w:rsidRDefault="00077124" w:rsidP="00077124">
            <w:pPr>
              <w:suppressAutoHyphens w:val="0"/>
              <w:rPr>
                <w:rFonts w:cs="Calibri"/>
                <w:color w:val="auto"/>
                <w:sz w:val="18"/>
                <w:szCs w:val="18"/>
              </w:rPr>
            </w:pPr>
            <w:r w:rsidRPr="00CD0AFE">
              <w:rPr>
                <w:rFonts w:cs="Calibri"/>
                <w:color w:val="auto"/>
                <w:sz w:val="18"/>
                <w:szCs w:val="18"/>
                <w:lang w:val="es-ES"/>
              </w:rPr>
              <w:t>EN 60188:2001/prAA:</w:t>
            </w:r>
            <w:r w:rsidRPr="00CD0AFE">
              <w:rPr>
                <w:rFonts w:cs="Calibri"/>
                <w:color w:val="auto"/>
                <w:sz w:val="18"/>
                <w:szCs w:val="18"/>
              </w:rPr>
              <w:t>2017</w:t>
            </w:r>
          </w:p>
        </w:tc>
        <w:tc>
          <w:tcPr>
            <w:tcW w:w="3289" w:type="dxa"/>
            <w:tcBorders>
              <w:top w:val="dashSmallGap" w:sz="4" w:space="0" w:color="auto"/>
              <w:bottom w:val="single" w:sz="4" w:space="0" w:color="auto"/>
            </w:tcBorders>
            <w:shd w:val="clear" w:color="auto" w:fill="auto"/>
          </w:tcPr>
          <w:p w14:paraId="09BB51FF"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High-pressure mercury vapour lamps - Performance specifications</w:t>
            </w:r>
          </w:p>
        </w:tc>
        <w:tc>
          <w:tcPr>
            <w:tcW w:w="1389" w:type="dxa"/>
            <w:tcBorders>
              <w:top w:val="dashSmallGap" w:sz="4" w:space="0" w:color="auto"/>
              <w:bottom w:val="single" w:sz="4" w:space="0" w:color="auto"/>
            </w:tcBorders>
            <w:shd w:val="clear" w:color="auto" w:fill="auto"/>
          </w:tcPr>
          <w:p w14:paraId="72454EDE" w14:textId="77777777" w:rsidR="00077124" w:rsidRPr="00CD0AFE" w:rsidRDefault="00077124" w:rsidP="00077124">
            <w:pPr>
              <w:suppressAutoHyphens w:val="0"/>
              <w:rPr>
                <w:rFonts w:cs="Calibri"/>
                <w:color w:val="auto"/>
                <w:sz w:val="18"/>
                <w:szCs w:val="18"/>
              </w:rPr>
            </w:pPr>
          </w:p>
        </w:tc>
        <w:tc>
          <w:tcPr>
            <w:tcW w:w="2896" w:type="dxa"/>
            <w:tcBorders>
              <w:top w:val="dashSmallGap" w:sz="4" w:space="0" w:color="auto"/>
              <w:bottom w:val="single" w:sz="4" w:space="0" w:color="auto"/>
            </w:tcBorders>
            <w:shd w:val="clear" w:color="auto" w:fill="auto"/>
          </w:tcPr>
          <w:p w14:paraId="67EF936E" w14:textId="77777777" w:rsidR="00077124" w:rsidRPr="00CD0AFE" w:rsidRDefault="00077124" w:rsidP="00077124">
            <w:pPr>
              <w:suppressAutoHyphens w:val="0"/>
              <w:rPr>
                <w:rFonts w:cs="Calibri"/>
                <w:color w:val="auto"/>
                <w:sz w:val="18"/>
                <w:szCs w:val="18"/>
              </w:rPr>
            </w:pPr>
          </w:p>
        </w:tc>
      </w:tr>
      <w:tr w:rsidR="00077124" w:rsidRPr="00E8734D" w14:paraId="6AEE2D97" w14:textId="77777777" w:rsidTr="009E0753">
        <w:trPr>
          <w:cantSplit/>
          <w:trHeight w:val="1134"/>
        </w:trPr>
        <w:tc>
          <w:tcPr>
            <w:tcW w:w="503" w:type="dxa"/>
            <w:tcBorders>
              <w:bottom w:val="dashSmallGap" w:sz="4" w:space="0" w:color="auto"/>
            </w:tcBorders>
            <w:shd w:val="clear" w:color="auto" w:fill="DEEAF6"/>
            <w:textDirection w:val="btLr"/>
          </w:tcPr>
          <w:p w14:paraId="7BB320DC" w14:textId="77777777" w:rsidR="00077124" w:rsidRPr="00CD0AFE" w:rsidRDefault="00077124" w:rsidP="00077124">
            <w:pPr>
              <w:suppressAutoHyphens w:val="0"/>
              <w:ind w:left="113" w:right="113"/>
              <w:jc w:val="center"/>
              <w:rPr>
                <w:rFonts w:cs="Calibri"/>
                <w:color w:val="auto"/>
                <w:sz w:val="18"/>
                <w:szCs w:val="18"/>
              </w:rPr>
            </w:pPr>
            <w:r w:rsidRPr="00CD0AFE">
              <w:rPr>
                <w:rFonts w:cs="Calibri"/>
                <w:color w:val="auto"/>
                <w:sz w:val="18"/>
                <w:szCs w:val="18"/>
              </w:rPr>
              <w:t>Norma</w:t>
            </w:r>
          </w:p>
        </w:tc>
        <w:tc>
          <w:tcPr>
            <w:tcW w:w="1193" w:type="dxa"/>
            <w:tcBorders>
              <w:bottom w:val="dashSmallGap" w:sz="4" w:space="0" w:color="auto"/>
            </w:tcBorders>
            <w:shd w:val="clear" w:color="auto" w:fill="DEEAF6"/>
          </w:tcPr>
          <w:p w14:paraId="22008DF0"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UNE-EN 60662:2012</w:t>
            </w:r>
          </w:p>
        </w:tc>
        <w:tc>
          <w:tcPr>
            <w:tcW w:w="3402" w:type="dxa"/>
            <w:tcBorders>
              <w:bottom w:val="dashSmallGap" w:sz="4" w:space="0" w:color="auto"/>
            </w:tcBorders>
            <w:shd w:val="clear" w:color="auto" w:fill="DEEAF6"/>
          </w:tcPr>
          <w:p w14:paraId="0A51E6F7"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High-pressure sodium vapour lamps - Performance specifications</w:t>
            </w:r>
          </w:p>
        </w:tc>
        <w:tc>
          <w:tcPr>
            <w:tcW w:w="1276" w:type="dxa"/>
            <w:tcBorders>
              <w:bottom w:val="dashSmallGap" w:sz="4" w:space="0" w:color="auto"/>
            </w:tcBorders>
            <w:shd w:val="clear" w:color="auto" w:fill="DEEAF6"/>
          </w:tcPr>
          <w:p w14:paraId="03163CBE"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EN 60662:2012 - Idéntico</w:t>
            </w:r>
          </w:p>
        </w:tc>
        <w:tc>
          <w:tcPr>
            <w:tcW w:w="3289" w:type="dxa"/>
            <w:tcBorders>
              <w:bottom w:val="dashSmallGap" w:sz="4" w:space="0" w:color="auto"/>
            </w:tcBorders>
            <w:shd w:val="clear" w:color="auto" w:fill="DEEAF6"/>
          </w:tcPr>
          <w:p w14:paraId="0725028B"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High-pressure sodium vapour lamps — Performance specifications</w:t>
            </w:r>
          </w:p>
        </w:tc>
        <w:tc>
          <w:tcPr>
            <w:tcW w:w="1389" w:type="dxa"/>
            <w:tcBorders>
              <w:bottom w:val="dashSmallGap" w:sz="4" w:space="0" w:color="auto"/>
            </w:tcBorders>
            <w:shd w:val="clear" w:color="auto" w:fill="DEEAF6"/>
          </w:tcPr>
          <w:p w14:paraId="31DF46D8"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IEC 60662:2011 - Modificación</w:t>
            </w:r>
          </w:p>
        </w:tc>
        <w:tc>
          <w:tcPr>
            <w:tcW w:w="2896" w:type="dxa"/>
            <w:tcBorders>
              <w:bottom w:val="dashSmallGap" w:sz="4" w:space="0" w:color="auto"/>
            </w:tcBorders>
            <w:shd w:val="clear" w:color="auto" w:fill="DEEAF6"/>
          </w:tcPr>
          <w:p w14:paraId="5DADADB7"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High-pressure sodium vapour lamps - Performance specifications</w:t>
            </w:r>
          </w:p>
        </w:tc>
      </w:tr>
      <w:tr w:rsidR="00077124" w:rsidRPr="00E8734D" w14:paraId="1B7E5155" w14:textId="77777777" w:rsidTr="009E0753">
        <w:trPr>
          <w:cantSplit/>
          <w:trHeight w:val="1134"/>
        </w:trPr>
        <w:tc>
          <w:tcPr>
            <w:tcW w:w="503" w:type="dxa"/>
            <w:tcBorders>
              <w:top w:val="dashSmallGap" w:sz="4" w:space="0" w:color="auto"/>
            </w:tcBorders>
            <w:shd w:val="clear" w:color="auto" w:fill="DEEAF6"/>
            <w:textDirection w:val="btLr"/>
          </w:tcPr>
          <w:p w14:paraId="4E57F5C9" w14:textId="77777777" w:rsidR="00077124" w:rsidRPr="00CD0AFE" w:rsidRDefault="00077124" w:rsidP="00077124">
            <w:pPr>
              <w:suppressAutoHyphens w:val="0"/>
              <w:ind w:left="113" w:right="113"/>
              <w:jc w:val="center"/>
              <w:rPr>
                <w:rFonts w:cs="Calibri"/>
                <w:color w:val="auto"/>
                <w:sz w:val="18"/>
                <w:szCs w:val="18"/>
              </w:rPr>
            </w:pPr>
            <w:r w:rsidRPr="00CD0AFE">
              <w:rPr>
                <w:rFonts w:cs="Calibri"/>
                <w:color w:val="auto"/>
                <w:sz w:val="18"/>
                <w:szCs w:val="18"/>
              </w:rPr>
              <w:t>Últ. mod.</w:t>
            </w:r>
          </w:p>
        </w:tc>
        <w:tc>
          <w:tcPr>
            <w:tcW w:w="1193" w:type="dxa"/>
            <w:tcBorders>
              <w:top w:val="dashSmallGap" w:sz="4" w:space="0" w:color="auto"/>
            </w:tcBorders>
            <w:shd w:val="clear" w:color="auto" w:fill="DEEAF6"/>
          </w:tcPr>
          <w:p w14:paraId="1F7D0AA5"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PNE-EN 60662:2012/prAA:2017</w:t>
            </w:r>
          </w:p>
        </w:tc>
        <w:tc>
          <w:tcPr>
            <w:tcW w:w="3402" w:type="dxa"/>
            <w:tcBorders>
              <w:top w:val="dashSmallGap" w:sz="4" w:space="0" w:color="auto"/>
            </w:tcBorders>
            <w:shd w:val="clear" w:color="auto" w:fill="DEEAF6"/>
          </w:tcPr>
          <w:p w14:paraId="1B0E21A1"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High-pressure sodium vapour lamps - Performance specifications</w:t>
            </w:r>
          </w:p>
        </w:tc>
        <w:tc>
          <w:tcPr>
            <w:tcW w:w="1276" w:type="dxa"/>
            <w:tcBorders>
              <w:top w:val="dashSmallGap" w:sz="4" w:space="0" w:color="auto"/>
            </w:tcBorders>
            <w:shd w:val="clear" w:color="auto" w:fill="DEEAF6"/>
          </w:tcPr>
          <w:p w14:paraId="082CCE1F"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EN 60662:2012/prAA:2017</w:t>
            </w:r>
          </w:p>
        </w:tc>
        <w:tc>
          <w:tcPr>
            <w:tcW w:w="3289" w:type="dxa"/>
            <w:tcBorders>
              <w:top w:val="dashSmallGap" w:sz="4" w:space="0" w:color="auto"/>
            </w:tcBorders>
            <w:shd w:val="clear" w:color="auto" w:fill="DEEAF6"/>
          </w:tcPr>
          <w:p w14:paraId="39EC2A51"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High-pressure sodium vapour lamps — Performance specifications</w:t>
            </w:r>
          </w:p>
        </w:tc>
        <w:tc>
          <w:tcPr>
            <w:tcW w:w="1389" w:type="dxa"/>
            <w:tcBorders>
              <w:top w:val="dashSmallGap" w:sz="4" w:space="0" w:color="auto"/>
            </w:tcBorders>
            <w:shd w:val="clear" w:color="auto" w:fill="DEEAF6"/>
          </w:tcPr>
          <w:p w14:paraId="342041F7" w14:textId="77777777" w:rsidR="00077124" w:rsidRPr="00CD0AFE" w:rsidRDefault="00077124" w:rsidP="00077124">
            <w:pPr>
              <w:suppressAutoHyphens w:val="0"/>
              <w:rPr>
                <w:rFonts w:cs="Calibri"/>
                <w:color w:val="auto"/>
                <w:sz w:val="18"/>
                <w:szCs w:val="18"/>
              </w:rPr>
            </w:pPr>
          </w:p>
        </w:tc>
        <w:tc>
          <w:tcPr>
            <w:tcW w:w="2896" w:type="dxa"/>
            <w:tcBorders>
              <w:top w:val="dashSmallGap" w:sz="4" w:space="0" w:color="auto"/>
            </w:tcBorders>
            <w:shd w:val="clear" w:color="auto" w:fill="DEEAF6"/>
          </w:tcPr>
          <w:p w14:paraId="548F60B8" w14:textId="77777777" w:rsidR="00077124" w:rsidRPr="00CD0AFE" w:rsidRDefault="00077124" w:rsidP="00077124">
            <w:pPr>
              <w:suppressAutoHyphens w:val="0"/>
              <w:rPr>
                <w:rFonts w:cs="Calibri"/>
                <w:color w:val="auto"/>
                <w:sz w:val="18"/>
                <w:szCs w:val="18"/>
              </w:rPr>
            </w:pPr>
          </w:p>
        </w:tc>
      </w:tr>
      <w:tr w:rsidR="00077124" w:rsidRPr="00E8734D" w14:paraId="0372EB10" w14:textId="77777777" w:rsidTr="009E0753">
        <w:trPr>
          <w:cantSplit/>
          <w:trHeight w:val="1134"/>
        </w:trPr>
        <w:tc>
          <w:tcPr>
            <w:tcW w:w="503" w:type="dxa"/>
            <w:tcBorders>
              <w:bottom w:val="single" w:sz="4" w:space="0" w:color="auto"/>
            </w:tcBorders>
            <w:shd w:val="clear" w:color="auto" w:fill="auto"/>
            <w:textDirection w:val="btLr"/>
          </w:tcPr>
          <w:p w14:paraId="5802DF3A" w14:textId="77777777" w:rsidR="00077124" w:rsidRPr="00CD0AFE" w:rsidRDefault="00077124" w:rsidP="00077124">
            <w:pPr>
              <w:suppressAutoHyphens w:val="0"/>
              <w:ind w:left="113" w:right="113"/>
              <w:jc w:val="center"/>
              <w:rPr>
                <w:rFonts w:cs="Calibri"/>
                <w:color w:val="auto"/>
                <w:sz w:val="18"/>
                <w:szCs w:val="18"/>
              </w:rPr>
            </w:pPr>
            <w:r w:rsidRPr="00CD0AFE">
              <w:rPr>
                <w:rFonts w:cs="Calibri"/>
                <w:color w:val="auto"/>
                <w:sz w:val="18"/>
                <w:szCs w:val="18"/>
              </w:rPr>
              <w:t>Norma</w:t>
            </w:r>
          </w:p>
        </w:tc>
        <w:tc>
          <w:tcPr>
            <w:tcW w:w="1193" w:type="dxa"/>
            <w:tcBorders>
              <w:bottom w:val="single" w:sz="4" w:space="0" w:color="auto"/>
            </w:tcBorders>
            <w:shd w:val="clear" w:color="auto" w:fill="auto"/>
          </w:tcPr>
          <w:p w14:paraId="013A9A80"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UNE-EN 61167:2016</w:t>
            </w:r>
          </w:p>
        </w:tc>
        <w:tc>
          <w:tcPr>
            <w:tcW w:w="3402" w:type="dxa"/>
            <w:tcBorders>
              <w:bottom w:val="single" w:sz="4" w:space="0" w:color="auto"/>
            </w:tcBorders>
            <w:shd w:val="clear" w:color="auto" w:fill="auto"/>
          </w:tcPr>
          <w:p w14:paraId="4045DF97"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Metal halide lamps - Performance specification</w:t>
            </w:r>
          </w:p>
        </w:tc>
        <w:tc>
          <w:tcPr>
            <w:tcW w:w="1276" w:type="dxa"/>
            <w:tcBorders>
              <w:bottom w:val="single" w:sz="4" w:space="0" w:color="auto"/>
            </w:tcBorders>
            <w:shd w:val="clear" w:color="auto" w:fill="auto"/>
          </w:tcPr>
          <w:p w14:paraId="539F7B72"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EN 61167:2016 - Idéntico</w:t>
            </w:r>
          </w:p>
        </w:tc>
        <w:tc>
          <w:tcPr>
            <w:tcW w:w="3289" w:type="dxa"/>
            <w:tcBorders>
              <w:bottom w:val="single" w:sz="4" w:space="0" w:color="auto"/>
            </w:tcBorders>
            <w:shd w:val="clear" w:color="auto" w:fill="auto"/>
          </w:tcPr>
          <w:p w14:paraId="284FB6AE"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Metal halide lamps — Performance specifications</w:t>
            </w:r>
          </w:p>
        </w:tc>
        <w:tc>
          <w:tcPr>
            <w:tcW w:w="1389" w:type="dxa"/>
            <w:tcBorders>
              <w:bottom w:val="single" w:sz="4" w:space="0" w:color="auto"/>
            </w:tcBorders>
            <w:shd w:val="clear" w:color="auto" w:fill="auto"/>
          </w:tcPr>
          <w:p w14:paraId="15200B21" w14:textId="77777777" w:rsidR="00077124" w:rsidRPr="00CD0AFE" w:rsidRDefault="00077124" w:rsidP="00077124">
            <w:pPr>
              <w:suppressAutoHyphens w:val="0"/>
              <w:rPr>
                <w:rFonts w:cs="Calibri"/>
                <w:color w:val="auto"/>
                <w:sz w:val="18"/>
                <w:szCs w:val="18"/>
                <w:lang w:val="es-ES"/>
              </w:rPr>
            </w:pPr>
            <w:r w:rsidRPr="00CD0AFE">
              <w:rPr>
                <w:rFonts w:cs="Calibri"/>
                <w:color w:val="auto"/>
                <w:sz w:val="18"/>
                <w:szCs w:val="18"/>
                <w:lang w:val="es-ES"/>
              </w:rPr>
              <w:t>IEC 61167:201X - Idéntico</w:t>
            </w:r>
          </w:p>
          <w:p w14:paraId="0957A345" w14:textId="77777777" w:rsidR="00077124" w:rsidRPr="00CD0AFE" w:rsidRDefault="00077124" w:rsidP="00077124">
            <w:pPr>
              <w:suppressAutoHyphens w:val="0"/>
              <w:rPr>
                <w:rFonts w:cs="Calibri"/>
                <w:color w:val="auto"/>
                <w:sz w:val="18"/>
                <w:szCs w:val="18"/>
                <w:lang w:val="es-ES"/>
              </w:rPr>
            </w:pPr>
            <w:r w:rsidRPr="00CD0AFE">
              <w:rPr>
                <w:rFonts w:cs="Calibri"/>
                <w:color w:val="auto"/>
                <w:sz w:val="18"/>
                <w:szCs w:val="18"/>
                <w:lang w:val="es-ES"/>
              </w:rPr>
              <w:t>IEC 61167:2015 - Modificación</w:t>
            </w:r>
          </w:p>
        </w:tc>
        <w:tc>
          <w:tcPr>
            <w:tcW w:w="2896" w:type="dxa"/>
            <w:tcBorders>
              <w:bottom w:val="single" w:sz="4" w:space="0" w:color="auto"/>
            </w:tcBorders>
            <w:shd w:val="clear" w:color="auto" w:fill="auto"/>
          </w:tcPr>
          <w:p w14:paraId="021F3CFA"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Metal halide lamps - Performance specification</w:t>
            </w:r>
          </w:p>
        </w:tc>
      </w:tr>
      <w:tr w:rsidR="00077124" w:rsidRPr="00E8734D" w14:paraId="767EA2EE" w14:textId="77777777" w:rsidTr="009E0753">
        <w:trPr>
          <w:cantSplit/>
          <w:trHeight w:val="1134"/>
        </w:trPr>
        <w:tc>
          <w:tcPr>
            <w:tcW w:w="503" w:type="dxa"/>
            <w:tcBorders>
              <w:bottom w:val="dashSmallGap" w:sz="4" w:space="0" w:color="auto"/>
            </w:tcBorders>
            <w:shd w:val="clear" w:color="auto" w:fill="DEEAF6"/>
            <w:textDirection w:val="btLr"/>
          </w:tcPr>
          <w:p w14:paraId="6AB066AE" w14:textId="77777777" w:rsidR="00077124" w:rsidRPr="00CD0AFE" w:rsidRDefault="00077124" w:rsidP="00077124">
            <w:pPr>
              <w:suppressAutoHyphens w:val="0"/>
              <w:ind w:left="113" w:right="113"/>
              <w:jc w:val="center"/>
              <w:rPr>
                <w:rFonts w:cs="Calibri"/>
                <w:color w:val="auto"/>
                <w:sz w:val="18"/>
                <w:szCs w:val="18"/>
                <w:lang w:val="es-ES"/>
              </w:rPr>
            </w:pPr>
            <w:r w:rsidRPr="00CD0AFE">
              <w:rPr>
                <w:rFonts w:cs="Calibri"/>
                <w:color w:val="auto"/>
                <w:sz w:val="18"/>
                <w:szCs w:val="18"/>
                <w:lang w:val="es-ES"/>
              </w:rPr>
              <w:t>Norma</w:t>
            </w:r>
          </w:p>
        </w:tc>
        <w:tc>
          <w:tcPr>
            <w:tcW w:w="1193" w:type="dxa"/>
            <w:tcBorders>
              <w:bottom w:val="dashSmallGap" w:sz="4" w:space="0" w:color="auto"/>
            </w:tcBorders>
            <w:shd w:val="clear" w:color="auto" w:fill="DEEAF6"/>
          </w:tcPr>
          <w:p w14:paraId="0C6015F1" w14:textId="77777777" w:rsidR="00077124" w:rsidRPr="00CD0AFE" w:rsidRDefault="00077124" w:rsidP="00077124">
            <w:pPr>
              <w:suppressAutoHyphens w:val="0"/>
              <w:rPr>
                <w:rFonts w:cs="Calibri"/>
                <w:color w:val="auto"/>
                <w:sz w:val="18"/>
                <w:szCs w:val="18"/>
                <w:lang w:val="es-ES"/>
              </w:rPr>
            </w:pPr>
            <w:r w:rsidRPr="00CD0AFE">
              <w:rPr>
                <w:rFonts w:cs="Calibri"/>
                <w:color w:val="auto"/>
                <w:sz w:val="18"/>
                <w:szCs w:val="18"/>
                <w:lang w:val="es-ES"/>
              </w:rPr>
              <w:t>UNE-EN 62035:2015</w:t>
            </w:r>
          </w:p>
        </w:tc>
        <w:tc>
          <w:tcPr>
            <w:tcW w:w="3402" w:type="dxa"/>
            <w:tcBorders>
              <w:bottom w:val="dashSmallGap" w:sz="4" w:space="0" w:color="auto"/>
            </w:tcBorders>
            <w:shd w:val="clear" w:color="auto" w:fill="DEEAF6"/>
          </w:tcPr>
          <w:p w14:paraId="5D3688F4" w14:textId="77777777" w:rsidR="00077124" w:rsidRPr="00CD0AFE" w:rsidRDefault="00077124" w:rsidP="00077124">
            <w:pPr>
              <w:suppressAutoHyphens w:val="0"/>
              <w:rPr>
                <w:rFonts w:cs="Calibri"/>
                <w:color w:val="auto"/>
                <w:sz w:val="18"/>
                <w:szCs w:val="18"/>
                <w:lang w:val="es-ES"/>
              </w:rPr>
            </w:pPr>
            <w:r w:rsidRPr="00CD0AFE">
              <w:rPr>
                <w:rFonts w:cs="Calibri"/>
                <w:color w:val="auto"/>
                <w:sz w:val="18"/>
                <w:szCs w:val="18"/>
                <w:lang w:val="es-ES"/>
              </w:rPr>
              <w:t>Lámparas de descarga (excepto lámparas fluorescentes). Requisitos de seguridad.</w:t>
            </w:r>
          </w:p>
        </w:tc>
        <w:tc>
          <w:tcPr>
            <w:tcW w:w="1276" w:type="dxa"/>
            <w:tcBorders>
              <w:bottom w:val="dashSmallGap" w:sz="4" w:space="0" w:color="auto"/>
            </w:tcBorders>
            <w:shd w:val="clear" w:color="auto" w:fill="DEEAF6"/>
          </w:tcPr>
          <w:p w14:paraId="1030E0A5" w14:textId="77777777" w:rsidR="00077124" w:rsidRPr="00CD0AFE" w:rsidRDefault="00077124" w:rsidP="00077124">
            <w:pPr>
              <w:suppressAutoHyphens w:val="0"/>
              <w:rPr>
                <w:rFonts w:cs="Calibri"/>
                <w:color w:val="auto"/>
                <w:sz w:val="18"/>
                <w:szCs w:val="18"/>
              </w:rPr>
            </w:pPr>
            <w:r w:rsidRPr="00CD0AFE">
              <w:rPr>
                <w:rFonts w:cs="Calibri"/>
                <w:color w:val="auto"/>
                <w:sz w:val="18"/>
                <w:szCs w:val="18"/>
                <w:lang w:val="es-ES"/>
              </w:rPr>
              <w:t xml:space="preserve">EN 62035:2014 - </w:t>
            </w:r>
            <w:r w:rsidRPr="00CD0AFE">
              <w:rPr>
                <w:rFonts w:cs="Calibri"/>
                <w:color w:val="auto"/>
                <w:sz w:val="18"/>
                <w:szCs w:val="18"/>
              </w:rPr>
              <w:t>Idéntico</w:t>
            </w:r>
          </w:p>
        </w:tc>
        <w:tc>
          <w:tcPr>
            <w:tcW w:w="3289" w:type="dxa"/>
            <w:tcBorders>
              <w:bottom w:val="dashSmallGap" w:sz="4" w:space="0" w:color="auto"/>
            </w:tcBorders>
            <w:shd w:val="clear" w:color="auto" w:fill="DEEAF6"/>
          </w:tcPr>
          <w:p w14:paraId="3E26D1EA"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Discharge lamps (excluding fluorescent lamps) - Safety specifications</w:t>
            </w:r>
          </w:p>
        </w:tc>
        <w:tc>
          <w:tcPr>
            <w:tcW w:w="1389" w:type="dxa"/>
            <w:tcBorders>
              <w:bottom w:val="dashSmallGap" w:sz="4" w:space="0" w:color="auto"/>
            </w:tcBorders>
            <w:shd w:val="clear" w:color="auto" w:fill="DEEAF6"/>
          </w:tcPr>
          <w:p w14:paraId="724FCBC8"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IEC 62035:2014 - Modificación</w:t>
            </w:r>
          </w:p>
        </w:tc>
        <w:tc>
          <w:tcPr>
            <w:tcW w:w="2896" w:type="dxa"/>
            <w:tcBorders>
              <w:bottom w:val="dashSmallGap" w:sz="4" w:space="0" w:color="auto"/>
            </w:tcBorders>
            <w:shd w:val="clear" w:color="auto" w:fill="DEEAF6"/>
          </w:tcPr>
          <w:p w14:paraId="7A49A652" w14:textId="77777777" w:rsidR="00077124" w:rsidRPr="00CD0AFE" w:rsidRDefault="00077124" w:rsidP="00077124">
            <w:pPr>
              <w:suppressAutoHyphens w:val="0"/>
              <w:rPr>
                <w:rFonts w:cs="Calibri"/>
                <w:color w:val="auto"/>
                <w:sz w:val="18"/>
                <w:szCs w:val="18"/>
              </w:rPr>
            </w:pPr>
            <w:r w:rsidRPr="00CD0AFE">
              <w:rPr>
                <w:rFonts w:cs="Calibri"/>
                <w:color w:val="auto"/>
                <w:sz w:val="18"/>
                <w:szCs w:val="18"/>
              </w:rPr>
              <w:t>Discharge lamps (excluding flourescent lamps) - Safety specifications</w:t>
            </w:r>
          </w:p>
        </w:tc>
      </w:tr>
      <w:tr w:rsidR="00077124" w:rsidRPr="00E8734D" w14:paraId="50BA69B5" w14:textId="77777777" w:rsidTr="009E0753">
        <w:trPr>
          <w:cantSplit/>
          <w:trHeight w:val="1134"/>
        </w:trPr>
        <w:tc>
          <w:tcPr>
            <w:tcW w:w="503" w:type="dxa"/>
            <w:tcBorders>
              <w:top w:val="dashSmallGap" w:sz="4" w:space="0" w:color="auto"/>
            </w:tcBorders>
            <w:shd w:val="clear" w:color="auto" w:fill="DEEAF6"/>
            <w:textDirection w:val="btLr"/>
          </w:tcPr>
          <w:p w14:paraId="733D6A23" w14:textId="77777777" w:rsidR="00077124" w:rsidRPr="00E8734D" w:rsidRDefault="00077124" w:rsidP="00077124">
            <w:pPr>
              <w:suppressAutoHyphens w:val="0"/>
              <w:ind w:left="113" w:right="113"/>
              <w:jc w:val="center"/>
              <w:rPr>
                <w:rFonts w:cs="Calibri"/>
                <w:color w:val="auto"/>
                <w:sz w:val="18"/>
                <w:szCs w:val="18"/>
              </w:rPr>
            </w:pPr>
            <w:r w:rsidRPr="00E8734D">
              <w:rPr>
                <w:rFonts w:cs="Calibri"/>
                <w:color w:val="auto"/>
                <w:sz w:val="18"/>
                <w:szCs w:val="18"/>
              </w:rPr>
              <w:t>Últ. mod.</w:t>
            </w:r>
          </w:p>
        </w:tc>
        <w:tc>
          <w:tcPr>
            <w:tcW w:w="1193" w:type="dxa"/>
            <w:tcBorders>
              <w:top w:val="dashSmallGap" w:sz="4" w:space="0" w:color="auto"/>
            </w:tcBorders>
            <w:shd w:val="clear" w:color="auto" w:fill="DEEAF6"/>
          </w:tcPr>
          <w:p w14:paraId="161DAD4A" w14:textId="77777777" w:rsidR="00077124" w:rsidRPr="00E8734D" w:rsidRDefault="00077124" w:rsidP="00077124">
            <w:pPr>
              <w:suppressAutoHyphens w:val="0"/>
              <w:rPr>
                <w:rFonts w:cs="Calibri"/>
                <w:color w:val="auto"/>
                <w:sz w:val="18"/>
                <w:szCs w:val="18"/>
              </w:rPr>
            </w:pPr>
            <w:r w:rsidRPr="00E8734D">
              <w:rPr>
                <w:rFonts w:cs="Calibri"/>
                <w:color w:val="auto"/>
                <w:sz w:val="18"/>
                <w:szCs w:val="18"/>
              </w:rPr>
              <w:t>PNE-EN 62035:2014/FprA1:2016</w:t>
            </w:r>
          </w:p>
        </w:tc>
        <w:tc>
          <w:tcPr>
            <w:tcW w:w="3402" w:type="dxa"/>
            <w:tcBorders>
              <w:top w:val="dashSmallGap" w:sz="4" w:space="0" w:color="auto"/>
            </w:tcBorders>
            <w:shd w:val="clear" w:color="auto" w:fill="DEEAF6"/>
          </w:tcPr>
          <w:p w14:paraId="0B8DAB01" w14:textId="77777777" w:rsidR="00077124" w:rsidRPr="00E8734D" w:rsidRDefault="00077124" w:rsidP="00077124">
            <w:pPr>
              <w:suppressAutoHyphens w:val="0"/>
              <w:rPr>
                <w:rFonts w:cs="Calibri"/>
                <w:color w:val="auto"/>
                <w:sz w:val="18"/>
                <w:szCs w:val="18"/>
              </w:rPr>
            </w:pPr>
            <w:r w:rsidRPr="00E8734D">
              <w:rPr>
                <w:rFonts w:cs="Calibri"/>
                <w:color w:val="auto"/>
                <w:sz w:val="18"/>
                <w:szCs w:val="18"/>
                <w:lang w:val="es-ES"/>
              </w:rPr>
              <w:t xml:space="preserve">Lámparas de descarga (excepto lámparas fluorescentes). </w:t>
            </w:r>
            <w:r w:rsidRPr="00E8734D">
              <w:rPr>
                <w:rFonts w:cs="Calibri"/>
                <w:color w:val="auto"/>
                <w:sz w:val="18"/>
                <w:szCs w:val="18"/>
              </w:rPr>
              <w:t>Requisitos de seguridad.</w:t>
            </w:r>
          </w:p>
        </w:tc>
        <w:tc>
          <w:tcPr>
            <w:tcW w:w="1276" w:type="dxa"/>
            <w:tcBorders>
              <w:top w:val="dashSmallGap" w:sz="4" w:space="0" w:color="auto"/>
            </w:tcBorders>
            <w:shd w:val="clear" w:color="auto" w:fill="DEEAF6"/>
          </w:tcPr>
          <w:p w14:paraId="54E604E7" w14:textId="77777777" w:rsidR="00077124" w:rsidRPr="00E8734D" w:rsidRDefault="00077124" w:rsidP="00077124">
            <w:pPr>
              <w:suppressAutoHyphens w:val="0"/>
              <w:rPr>
                <w:rFonts w:cs="Calibri"/>
                <w:color w:val="auto"/>
                <w:sz w:val="18"/>
                <w:szCs w:val="18"/>
              </w:rPr>
            </w:pPr>
            <w:r w:rsidRPr="00E8734D">
              <w:rPr>
                <w:rFonts w:cs="Calibri"/>
                <w:color w:val="auto"/>
                <w:sz w:val="18"/>
                <w:szCs w:val="18"/>
              </w:rPr>
              <w:t>EN 62035:2014/FprA1:2016</w:t>
            </w:r>
          </w:p>
        </w:tc>
        <w:tc>
          <w:tcPr>
            <w:tcW w:w="3289" w:type="dxa"/>
            <w:tcBorders>
              <w:top w:val="dashSmallGap" w:sz="4" w:space="0" w:color="auto"/>
            </w:tcBorders>
            <w:shd w:val="clear" w:color="auto" w:fill="DEEAF6"/>
          </w:tcPr>
          <w:p w14:paraId="1756ECF5" w14:textId="77777777" w:rsidR="00077124" w:rsidRPr="00E8734D" w:rsidRDefault="00077124" w:rsidP="00077124">
            <w:pPr>
              <w:suppressAutoHyphens w:val="0"/>
              <w:rPr>
                <w:rFonts w:cs="Calibri"/>
                <w:color w:val="auto"/>
                <w:sz w:val="18"/>
                <w:szCs w:val="18"/>
              </w:rPr>
            </w:pPr>
            <w:r w:rsidRPr="00E8734D">
              <w:rPr>
                <w:rFonts w:cs="Calibri"/>
                <w:color w:val="auto"/>
                <w:sz w:val="18"/>
                <w:szCs w:val="18"/>
              </w:rPr>
              <w:t>Discharge lamps (excluding fluorescent lamps) - Safety specifications</w:t>
            </w:r>
          </w:p>
        </w:tc>
        <w:tc>
          <w:tcPr>
            <w:tcW w:w="1389" w:type="dxa"/>
            <w:tcBorders>
              <w:top w:val="dashSmallGap" w:sz="4" w:space="0" w:color="auto"/>
            </w:tcBorders>
            <w:shd w:val="clear" w:color="auto" w:fill="DEEAF6"/>
          </w:tcPr>
          <w:p w14:paraId="7CCD4113" w14:textId="77777777" w:rsidR="00077124" w:rsidRPr="00E8734D" w:rsidRDefault="00077124" w:rsidP="00077124">
            <w:pPr>
              <w:suppressAutoHyphens w:val="0"/>
              <w:rPr>
                <w:rFonts w:cs="Calibri"/>
                <w:color w:val="auto"/>
                <w:sz w:val="18"/>
                <w:szCs w:val="18"/>
              </w:rPr>
            </w:pPr>
            <w:r w:rsidRPr="00E8734D">
              <w:rPr>
                <w:rFonts w:cs="Calibri"/>
                <w:color w:val="auto"/>
                <w:sz w:val="18"/>
                <w:szCs w:val="18"/>
              </w:rPr>
              <w:t>IEC 62035:2014/A1:201X</w:t>
            </w:r>
          </w:p>
        </w:tc>
        <w:tc>
          <w:tcPr>
            <w:tcW w:w="2896" w:type="dxa"/>
            <w:tcBorders>
              <w:top w:val="dashSmallGap" w:sz="4" w:space="0" w:color="auto"/>
            </w:tcBorders>
            <w:shd w:val="clear" w:color="auto" w:fill="DEEAF6"/>
          </w:tcPr>
          <w:p w14:paraId="69468071" w14:textId="77777777" w:rsidR="00077124" w:rsidRPr="00E8734D" w:rsidRDefault="00077124" w:rsidP="00077124">
            <w:pPr>
              <w:suppressAutoHyphens w:val="0"/>
              <w:rPr>
                <w:rFonts w:cs="Calibri"/>
                <w:color w:val="auto"/>
                <w:sz w:val="18"/>
                <w:szCs w:val="18"/>
              </w:rPr>
            </w:pPr>
            <w:r w:rsidRPr="00E8734D">
              <w:rPr>
                <w:rFonts w:cs="Calibri"/>
                <w:color w:val="auto"/>
                <w:sz w:val="18"/>
                <w:szCs w:val="18"/>
              </w:rPr>
              <w:t>Discharge lamps (excluding flourescent lamps) - Safety specifications</w:t>
            </w:r>
          </w:p>
        </w:tc>
      </w:tr>
    </w:tbl>
    <w:p w14:paraId="1A762BDC" w14:textId="77777777" w:rsidR="00E8734D" w:rsidRPr="00E8734D" w:rsidRDefault="00E8734D" w:rsidP="00E8734D">
      <w:pPr>
        <w:suppressAutoHyphens w:val="0"/>
        <w:autoSpaceDN/>
        <w:spacing w:before="0" w:after="160" w:line="259" w:lineRule="auto"/>
        <w:jc w:val="left"/>
        <w:textAlignment w:val="auto"/>
        <w:rPr>
          <w:rFonts w:eastAsia="Calibri"/>
          <w:color w:val="auto"/>
        </w:rPr>
      </w:pPr>
    </w:p>
    <w:p w14:paraId="4A0D1371" w14:textId="77777777" w:rsidR="00E8734D" w:rsidRPr="00E8734D" w:rsidRDefault="00E8734D">
      <w:pPr>
        <w:suppressAutoHyphens w:val="0"/>
      </w:pPr>
    </w:p>
    <w:p w14:paraId="0288BA13" w14:textId="77777777" w:rsidR="00DA3702" w:rsidRPr="00E8734D" w:rsidRDefault="00DA3702">
      <w:pPr>
        <w:suppressAutoHyphens w:val="0"/>
      </w:pPr>
    </w:p>
    <w:p w14:paraId="20981B36" w14:textId="77777777" w:rsidR="00DA3702" w:rsidRPr="00E8734D" w:rsidRDefault="00DA3702">
      <w:pPr>
        <w:suppressAutoHyphens w:val="0"/>
      </w:pPr>
    </w:p>
    <w:p w14:paraId="065F7FC4" w14:textId="77777777" w:rsidR="00DA3702" w:rsidRPr="00E8734D" w:rsidRDefault="00DA3702">
      <w:pPr>
        <w:suppressAutoHyphens w:val="0"/>
      </w:pPr>
    </w:p>
    <w:p w14:paraId="63442797" w14:textId="77777777" w:rsidR="00DA3702" w:rsidRPr="00E8734D" w:rsidRDefault="00DA3702">
      <w:pPr>
        <w:suppressAutoHyphens w:val="0"/>
      </w:pPr>
    </w:p>
    <w:p w14:paraId="05E8BABF" w14:textId="77777777" w:rsidR="00DA3702" w:rsidRPr="00E8734D" w:rsidRDefault="00DA3702">
      <w:pPr>
        <w:suppressAutoHyphens w:val="0"/>
      </w:pPr>
      <w:r w:rsidRPr="00E8734D">
        <w:br w:type="page"/>
      </w:r>
    </w:p>
    <w:p w14:paraId="389532BF" w14:textId="7435DE59" w:rsidR="00705A2E" w:rsidRPr="00316DB7" w:rsidRDefault="00705A2E" w:rsidP="00705A2E">
      <w:pPr>
        <w:pStyle w:val="Heading1"/>
        <w:numPr>
          <w:ilvl w:val="0"/>
          <w:numId w:val="0"/>
        </w:numPr>
        <w:rPr>
          <w:lang w:val="es-ES"/>
        </w:rPr>
      </w:pPr>
      <w:bookmarkStart w:id="82" w:name="_Toc516146046"/>
      <w:r w:rsidRPr="00316DB7">
        <w:rPr>
          <w:lang w:val="es-ES"/>
        </w:rPr>
        <w:t xml:space="preserve">Anexo </w:t>
      </w:r>
      <w:r w:rsidR="004F0EF9">
        <w:rPr>
          <w:lang w:val="es-ES"/>
        </w:rPr>
        <w:t>10</w:t>
      </w:r>
      <w:r w:rsidRPr="00316DB7">
        <w:rPr>
          <w:lang w:val="es-ES"/>
        </w:rPr>
        <w:t xml:space="preserve"> – </w:t>
      </w:r>
      <w:r w:rsidRPr="00A0362A">
        <w:rPr>
          <w:lang w:val="es-ES"/>
        </w:rPr>
        <w:t>L</w:t>
      </w:r>
      <w:r>
        <w:rPr>
          <w:lang w:val="es-ES"/>
        </w:rPr>
        <w:t>ista de NOM-ENER, NMX referenciadas y equivalencia con normas internacionales</w:t>
      </w:r>
      <w:bookmarkEnd w:id="82"/>
    </w:p>
    <w:p w14:paraId="3F087A07" w14:textId="77777777" w:rsidR="00705A2E" w:rsidRDefault="00705A2E">
      <w:pPr>
        <w:suppressAutoHyphens w:val="0"/>
        <w:rPr>
          <w:lang w:val="es-ES"/>
        </w:rPr>
      </w:pPr>
    </w:p>
    <w:tbl>
      <w:tblPr>
        <w:tblStyle w:val="TableGrid2"/>
        <w:tblW w:w="0" w:type="auto"/>
        <w:tblLayout w:type="fixed"/>
        <w:tblLook w:val="04A0" w:firstRow="1" w:lastRow="0" w:firstColumn="1" w:lastColumn="0" w:noHBand="0" w:noVBand="1"/>
      </w:tblPr>
      <w:tblGrid>
        <w:gridCol w:w="1413"/>
        <w:gridCol w:w="3544"/>
        <w:gridCol w:w="1275"/>
        <w:gridCol w:w="3119"/>
        <w:gridCol w:w="1417"/>
        <w:gridCol w:w="3402"/>
      </w:tblGrid>
      <w:tr w:rsidR="00705A2E" w:rsidRPr="00AC52A5" w14:paraId="7014A15A" w14:textId="77777777" w:rsidTr="00263A41">
        <w:trPr>
          <w:cantSplit/>
          <w:tblHeader/>
        </w:trPr>
        <w:tc>
          <w:tcPr>
            <w:tcW w:w="4957" w:type="dxa"/>
            <w:gridSpan w:val="2"/>
            <w:shd w:val="clear" w:color="auto" w:fill="5B9BD5"/>
          </w:tcPr>
          <w:p w14:paraId="69F2218D" w14:textId="77777777" w:rsidR="00705A2E" w:rsidRPr="007A1B54" w:rsidRDefault="00705A2E" w:rsidP="00263A41">
            <w:pPr>
              <w:suppressAutoHyphens w:val="0"/>
              <w:rPr>
                <w:rFonts w:cs="Calibri"/>
                <w:b/>
                <w:color w:val="FFFFFF" w:themeColor="background1"/>
                <w:lang w:val="es-ES"/>
              </w:rPr>
            </w:pPr>
            <w:r w:rsidRPr="007A1B54">
              <w:rPr>
                <w:rFonts w:cs="Calibri"/>
                <w:b/>
                <w:color w:val="FFFFFF" w:themeColor="background1"/>
                <w:lang w:val="es-ES"/>
              </w:rPr>
              <w:t xml:space="preserve">Normas Oficiales Mexicanas de Eficiencia Energética para Productos de Iluminación - Métodos de prueba </w:t>
            </w:r>
          </w:p>
        </w:tc>
        <w:tc>
          <w:tcPr>
            <w:tcW w:w="4394" w:type="dxa"/>
            <w:gridSpan w:val="2"/>
            <w:shd w:val="clear" w:color="auto" w:fill="5B9BD5"/>
          </w:tcPr>
          <w:p w14:paraId="08FE10CB" w14:textId="77777777" w:rsidR="00705A2E" w:rsidRPr="007A1B54" w:rsidRDefault="00705A2E" w:rsidP="00263A41">
            <w:pPr>
              <w:suppressAutoHyphens w:val="0"/>
              <w:rPr>
                <w:rFonts w:cs="Calibri"/>
                <w:b/>
                <w:color w:val="FFFFFF" w:themeColor="background1"/>
              </w:rPr>
            </w:pPr>
            <w:r w:rsidRPr="007A1B54">
              <w:rPr>
                <w:rFonts w:cs="Calibri"/>
                <w:b/>
                <w:color w:val="FFFFFF" w:themeColor="background1"/>
              </w:rPr>
              <w:t>NMX referenciadas / Apéndices</w:t>
            </w:r>
          </w:p>
        </w:tc>
        <w:tc>
          <w:tcPr>
            <w:tcW w:w="4819" w:type="dxa"/>
            <w:gridSpan w:val="2"/>
            <w:shd w:val="clear" w:color="auto" w:fill="5B9BD5"/>
          </w:tcPr>
          <w:p w14:paraId="29CDC1AD" w14:textId="77777777" w:rsidR="00705A2E" w:rsidRDefault="00705A2E" w:rsidP="00263A41">
            <w:pPr>
              <w:suppressAutoHyphens w:val="0"/>
              <w:rPr>
                <w:rFonts w:cs="Calibri"/>
                <w:b/>
                <w:color w:val="FFFFFF" w:themeColor="background1"/>
                <w:lang w:val="es-ES"/>
              </w:rPr>
            </w:pPr>
            <w:r w:rsidRPr="007A1B54">
              <w:rPr>
                <w:rFonts w:cs="Calibri"/>
                <w:b/>
                <w:color w:val="FFFFFF" w:themeColor="background1"/>
                <w:lang w:val="es-ES"/>
              </w:rPr>
              <w:t>Equivalencia con normas internacionales</w:t>
            </w:r>
          </w:p>
          <w:p w14:paraId="15D6E4CF" w14:textId="423ABF78" w:rsidR="00705A2E" w:rsidRPr="007A1B54" w:rsidRDefault="00705A2E" w:rsidP="00263A41">
            <w:pPr>
              <w:suppressAutoHyphens w:val="0"/>
              <w:rPr>
                <w:rFonts w:cs="Calibri"/>
                <w:b/>
                <w:color w:val="FFFFFF" w:themeColor="background1"/>
                <w:lang w:val="es-ES"/>
              </w:rPr>
            </w:pPr>
          </w:p>
        </w:tc>
      </w:tr>
      <w:tr w:rsidR="00705A2E" w:rsidRPr="00914127" w14:paraId="6C3C0F2F" w14:textId="77777777" w:rsidTr="00263A41">
        <w:trPr>
          <w:cantSplit/>
          <w:trHeight w:val="851"/>
        </w:trPr>
        <w:tc>
          <w:tcPr>
            <w:tcW w:w="1413" w:type="dxa"/>
            <w:tcBorders>
              <w:bottom w:val="dashSmallGap" w:sz="4" w:space="0" w:color="auto"/>
            </w:tcBorders>
            <w:shd w:val="clear" w:color="auto" w:fill="9CC2E5"/>
          </w:tcPr>
          <w:p w14:paraId="627EF6D3" w14:textId="77777777" w:rsidR="00705A2E" w:rsidRPr="00A0362A" w:rsidRDefault="00705A2E" w:rsidP="00263A41">
            <w:pPr>
              <w:suppressAutoHyphens w:val="0"/>
              <w:rPr>
                <w:rFonts w:cs="Calibri"/>
                <w:b/>
                <w:color w:val="auto"/>
                <w:sz w:val="18"/>
                <w:szCs w:val="18"/>
                <w:lang w:val="es-ES"/>
              </w:rPr>
            </w:pPr>
            <w:r w:rsidRPr="00A0362A">
              <w:rPr>
                <w:rFonts w:cs="Calibri"/>
                <w:b/>
                <w:color w:val="auto"/>
                <w:sz w:val="18"/>
                <w:szCs w:val="18"/>
                <w:lang w:val="es-ES"/>
              </w:rPr>
              <w:t>NOM-028-ENER-2010, con modificaciones 2013, 2017</w:t>
            </w:r>
          </w:p>
        </w:tc>
        <w:tc>
          <w:tcPr>
            <w:tcW w:w="3544" w:type="dxa"/>
            <w:tcBorders>
              <w:bottom w:val="dashSmallGap" w:sz="4" w:space="0" w:color="auto"/>
            </w:tcBorders>
            <w:shd w:val="clear" w:color="auto" w:fill="9CC2E5"/>
          </w:tcPr>
          <w:p w14:paraId="3BCFE3AE" w14:textId="77777777" w:rsidR="00705A2E" w:rsidRPr="00A0362A" w:rsidRDefault="00705A2E" w:rsidP="00263A41">
            <w:pPr>
              <w:suppressAutoHyphens w:val="0"/>
              <w:rPr>
                <w:rFonts w:cs="Calibri"/>
                <w:b/>
                <w:color w:val="auto"/>
                <w:sz w:val="18"/>
                <w:szCs w:val="18"/>
                <w:lang w:val="es-ES"/>
              </w:rPr>
            </w:pPr>
            <w:r w:rsidRPr="00A0362A">
              <w:rPr>
                <w:rFonts w:cs="Calibri"/>
                <w:b/>
                <w:color w:val="auto"/>
                <w:sz w:val="18"/>
                <w:szCs w:val="18"/>
                <w:lang w:val="es-ES"/>
              </w:rPr>
              <w:t>Eficiencia energética de lámparas para uso general. Límites y métodos de prueba, publicada el 6 de diciembre de 2010</w:t>
            </w:r>
          </w:p>
        </w:tc>
        <w:tc>
          <w:tcPr>
            <w:tcW w:w="1275" w:type="dxa"/>
            <w:tcBorders>
              <w:bottom w:val="dashSmallGap" w:sz="4" w:space="0" w:color="auto"/>
            </w:tcBorders>
            <w:shd w:val="clear" w:color="auto" w:fill="9CC2E5"/>
          </w:tcPr>
          <w:p w14:paraId="315E5AAF" w14:textId="77777777" w:rsidR="00705A2E" w:rsidRPr="00A0362A" w:rsidRDefault="00705A2E" w:rsidP="00263A41">
            <w:pPr>
              <w:suppressAutoHyphens w:val="0"/>
              <w:rPr>
                <w:rFonts w:cs="Calibri"/>
                <w:color w:val="auto"/>
                <w:sz w:val="18"/>
                <w:szCs w:val="18"/>
                <w:lang w:val="es-ES"/>
              </w:rPr>
            </w:pPr>
          </w:p>
        </w:tc>
        <w:tc>
          <w:tcPr>
            <w:tcW w:w="3119" w:type="dxa"/>
            <w:tcBorders>
              <w:bottom w:val="dashSmallGap" w:sz="4" w:space="0" w:color="auto"/>
            </w:tcBorders>
            <w:shd w:val="clear" w:color="auto" w:fill="9CC2E5"/>
          </w:tcPr>
          <w:p w14:paraId="0BC9C890" w14:textId="77777777" w:rsidR="00705A2E" w:rsidRPr="00A0362A" w:rsidRDefault="00705A2E" w:rsidP="00263A41">
            <w:pPr>
              <w:suppressAutoHyphens w:val="0"/>
              <w:rPr>
                <w:rFonts w:cs="Calibri"/>
                <w:color w:val="auto"/>
                <w:sz w:val="18"/>
                <w:szCs w:val="18"/>
                <w:lang w:val="es-ES"/>
              </w:rPr>
            </w:pPr>
          </w:p>
        </w:tc>
        <w:tc>
          <w:tcPr>
            <w:tcW w:w="1417" w:type="dxa"/>
            <w:tcBorders>
              <w:bottom w:val="dashSmallGap" w:sz="4" w:space="0" w:color="auto"/>
            </w:tcBorders>
            <w:shd w:val="clear" w:color="auto" w:fill="9CC2E5"/>
          </w:tcPr>
          <w:p w14:paraId="571FFFBF" w14:textId="77777777" w:rsidR="00705A2E" w:rsidRPr="00A0362A" w:rsidRDefault="00705A2E" w:rsidP="00263A41">
            <w:pPr>
              <w:suppressAutoHyphens w:val="0"/>
              <w:rPr>
                <w:rFonts w:cs="Calibri"/>
                <w:color w:val="auto"/>
                <w:sz w:val="18"/>
                <w:szCs w:val="18"/>
                <w:lang w:val="es-ES"/>
              </w:rPr>
            </w:pPr>
          </w:p>
        </w:tc>
        <w:tc>
          <w:tcPr>
            <w:tcW w:w="3402" w:type="dxa"/>
            <w:tcBorders>
              <w:bottom w:val="dashSmallGap" w:sz="4" w:space="0" w:color="auto"/>
            </w:tcBorders>
            <w:shd w:val="clear" w:color="auto" w:fill="9CC2E5"/>
          </w:tcPr>
          <w:p w14:paraId="01A32E83" w14:textId="77777777" w:rsidR="00705A2E" w:rsidRPr="00A0362A" w:rsidRDefault="00705A2E" w:rsidP="00263A41">
            <w:pPr>
              <w:suppressAutoHyphens w:val="0"/>
              <w:rPr>
                <w:rFonts w:cs="Calibri"/>
                <w:color w:val="auto"/>
                <w:sz w:val="18"/>
                <w:szCs w:val="18"/>
                <w:lang w:val="es-ES"/>
              </w:rPr>
            </w:pPr>
          </w:p>
        </w:tc>
      </w:tr>
      <w:tr w:rsidR="00705A2E" w:rsidRPr="00A0362A" w14:paraId="6320C7E0" w14:textId="77777777" w:rsidTr="00263A41">
        <w:trPr>
          <w:cantSplit/>
          <w:trHeight w:val="851"/>
        </w:trPr>
        <w:tc>
          <w:tcPr>
            <w:tcW w:w="1413" w:type="dxa"/>
            <w:tcBorders>
              <w:top w:val="dashSmallGap" w:sz="4" w:space="0" w:color="auto"/>
              <w:bottom w:val="single" w:sz="4" w:space="0" w:color="auto"/>
            </w:tcBorders>
            <w:shd w:val="clear" w:color="auto" w:fill="DEEAF6"/>
          </w:tcPr>
          <w:p w14:paraId="571F75BC" w14:textId="77777777" w:rsidR="00705A2E" w:rsidRPr="00A0362A" w:rsidRDefault="00705A2E" w:rsidP="00263A41">
            <w:pPr>
              <w:suppressAutoHyphens w:val="0"/>
              <w:rPr>
                <w:rFonts w:cs="Calibri"/>
                <w:b/>
                <w:color w:val="auto"/>
                <w:sz w:val="18"/>
                <w:szCs w:val="18"/>
                <w:lang w:val="es-ES"/>
              </w:rPr>
            </w:pPr>
            <w:r w:rsidRPr="00A0362A">
              <w:rPr>
                <w:rFonts w:cs="Calibri"/>
                <w:b/>
                <w:color w:val="auto"/>
                <w:sz w:val="18"/>
                <w:szCs w:val="18"/>
                <w:lang w:val="es-ES"/>
              </w:rPr>
              <w:t>NOM-028-ENER-2010 - Sección 7</w:t>
            </w:r>
          </w:p>
        </w:tc>
        <w:tc>
          <w:tcPr>
            <w:tcW w:w="3544" w:type="dxa"/>
            <w:tcBorders>
              <w:top w:val="dashSmallGap" w:sz="4" w:space="0" w:color="auto"/>
              <w:bottom w:val="single" w:sz="4" w:space="0" w:color="auto"/>
            </w:tcBorders>
            <w:shd w:val="clear" w:color="auto" w:fill="DEEAF6"/>
          </w:tcPr>
          <w:p w14:paraId="6CF495D2" w14:textId="77777777" w:rsidR="00705A2E" w:rsidRPr="00A0362A" w:rsidRDefault="00705A2E" w:rsidP="00263A41">
            <w:pPr>
              <w:suppressAutoHyphens w:val="0"/>
              <w:rPr>
                <w:rFonts w:cs="Calibri"/>
                <w:b/>
                <w:color w:val="auto"/>
                <w:sz w:val="18"/>
                <w:szCs w:val="18"/>
                <w:lang w:val="es-ES"/>
              </w:rPr>
            </w:pPr>
            <w:r w:rsidRPr="00A0362A">
              <w:rPr>
                <w:rFonts w:cs="Calibri"/>
                <w:b/>
                <w:color w:val="auto"/>
                <w:sz w:val="18"/>
                <w:szCs w:val="18"/>
                <w:lang w:val="es-ES"/>
              </w:rPr>
              <w:t>Métodos de prueba</w:t>
            </w:r>
          </w:p>
          <w:p w14:paraId="7E248209" w14:textId="77777777" w:rsidR="00705A2E" w:rsidRPr="00A0362A" w:rsidRDefault="00705A2E" w:rsidP="00263A41">
            <w:pPr>
              <w:suppressAutoHyphens w:val="0"/>
              <w:rPr>
                <w:rFonts w:cs="Calibri"/>
                <w:b/>
                <w:color w:val="auto"/>
                <w:sz w:val="18"/>
                <w:szCs w:val="18"/>
              </w:rPr>
            </w:pPr>
          </w:p>
        </w:tc>
        <w:tc>
          <w:tcPr>
            <w:tcW w:w="1275" w:type="dxa"/>
            <w:tcBorders>
              <w:top w:val="dashSmallGap" w:sz="4" w:space="0" w:color="auto"/>
              <w:bottom w:val="single" w:sz="4" w:space="0" w:color="auto"/>
            </w:tcBorders>
            <w:shd w:val="clear" w:color="auto" w:fill="DEEAF6"/>
          </w:tcPr>
          <w:p w14:paraId="599D9113" w14:textId="77777777" w:rsidR="00705A2E" w:rsidRPr="00A0362A" w:rsidRDefault="00705A2E" w:rsidP="00263A41">
            <w:pPr>
              <w:suppressAutoHyphens w:val="0"/>
              <w:rPr>
                <w:rFonts w:cs="Calibri"/>
                <w:b/>
                <w:color w:val="auto"/>
                <w:sz w:val="18"/>
                <w:szCs w:val="18"/>
              </w:rPr>
            </w:pPr>
          </w:p>
        </w:tc>
        <w:tc>
          <w:tcPr>
            <w:tcW w:w="3119" w:type="dxa"/>
            <w:tcBorders>
              <w:top w:val="dashSmallGap" w:sz="4" w:space="0" w:color="auto"/>
              <w:bottom w:val="single" w:sz="4" w:space="0" w:color="auto"/>
            </w:tcBorders>
            <w:shd w:val="clear" w:color="auto" w:fill="DEEAF6"/>
          </w:tcPr>
          <w:p w14:paraId="0CD35ED8" w14:textId="77777777" w:rsidR="00705A2E" w:rsidRPr="00A0362A" w:rsidRDefault="00705A2E" w:rsidP="00263A41">
            <w:pPr>
              <w:suppressAutoHyphens w:val="0"/>
              <w:rPr>
                <w:rFonts w:cs="Calibri"/>
                <w:b/>
                <w:color w:val="auto"/>
                <w:sz w:val="18"/>
                <w:szCs w:val="18"/>
                <w:lang w:val="es-ES"/>
              </w:rPr>
            </w:pPr>
          </w:p>
        </w:tc>
        <w:tc>
          <w:tcPr>
            <w:tcW w:w="1417" w:type="dxa"/>
            <w:tcBorders>
              <w:top w:val="dashSmallGap" w:sz="4" w:space="0" w:color="auto"/>
              <w:bottom w:val="single" w:sz="4" w:space="0" w:color="auto"/>
            </w:tcBorders>
            <w:shd w:val="clear" w:color="auto" w:fill="DEEAF6"/>
          </w:tcPr>
          <w:p w14:paraId="23EA4F40" w14:textId="77777777" w:rsidR="00705A2E" w:rsidRPr="00A0362A" w:rsidRDefault="00705A2E" w:rsidP="00263A41">
            <w:pPr>
              <w:suppressAutoHyphens w:val="0"/>
              <w:rPr>
                <w:rFonts w:cs="Calibri"/>
                <w:color w:val="auto"/>
                <w:sz w:val="18"/>
                <w:szCs w:val="18"/>
                <w:lang w:val="es-ES"/>
              </w:rPr>
            </w:pPr>
          </w:p>
        </w:tc>
        <w:tc>
          <w:tcPr>
            <w:tcW w:w="3402" w:type="dxa"/>
            <w:tcBorders>
              <w:top w:val="dashSmallGap" w:sz="4" w:space="0" w:color="auto"/>
              <w:bottom w:val="single" w:sz="4" w:space="0" w:color="auto"/>
            </w:tcBorders>
            <w:shd w:val="clear" w:color="auto" w:fill="DEEAF6"/>
          </w:tcPr>
          <w:p w14:paraId="6EEF085D" w14:textId="77777777" w:rsidR="00705A2E" w:rsidRPr="00A0362A" w:rsidRDefault="00705A2E" w:rsidP="00263A41">
            <w:pPr>
              <w:suppressAutoHyphens w:val="0"/>
              <w:rPr>
                <w:rFonts w:cs="Calibri"/>
                <w:color w:val="auto"/>
                <w:sz w:val="18"/>
                <w:szCs w:val="18"/>
                <w:lang w:val="es-ES"/>
              </w:rPr>
            </w:pPr>
          </w:p>
        </w:tc>
      </w:tr>
      <w:tr w:rsidR="00705A2E" w:rsidRPr="00914127" w14:paraId="0895C94F" w14:textId="77777777" w:rsidTr="00263A41">
        <w:trPr>
          <w:cantSplit/>
          <w:trHeight w:val="851"/>
        </w:trPr>
        <w:tc>
          <w:tcPr>
            <w:tcW w:w="1413" w:type="dxa"/>
            <w:tcBorders>
              <w:top w:val="dashSmallGap" w:sz="4" w:space="0" w:color="auto"/>
              <w:bottom w:val="single" w:sz="4" w:space="0" w:color="auto"/>
            </w:tcBorders>
          </w:tcPr>
          <w:p w14:paraId="7BA0D262" w14:textId="77777777" w:rsidR="00705A2E" w:rsidRPr="00A0362A" w:rsidRDefault="00705A2E" w:rsidP="00263A41">
            <w:pPr>
              <w:suppressAutoHyphens w:val="0"/>
              <w:rPr>
                <w:rFonts w:cs="Calibri"/>
                <w:b/>
                <w:color w:val="auto"/>
                <w:sz w:val="18"/>
                <w:szCs w:val="18"/>
                <w:lang w:val="es-ES"/>
              </w:rPr>
            </w:pPr>
          </w:p>
        </w:tc>
        <w:tc>
          <w:tcPr>
            <w:tcW w:w="3544" w:type="dxa"/>
            <w:tcBorders>
              <w:top w:val="dashSmallGap" w:sz="4" w:space="0" w:color="auto"/>
              <w:bottom w:val="single" w:sz="4" w:space="0" w:color="auto"/>
            </w:tcBorders>
          </w:tcPr>
          <w:p w14:paraId="63B3FD06"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7.1 Lámparas incandescentes, incandescente con halógenos y LFC autobalastradas</w:t>
            </w:r>
          </w:p>
          <w:p w14:paraId="0AFEC01A"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(Eficacia luminosa)</w:t>
            </w:r>
          </w:p>
        </w:tc>
        <w:tc>
          <w:tcPr>
            <w:tcW w:w="1275" w:type="dxa"/>
            <w:tcBorders>
              <w:top w:val="dashSmallGap" w:sz="4" w:space="0" w:color="auto"/>
              <w:bottom w:val="single" w:sz="4" w:space="0" w:color="auto"/>
            </w:tcBorders>
          </w:tcPr>
          <w:p w14:paraId="6A1C4EA7" w14:textId="77777777" w:rsidR="00705A2E" w:rsidRPr="00EE4ED3" w:rsidRDefault="00705A2E" w:rsidP="00263A41">
            <w:pPr>
              <w:suppressAutoHyphens w:val="0"/>
              <w:rPr>
                <w:rFonts w:cs="Calibri"/>
                <w:color w:val="auto"/>
                <w:sz w:val="18"/>
                <w:szCs w:val="18"/>
              </w:rPr>
            </w:pPr>
            <w:r w:rsidRPr="00EE4ED3">
              <w:rPr>
                <w:rFonts w:cs="Calibri"/>
                <w:color w:val="auto"/>
                <w:sz w:val="18"/>
                <w:szCs w:val="18"/>
              </w:rPr>
              <w:t>NMX-J-019-ANCE-2006</w:t>
            </w:r>
          </w:p>
        </w:tc>
        <w:tc>
          <w:tcPr>
            <w:tcW w:w="3119" w:type="dxa"/>
            <w:tcBorders>
              <w:top w:val="dashSmallGap" w:sz="4" w:space="0" w:color="auto"/>
              <w:bottom w:val="single" w:sz="4" w:space="0" w:color="auto"/>
            </w:tcBorders>
          </w:tcPr>
          <w:p w14:paraId="5B02591F"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Iluminación - Lámparas incandescentes de filamento metálico, para alumbrado general - Especificaciones y métodos de prueba</w:t>
            </w:r>
          </w:p>
        </w:tc>
        <w:tc>
          <w:tcPr>
            <w:tcW w:w="1417" w:type="dxa"/>
            <w:tcBorders>
              <w:top w:val="dashSmallGap" w:sz="4" w:space="0" w:color="auto"/>
              <w:bottom w:val="single" w:sz="4" w:space="0" w:color="auto"/>
            </w:tcBorders>
          </w:tcPr>
          <w:p w14:paraId="0421EF27"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IEC 60064 (1993-12-17)</w:t>
            </w:r>
          </w:p>
        </w:tc>
        <w:tc>
          <w:tcPr>
            <w:tcW w:w="3402" w:type="dxa"/>
            <w:tcBorders>
              <w:top w:val="dashSmallGap" w:sz="4" w:space="0" w:color="auto"/>
              <w:bottom w:val="single" w:sz="4" w:space="0" w:color="auto"/>
            </w:tcBorders>
          </w:tcPr>
          <w:p w14:paraId="24E06C6F" w14:textId="77777777" w:rsidR="00705A2E" w:rsidRPr="00EE4ED3" w:rsidRDefault="00705A2E" w:rsidP="00263A41">
            <w:pPr>
              <w:suppressAutoHyphens w:val="0"/>
              <w:rPr>
                <w:rFonts w:cs="Calibri"/>
                <w:color w:val="auto"/>
                <w:sz w:val="18"/>
                <w:szCs w:val="18"/>
              </w:rPr>
            </w:pPr>
            <w:r w:rsidRPr="00EE4ED3">
              <w:rPr>
                <w:rFonts w:cs="Calibri"/>
                <w:color w:val="auto"/>
                <w:sz w:val="18"/>
                <w:szCs w:val="18"/>
              </w:rPr>
              <w:t>Tungsten filament lamps for domestic and similar general lighting purposes - Performance requirements</w:t>
            </w:r>
          </w:p>
          <w:p w14:paraId="50AC99D1"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(NEQ - diferentes características eléctricas de tensión y potencia)</w:t>
            </w:r>
          </w:p>
        </w:tc>
      </w:tr>
      <w:tr w:rsidR="00705A2E" w:rsidRPr="00A0362A" w14:paraId="7E515215" w14:textId="77777777" w:rsidTr="00263A41">
        <w:trPr>
          <w:cantSplit/>
          <w:trHeight w:val="851"/>
        </w:trPr>
        <w:tc>
          <w:tcPr>
            <w:tcW w:w="1413" w:type="dxa"/>
            <w:tcBorders>
              <w:top w:val="dashSmallGap" w:sz="4" w:space="0" w:color="auto"/>
              <w:bottom w:val="single" w:sz="4" w:space="0" w:color="auto"/>
            </w:tcBorders>
          </w:tcPr>
          <w:p w14:paraId="7558A221" w14:textId="77777777" w:rsidR="00705A2E" w:rsidRPr="00A0362A" w:rsidRDefault="00705A2E" w:rsidP="00263A41">
            <w:pPr>
              <w:suppressAutoHyphens w:val="0"/>
              <w:rPr>
                <w:rFonts w:cs="Calibri"/>
                <w:b/>
                <w:color w:val="auto"/>
                <w:sz w:val="18"/>
                <w:szCs w:val="18"/>
                <w:lang w:val="es-ES"/>
              </w:rPr>
            </w:pPr>
          </w:p>
        </w:tc>
        <w:tc>
          <w:tcPr>
            <w:tcW w:w="3544" w:type="dxa"/>
            <w:tcBorders>
              <w:top w:val="dashSmallGap" w:sz="4" w:space="0" w:color="auto"/>
              <w:bottom w:val="single" w:sz="4" w:space="0" w:color="auto"/>
            </w:tcBorders>
          </w:tcPr>
          <w:p w14:paraId="6450C24C" w14:textId="77777777" w:rsidR="00705A2E" w:rsidRPr="00EE4ED3" w:rsidRDefault="00705A2E" w:rsidP="00263A41">
            <w:pPr>
              <w:suppressAutoHyphens w:val="0"/>
              <w:rPr>
                <w:rFonts w:cs="Calibri"/>
                <w:color w:val="auto"/>
                <w:sz w:val="18"/>
                <w:szCs w:val="18"/>
                <w:lang w:val="es-ES"/>
              </w:rPr>
            </w:pPr>
          </w:p>
        </w:tc>
        <w:tc>
          <w:tcPr>
            <w:tcW w:w="1275" w:type="dxa"/>
            <w:tcBorders>
              <w:top w:val="dashSmallGap" w:sz="4" w:space="0" w:color="auto"/>
              <w:bottom w:val="single" w:sz="4" w:space="0" w:color="auto"/>
            </w:tcBorders>
            <w:shd w:val="clear" w:color="auto" w:fill="auto"/>
          </w:tcPr>
          <w:p w14:paraId="093AD69F" w14:textId="77777777" w:rsidR="00705A2E" w:rsidRPr="00EE4ED3" w:rsidRDefault="00705A2E" w:rsidP="00263A41">
            <w:pPr>
              <w:suppressAutoHyphens w:val="0"/>
              <w:rPr>
                <w:rFonts w:cs="Calibri"/>
                <w:color w:val="auto"/>
                <w:sz w:val="18"/>
                <w:szCs w:val="18"/>
              </w:rPr>
            </w:pPr>
            <w:r w:rsidRPr="00EE4ED3">
              <w:rPr>
                <w:rFonts w:cs="Calibri"/>
                <w:color w:val="auto"/>
                <w:sz w:val="18"/>
                <w:szCs w:val="18"/>
              </w:rPr>
              <w:t>NOM-017-ENER/SCFI-2008</w:t>
            </w:r>
          </w:p>
        </w:tc>
        <w:tc>
          <w:tcPr>
            <w:tcW w:w="3119" w:type="dxa"/>
            <w:tcBorders>
              <w:top w:val="dashSmallGap" w:sz="4" w:space="0" w:color="auto"/>
              <w:bottom w:val="single" w:sz="4" w:space="0" w:color="auto"/>
            </w:tcBorders>
          </w:tcPr>
          <w:p w14:paraId="314852A7"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Eficiencia energética y requisitos de seguridad de lámparas fluorescentes compactas autobalastradas. Límites y métodos de prueba.</w:t>
            </w:r>
          </w:p>
        </w:tc>
        <w:tc>
          <w:tcPr>
            <w:tcW w:w="1417" w:type="dxa"/>
            <w:tcBorders>
              <w:top w:val="dashSmallGap" w:sz="4" w:space="0" w:color="auto"/>
              <w:bottom w:val="single" w:sz="4" w:space="0" w:color="auto"/>
            </w:tcBorders>
          </w:tcPr>
          <w:p w14:paraId="3E978FAF" w14:textId="77777777" w:rsidR="00705A2E" w:rsidRPr="00EE4ED3" w:rsidRDefault="00705A2E" w:rsidP="00263A41">
            <w:pPr>
              <w:suppressAutoHyphens w:val="0"/>
              <w:rPr>
                <w:rFonts w:cs="Calibri"/>
                <w:color w:val="auto"/>
                <w:sz w:val="18"/>
                <w:szCs w:val="18"/>
                <w:lang w:val="es-ES"/>
              </w:rPr>
            </w:pPr>
          </w:p>
        </w:tc>
        <w:tc>
          <w:tcPr>
            <w:tcW w:w="3402" w:type="dxa"/>
            <w:tcBorders>
              <w:top w:val="dashSmallGap" w:sz="4" w:space="0" w:color="auto"/>
              <w:bottom w:val="single" w:sz="4" w:space="0" w:color="auto"/>
            </w:tcBorders>
          </w:tcPr>
          <w:p w14:paraId="576FFD32" w14:textId="77777777" w:rsidR="00705A2E" w:rsidRPr="00EE4ED3" w:rsidRDefault="00705A2E" w:rsidP="00263A41">
            <w:pPr>
              <w:suppressAutoHyphens w:val="0"/>
              <w:rPr>
                <w:rFonts w:cs="Calibri"/>
                <w:color w:val="auto"/>
                <w:sz w:val="18"/>
                <w:szCs w:val="18"/>
                <w:lang w:val="es-ES"/>
              </w:rPr>
            </w:pPr>
          </w:p>
        </w:tc>
      </w:tr>
      <w:tr w:rsidR="00705A2E" w:rsidRPr="00A0362A" w14:paraId="515C1827" w14:textId="77777777" w:rsidTr="00263A41">
        <w:trPr>
          <w:cantSplit/>
          <w:trHeight w:val="851"/>
        </w:trPr>
        <w:tc>
          <w:tcPr>
            <w:tcW w:w="1413" w:type="dxa"/>
            <w:tcBorders>
              <w:top w:val="dashSmallGap" w:sz="4" w:space="0" w:color="auto"/>
              <w:bottom w:val="single" w:sz="4" w:space="0" w:color="auto"/>
            </w:tcBorders>
          </w:tcPr>
          <w:p w14:paraId="10C6F78D" w14:textId="77777777" w:rsidR="00705A2E" w:rsidRPr="00A0362A" w:rsidRDefault="00705A2E" w:rsidP="00263A41">
            <w:pPr>
              <w:suppressAutoHyphens w:val="0"/>
              <w:rPr>
                <w:rFonts w:cs="Calibri"/>
                <w:b/>
                <w:color w:val="auto"/>
                <w:sz w:val="18"/>
                <w:szCs w:val="18"/>
                <w:lang w:val="es-ES"/>
              </w:rPr>
            </w:pPr>
          </w:p>
        </w:tc>
        <w:tc>
          <w:tcPr>
            <w:tcW w:w="3544" w:type="dxa"/>
            <w:tcBorders>
              <w:top w:val="dashSmallGap" w:sz="4" w:space="0" w:color="auto"/>
              <w:bottom w:val="single" w:sz="4" w:space="0" w:color="auto"/>
            </w:tcBorders>
          </w:tcPr>
          <w:p w14:paraId="3C13A2E1"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7.2 Lámparas fluorescentes lineales</w:t>
            </w:r>
          </w:p>
          <w:p w14:paraId="585C7697" w14:textId="3A1F3659"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(Eficacia luminosa</w:t>
            </w:r>
            <w:r w:rsidR="002F66F4">
              <w:rPr>
                <w:rFonts w:cs="Calibri"/>
                <w:color w:val="auto"/>
                <w:sz w:val="18"/>
                <w:szCs w:val="18"/>
                <w:lang w:val="es-ES"/>
              </w:rPr>
              <w:t xml:space="preserve"> y otras características</w:t>
            </w:r>
            <w:r w:rsidRPr="00EE4ED3">
              <w:rPr>
                <w:rFonts w:cs="Calibri"/>
                <w:color w:val="auto"/>
                <w:sz w:val="18"/>
                <w:szCs w:val="18"/>
                <w:lang w:val="es-ES"/>
              </w:rPr>
              <w:t>)</w:t>
            </w:r>
          </w:p>
        </w:tc>
        <w:tc>
          <w:tcPr>
            <w:tcW w:w="1275" w:type="dxa"/>
            <w:tcBorders>
              <w:top w:val="dashSmallGap" w:sz="4" w:space="0" w:color="auto"/>
              <w:bottom w:val="single" w:sz="4" w:space="0" w:color="auto"/>
            </w:tcBorders>
            <w:shd w:val="clear" w:color="auto" w:fill="auto"/>
          </w:tcPr>
          <w:p w14:paraId="6E3E6B6D"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NMX-J-295-ANCE-1999</w:t>
            </w:r>
          </w:p>
          <w:p w14:paraId="6BAC1601"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reemplazada por:</w:t>
            </w:r>
          </w:p>
          <w:p w14:paraId="7FF336EC" w14:textId="1A21CCFB" w:rsidR="00705A2E" w:rsidRPr="00BF7375" w:rsidRDefault="00705A2E" w:rsidP="00263A41">
            <w:pPr>
              <w:suppressAutoHyphens w:val="0"/>
              <w:rPr>
                <w:rFonts w:cs="Calibri"/>
                <w:color w:val="auto"/>
                <w:sz w:val="18"/>
                <w:szCs w:val="18"/>
                <w:lang w:val="en-US"/>
              </w:rPr>
            </w:pPr>
            <w:r w:rsidRPr="00BF7375">
              <w:rPr>
                <w:rFonts w:cs="Calibri"/>
                <w:color w:val="auto"/>
                <w:sz w:val="18"/>
                <w:szCs w:val="18"/>
                <w:lang w:val="en-US"/>
              </w:rPr>
              <w:t>NMX-J-295/1-ANCE-2011</w:t>
            </w:r>
          </w:p>
          <w:p w14:paraId="43D5034C" w14:textId="0888F62D" w:rsidR="002F66F4" w:rsidRPr="00BF7375" w:rsidRDefault="002F66F4" w:rsidP="00107DBE">
            <w:pPr>
              <w:suppressAutoHyphens w:val="0"/>
              <w:rPr>
                <w:rFonts w:cs="Calibri"/>
                <w:color w:val="auto"/>
                <w:sz w:val="18"/>
                <w:szCs w:val="18"/>
                <w:lang w:val="en-US"/>
              </w:rPr>
            </w:pPr>
            <w:r w:rsidRPr="00BF7375">
              <w:rPr>
                <w:rFonts w:cs="Calibri"/>
                <w:color w:val="auto"/>
                <w:sz w:val="18"/>
                <w:szCs w:val="18"/>
                <w:lang w:val="en-US"/>
              </w:rPr>
              <w:t>NMX-J-295/2-ANCE-201</w:t>
            </w:r>
            <w:r w:rsidR="00107DBE" w:rsidRPr="00BF7375">
              <w:rPr>
                <w:rFonts w:cs="Calibri"/>
                <w:color w:val="auto"/>
                <w:sz w:val="18"/>
                <w:szCs w:val="18"/>
                <w:lang w:val="en-US"/>
              </w:rPr>
              <w:t>0</w:t>
            </w:r>
          </w:p>
        </w:tc>
        <w:tc>
          <w:tcPr>
            <w:tcW w:w="3119" w:type="dxa"/>
            <w:tcBorders>
              <w:top w:val="dashSmallGap" w:sz="4" w:space="0" w:color="auto"/>
              <w:bottom w:val="single" w:sz="4" w:space="0" w:color="auto"/>
            </w:tcBorders>
          </w:tcPr>
          <w:p w14:paraId="5DEC59D7"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Productos eléctricos - Iluminación - Lámparas fluorescentes para alumbrado general - Especificaciones y métodos de prueba.</w:t>
            </w:r>
          </w:p>
        </w:tc>
        <w:tc>
          <w:tcPr>
            <w:tcW w:w="1417" w:type="dxa"/>
            <w:tcBorders>
              <w:top w:val="dashSmallGap" w:sz="4" w:space="0" w:color="auto"/>
              <w:bottom w:val="single" w:sz="4" w:space="0" w:color="auto"/>
            </w:tcBorders>
          </w:tcPr>
          <w:p w14:paraId="75F836CD" w14:textId="77777777" w:rsidR="00705A2E" w:rsidRPr="00A25AF6" w:rsidRDefault="00705A2E" w:rsidP="00263A41">
            <w:pPr>
              <w:suppressAutoHyphens w:val="0"/>
              <w:rPr>
                <w:rFonts w:cs="Calibri"/>
                <w:color w:val="auto"/>
                <w:sz w:val="18"/>
                <w:szCs w:val="18"/>
                <w:lang w:val="es-ES"/>
              </w:rPr>
            </w:pPr>
            <w:r w:rsidRPr="00A25AF6">
              <w:rPr>
                <w:rFonts w:cs="Calibri"/>
                <w:color w:val="auto"/>
                <w:sz w:val="18"/>
                <w:szCs w:val="18"/>
                <w:lang w:val="es-ES"/>
              </w:rPr>
              <w:t>IEC 60901, ed. 2.2 (2001-11)</w:t>
            </w:r>
          </w:p>
          <w:p w14:paraId="71377FE3" w14:textId="77777777" w:rsidR="00847F63" w:rsidRPr="00A25AF6" w:rsidRDefault="00847F63" w:rsidP="00263A41">
            <w:pPr>
              <w:suppressAutoHyphens w:val="0"/>
              <w:rPr>
                <w:rFonts w:cs="Calibri"/>
                <w:color w:val="auto"/>
                <w:sz w:val="18"/>
                <w:szCs w:val="18"/>
                <w:lang w:val="es-ES"/>
              </w:rPr>
            </w:pPr>
          </w:p>
          <w:p w14:paraId="4F3F8823" w14:textId="5FFF9568" w:rsidR="00847F63" w:rsidRPr="00A25AF6" w:rsidRDefault="00847F63" w:rsidP="00263A41">
            <w:pPr>
              <w:suppressAutoHyphens w:val="0"/>
              <w:rPr>
                <w:rFonts w:cs="Calibri"/>
                <w:color w:val="auto"/>
                <w:sz w:val="18"/>
                <w:szCs w:val="18"/>
                <w:lang w:val="es-ES"/>
              </w:rPr>
            </w:pPr>
            <w:r w:rsidRPr="00A25AF6">
              <w:rPr>
                <w:rFonts w:cs="Calibri"/>
                <w:color w:val="auto"/>
                <w:sz w:val="18"/>
                <w:szCs w:val="18"/>
                <w:lang w:val="es-ES"/>
              </w:rPr>
              <w:t>IEC 60081, ed. 5.1 (2002-05)</w:t>
            </w:r>
          </w:p>
        </w:tc>
        <w:tc>
          <w:tcPr>
            <w:tcW w:w="3402" w:type="dxa"/>
            <w:tcBorders>
              <w:top w:val="dashSmallGap" w:sz="4" w:space="0" w:color="auto"/>
              <w:bottom w:val="single" w:sz="4" w:space="0" w:color="auto"/>
            </w:tcBorders>
          </w:tcPr>
          <w:p w14:paraId="53568A4B" w14:textId="77777777" w:rsidR="00705A2E" w:rsidRPr="00A25AF6" w:rsidRDefault="00705A2E" w:rsidP="00263A41">
            <w:pPr>
              <w:suppressAutoHyphens w:val="0"/>
              <w:rPr>
                <w:rFonts w:cs="Calibri"/>
                <w:color w:val="auto"/>
                <w:sz w:val="18"/>
                <w:szCs w:val="18"/>
              </w:rPr>
            </w:pPr>
            <w:r w:rsidRPr="00A25AF6">
              <w:rPr>
                <w:rFonts w:cs="Calibri"/>
                <w:color w:val="auto"/>
                <w:sz w:val="18"/>
                <w:szCs w:val="18"/>
              </w:rPr>
              <w:t>Single-capped fluorescent lamps - Performance specifications</w:t>
            </w:r>
          </w:p>
          <w:p w14:paraId="739D18FF" w14:textId="77777777" w:rsidR="00705A2E" w:rsidRPr="00A25AF6" w:rsidRDefault="00705A2E" w:rsidP="00263A41">
            <w:pPr>
              <w:suppressAutoHyphens w:val="0"/>
              <w:rPr>
                <w:rFonts w:cs="Calibri"/>
                <w:color w:val="auto"/>
                <w:sz w:val="18"/>
                <w:szCs w:val="18"/>
              </w:rPr>
            </w:pPr>
            <w:r w:rsidRPr="00A25AF6">
              <w:rPr>
                <w:rFonts w:cs="Calibri"/>
                <w:color w:val="auto"/>
                <w:sz w:val="18"/>
                <w:szCs w:val="18"/>
              </w:rPr>
              <w:t>(coincidencia básica)</w:t>
            </w:r>
          </w:p>
          <w:p w14:paraId="0A77FFDA" w14:textId="77777777" w:rsidR="00847F63" w:rsidRPr="00A25AF6" w:rsidRDefault="00847F63" w:rsidP="00263A41">
            <w:pPr>
              <w:suppressAutoHyphens w:val="0"/>
              <w:rPr>
                <w:rFonts w:cs="Calibri"/>
                <w:color w:val="auto"/>
                <w:sz w:val="18"/>
                <w:szCs w:val="18"/>
              </w:rPr>
            </w:pPr>
            <w:r w:rsidRPr="00A25AF6">
              <w:rPr>
                <w:rFonts w:cs="Calibri"/>
                <w:color w:val="auto"/>
                <w:sz w:val="18"/>
                <w:szCs w:val="18"/>
              </w:rPr>
              <w:t xml:space="preserve">Double-capped fluorescent lamps – Performance specifications </w:t>
            </w:r>
          </w:p>
          <w:p w14:paraId="3A044872" w14:textId="1D1D22DD" w:rsidR="00A25AF6" w:rsidRPr="00A25AF6" w:rsidRDefault="00A25AF6" w:rsidP="00263A41">
            <w:pPr>
              <w:suppressAutoHyphens w:val="0"/>
              <w:rPr>
                <w:rFonts w:cs="Calibri"/>
                <w:color w:val="auto"/>
                <w:sz w:val="18"/>
                <w:szCs w:val="18"/>
              </w:rPr>
            </w:pPr>
            <w:r w:rsidRPr="00A25AF6">
              <w:rPr>
                <w:rFonts w:cs="Calibri"/>
                <w:color w:val="auto"/>
                <w:sz w:val="18"/>
                <w:szCs w:val="18"/>
              </w:rPr>
              <w:t>NEQ (MOD)</w:t>
            </w:r>
          </w:p>
        </w:tc>
      </w:tr>
      <w:tr w:rsidR="00705A2E" w:rsidRPr="00914127" w14:paraId="2DBCDD32" w14:textId="77777777" w:rsidTr="00263A41">
        <w:trPr>
          <w:cantSplit/>
          <w:trHeight w:val="851"/>
        </w:trPr>
        <w:tc>
          <w:tcPr>
            <w:tcW w:w="1413" w:type="dxa"/>
            <w:tcBorders>
              <w:top w:val="dashSmallGap" w:sz="4" w:space="0" w:color="auto"/>
              <w:bottom w:val="single" w:sz="4" w:space="0" w:color="auto"/>
            </w:tcBorders>
          </w:tcPr>
          <w:p w14:paraId="551768BB" w14:textId="77777777" w:rsidR="00705A2E" w:rsidRPr="00A25AF6" w:rsidRDefault="00705A2E" w:rsidP="00263A41">
            <w:pPr>
              <w:suppressAutoHyphens w:val="0"/>
              <w:rPr>
                <w:rFonts w:cs="Calibri"/>
                <w:b/>
                <w:color w:val="auto"/>
                <w:sz w:val="18"/>
                <w:szCs w:val="18"/>
                <w:lang w:val="en-US"/>
              </w:rPr>
            </w:pPr>
          </w:p>
        </w:tc>
        <w:tc>
          <w:tcPr>
            <w:tcW w:w="3544" w:type="dxa"/>
            <w:tcBorders>
              <w:top w:val="dashSmallGap" w:sz="4" w:space="0" w:color="auto"/>
              <w:bottom w:val="single" w:sz="4" w:space="0" w:color="auto"/>
            </w:tcBorders>
          </w:tcPr>
          <w:p w14:paraId="7E19C298"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7.3 Lámparas de descarga de alta intensidad, y otras</w:t>
            </w:r>
          </w:p>
          <w:p w14:paraId="3D4B3A4E" w14:textId="2C513B4F"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(Eficacia luminosa)</w:t>
            </w:r>
          </w:p>
        </w:tc>
        <w:tc>
          <w:tcPr>
            <w:tcW w:w="1275" w:type="dxa"/>
            <w:tcBorders>
              <w:top w:val="dashSmallGap" w:sz="4" w:space="0" w:color="auto"/>
              <w:bottom w:val="single" w:sz="4" w:space="0" w:color="auto"/>
            </w:tcBorders>
          </w:tcPr>
          <w:p w14:paraId="0A088A32"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NMX-J-019-ANCE-2006</w:t>
            </w:r>
          </w:p>
        </w:tc>
        <w:tc>
          <w:tcPr>
            <w:tcW w:w="3119" w:type="dxa"/>
            <w:tcBorders>
              <w:top w:val="dashSmallGap" w:sz="4" w:space="0" w:color="auto"/>
              <w:bottom w:val="single" w:sz="4" w:space="0" w:color="auto"/>
            </w:tcBorders>
          </w:tcPr>
          <w:p w14:paraId="04AA5B10"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Iluminación - Lámparas incandescentes de filamento metálico, para alumbrado general - Especificaciones y métodos de prueba</w:t>
            </w:r>
          </w:p>
        </w:tc>
        <w:tc>
          <w:tcPr>
            <w:tcW w:w="1417" w:type="dxa"/>
            <w:tcBorders>
              <w:top w:val="dashSmallGap" w:sz="4" w:space="0" w:color="auto"/>
              <w:bottom w:val="single" w:sz="4" w:space="0" w:color="auto"/>
            </w:tcBorders>
          </w:tcPr>
          <w:p w14:paraId="16741F73"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IEC 60064 (1993-12-17)</w:t>
            </w:r>
          </w:p>
        </w:tc>
        <w:tc>
          <w:tcPr>
            <w:tcW w:w="3402" w:type="dxa"/>
            <w:tcBorders>
              <w:top w:val="dashSmallGap" w:sz="4" w:space="0" w:color="auto"/>
              <w:bottom w:val="single" w:sz="4" w:space="0" w:color="auto"/>
            </w:tcBorders>
          </w:tcPr>
          <w:p w14:paraId="7FE73FD0" w14:textId="77777777" w:rsidR="00705A2E" w:rsidRPr="00EE4ED3" w:rsidRDefault="00705A2E" w:rsidP="00263A41">
            <w:pPr>
              <w:suppressAutoHyphens w:val="0"/>
              <w:rPr>
                <w:rFonts w:cs="Calibri"/>
                <w:color w:val="auto"/>
                <w:sz w:val="18"/>
                <w:szCs w:val="18"/>
              </w:rPr>
            </w:pPr>
            <w:r w:rsidRPr="00EE4ED3">
              <w:rPr>
                <w:rFonts w:cs="Calibri"/>
                <w:color w:val="auto"/>
                <w:sz w:val="18"/>
                <w:szCs w:val="18"/>
              </w:rPr>
              <w:t>Tungsten filament lamps for domestic and similar general lighting purposes - Performance requirements</w:t>
            </w:r>
          </w:p>
          <w:p w14:paraId="658801E0"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(NEQ - diferentes características eléctricas de tensión y potencia)</w:t>
            </w:r>
          </w:p>
        </w:tc>
      </w:tr>
      <w:tr w:rsidR="00705A2E" w:rsidRPr="00A0362A" w14:paraId="560028A6" w14:textId="77777777" w:rsidTr="00263A41">
        <w:trPr>
          <w:cantSplit/>
          <w:trHeight w:val="851"/>
        </w:trPr>
        <w:tc>
          <w:tcPr>
            <w:tcW w:w="1413" w:type="dxa"/>
            <w:tcBorders>
              <w:top w:val="dashSmallGap" w:sz="4" w:space="0" w:color="auto"/>
              <w:bottom w:val="single" w:sz="4" w:space="0" w:color="auto"/>
            </w:tcBorders>
          </w:tcPr>
          <w:p w14:paraId="417E9371" w14:textId="77777777" w:rsidR="00705A2E" w:rsidRPr="00A0362A" w:rsidRDefault="00705A2E" w:rsidP="00263A41">
            <w:pPr>
              <w:suppressAutoHyphens w:val="0"/>
              <w:rPr>
                <w:rFonts w:cs="Calibri"/>
                <w:b/>
                <w:color w:val="auto"/>
                <w:sz w:val="18"/>
                <w:szCs w:val="18"/>
                <w:lang w:val="es-ES"/>
              </w:rPr>
            </w:pPr>
          </w:p>
        </w:tc>
        <w:tc>
          <w:tcPr>
            <w:tcW w:w="3544" w:type="dxa"/>
            <w:tcBorders>
              <w:top w:val="dashSmallGap" w:sz="4" w:space="0" w:color="auto"/>
              <w:bottom w:val="single" w:sz="4" w:space="0" w:color="auto"/>
            </w:tcBorders>
          </w:tcPr>
          <w:p w14:paraId="2FEB2C72" w14:textId="1DC167DE" w:rsidR="00705A2E" w:rsidRPr="00EE4ED3" w:rsidRDefault="002F66F4" w:rsidP="003B58BF">
            <w:pPr>
              <w:suppressAutoHyphens w:val="0"/>
              <w:rPr>
                <w:rFonts w:cs="Calibri"/>
                <w:color w:val="auto"/>
                <w:sz w:val="18"/>
                <w:szCs w:val="18"/>
                <w:lang w:val="es-ES"/>
              </w:rPr>
            </w:pPr>
            <w:r>
              <w:rPr>
                <w:rFonts w:cs="Calibri"/>
                <w:color w:val="auto"/>
                <w:sz w:val="18"/>
                <w:szCs w:val="18"/>
                <w:lang w:val="es-ES"/>
              </w:rPr>
              <w:t>(Balastos)</w:t>
            </w:r>
          </w:p>
        </w:tc>
        <w:tc>
          <w:tcPr>
            <w:tcW w:w="1275" w:type="dxa"/>
            <w:tcBorders>
              <w:top w:val="dashSmallGap" w:sz="4" w:space="0" w:color="auto"/>
              <w:bottom w:val="single" w:sz="4" w:space="0" w:color="auto"/>
            </w:tcBorders>
            <w:shd w:val="clear" w:color="auto" w:fill="auto"/>
          </w:tcPr>
          <w:p w14:paraId="6C14D572"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NMX-J-230-ANCE-2008/2011</w:t>
            </w:r>
          </w:p>
        </w:tc>
        <w:tc>
          <w:tcPr>
            <w:tcW w:w="3119" w:type="dxa"/>
            <w:tcBorders>
              <w:top w:val="dashSmallGap" w:sz="4" w:space="0" w:color="auto"/>
              <w:bottom w:val="single" w:sz="4" w:space="0" w:color="auto"/>
            </w:tcBorders>
          </w:tcPr>
          <w:p w14:paraId="764D73EA"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Productos eléctricos - Iluminación - Balastros para lámpara de vapor de mercurio en alta presión y aditivos metálicos - Especificaciones y métodos de prueba</w:t>
            </w:r>
          </w:p>
        </w:tc>
        <w:tc>
          <w:tcPr>
            <w:tcW w:w="1417" w:type="dxa"/>
            <w:tcBorders>
              <w:top w:val="dashSmallGap" w:sz="4" w:space="0" w:color="auto"/>
              <w:bottom w:val="single" w:sz="4" w:space="0" w:color="auto"/>
            </w:tcBorders>
            <w:shd w:val="clear" w:color="auto" w:fill="auto"/>
          </w:tcPr>
          <w:p w14:paraId="1464E1CE"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IEC 60923 ed. consolidada 3.1 (2006-09)</w:t>
            </w:r>
          </w:p>
        </w:tc>
        <w:tc>
          <w:tcPr>
            <w:tcW w:w="3402" w:type="dxa"/>
            <w:tcBorders>
              <w:top w:val="dashSmallGap" w:sz="4" w:space="0" w:color="auto"/>
              <w:bottom w:val="single" w:sz="4" w:space="0" w:color="auto"/>
            </w:tcBorders>
            <w:shd w:val="clear" w:color="auto" w:fill="auto"/>
          </w:tcPr>
          <w:p w14:paraId="7D3750CF" w14:textId="77777777" w:rsidR="00705A2E" w:rsidRPr="00EE4ED3" w:rsidRDefault="00705A2E" w:rsidP="00263A41">
            <w:pPr>
              <w:suppressAutoHyphens w:val="0"/>
              <w:rPr>
                <w:rFonts w:cs="Calibri"/>
                <w:color w:val="auto"/>
                <w:sz w:val="18"/>
                <w:szCs w:val="18"/>
              </w:rPr>
            </w:pPr>
            <w:r w:rsidRPr="00EE4ED3">
              <w:rPr>
                <w:rFonts w:cs="Calibri"/>
                <w:color w:val="auto"/>
                <w:sz w:val="18"/>
                <w:szCs w:val="18"/>
              </w:rPr>
              <w:t xml:space="preserve">Auxiliaries for lamps - Ballasts for discharge lamps (excluding tubular fluorescent </w:t>
            </w:r>
          </w:p>
          <w:p w14:paraId="4E23FF26" w14:textId="77777777" w:rsidR="00705A2E" w:rsidRPr="00EE4ED3" w:rsidRDefault="00705A2E" w:rsidP="00263A41">
            <w:pPr>
              <w:suppressAutoHyphens w:val="0"/>
              <w:rPr>
                <w:rFonts w:cs="Calibri"/>
                <w:color w:val="auto"/>
                <w:sz w:val="18"/>
                <w:szCs w:val="18"/>
              </w:rPr>
            </w:pPr>
            <w:r w:rsidRPr="00EE4ED3">
              <w:rPr>
                <w:rFonts w:cs="Calibri"/>
                <w:color w:val="auto"/>
                <w:sz w:val="18"/>
                <w:szCs w:val="18"/>
              </w:rPr>
              <w:t>(coincidencia básica)</w:t>
            </w:r>
          </w:p>
        </w:tc>
      </w:tr>
      <w:tr w:rsidR="00705A2E" w:rsidRPr="00914127" w14:paraId="40F8A1D6" w14:textId="77777777" w:rsidTr="00263A41">
        <w:trPr>
          <w:cantSplit/>
          <w:trHeight w:val="851"/>
        </w:trPr>
        <w:tc>
          <w:tcPr>
            <w:tcW w:w="1413" w:type="dxa"/>
            <w:tcBorders>
              <w:top w:val="dashSmallGap" w:sz="4" w:space="0" w:color="auto"/>
              <w:bottom w:val="single" w:sz="4" w:space="0" w:color="auto"/>
            </w:tcBorders>
          </w:tcPr>
          <w:p w14:paraId="5F244BF5" w14:textId="77777777" w:rsidR="00705A2E" w:rsidRPr="00A0362A" w:rsidRDefault="00705A2E" w:rsidP="00263A41">
            <w:pPr>
              <w:suppressAutoHyphens w:val="0"/>
              <w:rPr>
                <w:rFonts w:cs="Calibri"/>
                <w:b/>
                <w:color w:val="auto"/>
                <w:sz w:val="18"/>
                <w:szCs w:val="18"/>
                <w:lang w:val="es-ES"/>
              </w:rPr>
            </w:pPr>
          </w:p>
        </w:tc>
        <w:tc>
          <w:tcPr>
            <w:tcW w:w="3544" w:type="dxa"/>
            <w:tcBorders>
              <w:top w:val="dashSmallGap" w:sz="4" w:space="0" w:color="auto"/>
              <w:bottom w:val="single" w:sz="4" w:space="0" w:color="auto"/>
            </w:tcBorders>
          </w:tcPr>
          <w:p w14:paraId="0E82E62D" w14:textId="135D6226" w:rsidR="00705A2E" w:rsidRPr="00EE4ED3" w:rsidRDefault="002F66F4" w:rsidP="00263A41">
            <w:pPr>
              <w:suppressAutoHyphens w:val="0"/>
              <w:rPr>
                <w:rFonts w:cs="Calibri"/>
                <w:color w:val="auto"/>
                <w:sz w:val="18"/>
                <w:szCs w:val="18"/>
                <w:lang w:val="es-ES"/>
              </w:rPr>
            </w:pPr>
            <w:r>
              <w:rPr>
                <w:rFonts w:cs="Calibri"/>
                <w:color w:val="auto"/>
                <w:sz w:val="18"/>
                <w:szCs w:val="18"/>
                <w:lang w:val="es-ES"/>
              </w:rPr>
              <w:t>(Características eléctricas y fotométricas)</w:t>
            </w:r>
          </w:p>
        </w:tc>
        <w:tc>
          <w:tcPr>
            <w:tcW w:w="1275" w:type="dxa"/>
            <w:tcBorders>
              <w:top w:val="dashSmallGap" w:sz="4" w:space="0" w:color="auto"/>
              <w:bottom w:val="single" w:sz="4" w:space="0" w:color="auto"/>
            </w:tcBorders>
          </w:tcPr>
          <w:p w14:paraId="4EC4FC9A"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NMX-J-530-ANCE-2008</w:t>
            </w:r>
          </w:p>
        </w:tc>
        <w:tc>
          <w:tcPr>
            <w:tcW w:w="3119" w:type="dxa"/>
            <w:tcBorders>
              <w:top w:val="dashSmallGap" w:sz="4" w:space="0" w:color="auto"/>
              <w:bottom w:val="single" w:sz="4" w:space="0" w:color="auto"/>
            </w:tcBorders>
          </w:tcPr>
          <w:p w14:paraId="761B78E2"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Iluminación - Guía para la medición de características eléctricas y fotométricas para lámparas de descarga en alta intensidad.</w:t>
            </w:r>
          </w:p>
        </w:tc>
        <w:tc>
          <w:tcPr>
            <w:tcW w:w="1417" w:type="dxa"/>
            <w:tcBorders>
              <w:top w:val="dashSmallGap" w:sz="4" w:space="0" w:color="auto"/>
              <w:bottom w:val="single" w:sz="4" w:space="0" w:color="auto"/>
            </w:tcBorders>
          </w:tcPr>
          <w:p w14:paraId="16F9673F"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NEQ con alguna norma internacional</w:t>
            </w:r>
          </w:p>
        </w:tc>
        <w:tc>
          <w:tcPr>
            <w:tcW w:w="3402" w:type="dxa"/>
            <w:tcBorders>
              <w:top w:val="dashSmallGap" w:sz="4" w:space="0" w:color="auto"/>
              <w:bottom w:val="single" w:sz="4" w:space="0" w:color="auto"/>
            </w:tcBorders>
          </w:tcPr>
          <w:p w14:paraId="78FA9A26" w14:textId="77777777" w:rsidR="00705A2E" w:rsidRPr="00EE4ED3" w:rsidRDefault="00705A2E" w:rsidP="00263A41">
            <w:pPr>
              <w:suppressAutoHyphens w:val="0"/>
              <w:rPr>
                <w:rFonts w:cs="Calibri"/>
                <w:color w:val="auto"/>
                <w:sz w:val="18"/>
                <w:szCs w:val="18"/>
                <w:lang w:val="es-ES"/>
              </w:rPr>
            </w:pPr>
          </w:p>
        </w:tc>
      </w:tr>
      <w:tr w:rsidR="00705A2E" w:rsidRPr="00A0362A" w14:paraId="2B1CAB36" w14:textId="77777777" w:rsidTr="00263A41">
        <w:trPr>
          <w:cantSplit/>
          <w:trHeight w:val="851"/>
        </w:trPr>
        <w:tc>
          <w:tcPr>
            <w:tcW w:w="1413" w:type="dxa"/>
            <w:tcBorders>
              <w:top w:val="dashSmallGap" w:sz="4" w:space="0" w:color="auto"/>
              <w:bottom w:val="single" w:sz="4" w:space="0" w:color="auto"/>
            </w:tcBorders>
          </w:tcPr>
          <w:p w14:paraId="1D65564D" w14:textId="77777777" w:rsidR="00705A2E" w:rsidRPr="00A0362A" w:rsidRDefault="00705A2E" w:rsidP="00263A41">
            <w:pPr>
              <w:suppressAutoHyphens w:val="0"/>
              <w:rPr>
                <w:rFonts w:cs="Calibri"/>
                <w:b/>
                <w:color w:val="auto"/>
                <w:sz w:val="18"/>
                <w:szCs w:val="18"/>
                <w:lang w:val="es-ES"/>
              </w:rPr>
            </w:pPr>
          </w:p>
        </w:tc>
        <w:tc>
          <w:tcPr>
            <w:tcW w:w="3544" w:type="dxa"/>
            <w:tcBorders>
              <w:top w:val="dashSmallGap" w:sz="4" w:space="0" w:color="auto"/>
              <w:bottom w:val="single" w:sz="4" w:space="0" w:color="auto"/>
            </w:tcBorders>
          </w:tcPr>
          <w:p w14:paraId="53AC8D5B" w14:textId="2C8E2E17" w:rsidR="00705A2E" w:rsidRPr="00EE4ED3" w:rsidRDefault="002F66F4" w:rsidP="00263A41">
            <w:pPr>
              <w:suppressAutoHyphens w:val="0"/>
              <w:rPr>
                <w:rFonts w:cs="Calibri"/>
                <w:color w:val="auto"/>
                <w:sz w:val="18"/>
                <w:szCs w:val="18"/>
                <w:lang w:val="es-ES"/>
              </w:rPr>
            </w:pPr>
            <w:r>
              <w:rPr>
                <w:rFonts w:cs="Calibri"/>
                <w:color w:val="auto"/>
                <w:sz w:val="18"/>
                <w:szCs w:val="18"/>
                <w:lang w:val="es-ES"/>
              </w:rPr>
              <w:t>General</w:t>
            </w:r>
          </w:p>
        </w:tc>
        <w:tc>
          <w:tcPr>
            <w:tcW w:w="1275" w:type="dxa"/>
            <w:tcBorders>
              <w:top w:val="dashSmallGap" w:sz="4" w:space="0" w:color="auto"/>
              <w:bottom w:val="single" w:sz="4" w:space="0" w:color="auto"/>
            </w:tcBorders>
          </w:tcPr>
          <w:p w14:paraId="1DB7BD8B"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NMX-J-619-ANCE-2009</w:t>
            </w:r>
          </w:p>
        </w:tc>
        <w:tc>
          <w:tcPr>
            <w:tcW w:w="3119" w:type="dxa"/>
            <w:tcBorders>
              <w:top w:val="dashSmallGap" w:sz="4" w:space="0" w:color="auto"/>
              <w:bottom w:val="single" w:sz="4" w:space="0" w:color="auto"/>
            </w:tcBorders>
          </w:tcPr>
          <w:p w14:paraId="2CEF3D09"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Iluminación - Definiciones y terminología.</w:t>
            </w:r>
          </w:p>
        </w:tc>
        <w:tc>
          <w:tcPr>
            <w:tcW w:w="1417" w:type="dxa"/>
            <w:tcBorders>
              <w:top w:val="dashSmallGap" w:sz="4" w:space="0" w:color="auto"/>
              <w:bottom w:val="single" w:sz="4" w:space="0" w:color="auto"/>
            </w:tcBorders>
          </w:tcPr>
          <w:p w14:paraId="71055D4E"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IEC 60050-845</w:t>
            </w:r>
          </w:p>
        </w:tc>
        <w:tc>
          <w:tcPr>
            <w:tcW w:w="3402" w:type="dxa"/>
            <w:tcBorders>
              <w:top w:val="dashSmallGap" w:sz="4" w:space="0" w:color="auto"/>
              <w:bottom w:val="single" w:sz="4" w:space="0" w:color="auto"/>
            </w:tcBorders>
          </w:tcPr>
          <w:p w14:paraId="75D96DC6" w14:textId="77777777" w:rsidR="00705A2E" w:rsidRPr="00EE4ED3" w:rsidRDefault="00705A2E" w:rsidP="00263A41">
            <w:pPr>
              <w:suppressAutoHyphens w:val="0"/>
              <w:rPr>
                <w:rFonts w:cs="Calibri"/>
                <w:color w:val="auto"/>
                <w:sz w:val="18"/>
                <w:szCs w:val="18"/>
              </w:rPr>
            </w:pPr>
            <w:r w:rsidRPr="00EE4ED3">
              <w:rPr>
                <w:rFonts w:cs="Calibri"/>
                <w:color w:val="auto"/>
                <w:sz w:val="18"/>
                <w:szCs w:val="18"/>
              </w:rPr>
              <w:t>International Electrotechnical Vocabulary - Chapter Lighting ed. 1.0 (1987-12)</w:t>
            </w:r>
          </w:p>
          <w:p w14:paraId="31552943" w14:textId="77777777" w:rsidR="00705A2E" w:rsidRPr="00EE4ED3" w:rsidRDefault="00705A2E" w:rsidP="00263A41">
            <w:pPr>
              <w:suppressAutoHyphens w:val="0"/>
              <w:rPr>
                <w:rFonts w:cs="Calibri"/>
                <w:color w:val="auto"/>
                <w:sz w:val="18"/>
                <w:szCs w:val="18"/>
              </w:rPr>
            </w:pPr>
            <w:r w:rsidRPr="00EE4ED3">
              <w:rPr>
                <w:rFonts w:cs="Calibri"/>
                <w:color w:val="auto"/>
                <w:sz w:val="18"/>
                <w:szCs w:val="18"/>
              </w:rPr>
              <w:t>(coincidencia básica)</w:t>
            </w:r>
          </w:p>
        </w:tc>
      </w:tr>
      <w:tr w:rsidR="00705A2E" w:rsidRPr="00A0362A" w14:paraId="4A075B6D" w14:textId="77777777" w:rsidTr="00263A41">
        <w:trPr>
          <w:cantSplit/>
          <w:trHeight w:val="851"/>
        </w:trPr>
        <w:tc>
          <w:tcPr>
            <w:tcW w:w="1413" w:type="dxa"/>
            <w:tcBorders>
              <w:top w:val="dashSmallGap" w:sz="4" w:space="0" w:color="auto"/>
              <w:bottom w:val="single" w:sz="4" w:space="0" w:color="auto"/>
            </w:tcBorders>
            <w:shd w:val="clear" w:color="auto" w:fill="auto"/>
          </w:tcPr>
          <w:p w14:paraId="05E0EF1E" w14:textId="77777777" w:rsidR="00705A2E" w:rsidRPr="00A0362A" w:rsidRDefault="00705A2E" w:rsidP="00263A41">
            <w:pPr>
              <w:suppressAutoHyphens w:val="0"/>
              <w:rPr>
                <w:rFonts w:cs="Calibri"/>
                <w:b/>
                <w:color w:val="auto"/>
                <w:sz w:val="18"/>
                <w:szCs w:val="18"/>
                <w:lang w:val="es-ES"/>
              </w:rPr>
            </w:pPr>
            <w:r w:rsidRPr="00A0362A">
              <w:rPr>
                <w:rFonts w:cs="Calibri"/>
                <w:b/>
                <w:color w:val="auto"/>
                <w:sz w:val="18"/>
                <w:szCs w:val="18"/>
                <w:lang w:val="es-ES"/>
              </w:rPr>
              <w:t>NOM-028-ENER-2010 - Apéndice A</w:t>
            </w:r>
          </w:p>
        </w:tc>
        <w:tc>
          <w:tcPr>
            <w:tcW w:w="3544" w:type="dxa"/>
            <w:tcBorders>
              <w:top w:val="dashSmallGap" w:sz="4" w:space="0" w:color="auto"/>
              <w:bottom w:val="single" w:sz="4" w:space="0" w:color="auto"/>
            </w:tcBorders>
            <w:shd w:val="clear" w:color="auto" w:fill="auto"/>
          </w:tcPr>
          <w:p w14:paraId="214203BA" w14:textId="77777777" w:rsidR="00705A2E" w:rsidRPr="00A0362A" w:rsidRDefault="00705A2E" w:rsidP="00263A41">
            <w:pPr>
              <w:suppressAutoHyphens w:val="0"/>
              <w:rPr>
                <w:rFonts w:cs="Calibri"/>
                <w:b/>
                <w:color w:val="auto"/>
                <w:sz w:val="18"/>
                <w:szCs w:val="18"/>
                <w:lang w:val="es-ES"/>
              </w:rPr>
            </w:pPr>
            <w:r w:rsidRPr="00A0362A">
              <w:rPr>
                <w:rFonts w:cs="Calibri"/>
                <w:b/>
                <w:color w:val="auto"/>
                <w:sz w:val="18"/>
                <w:szCs w:val="18"/>
                <w:lang w:val="es-ES"/>
              </w:rPr>
              <w:t>Condiciones generales para las pruebas eléctricas y de flujo luminoso para lámparas de luz mixta</w:t>
            </w:r>
          </w:p>
        </w:tc>
        <w:tc>
          <w:tcPr>
            <w:tcW w:w="1275" w:type="dxa"/>
            <w:tcBorders>
              <w:top w:val="dashSmallGap" w:sz="4" w:space="0" w:color="auto"/>
              <w:bottom w:val="single" w:sz="4" w:space="0" w:color="auto"/>
            </w:tcBorders>
            <w:shd w:val="clear" w:color="auto" w:fill="auto"/>
          </w:tcPr>
          <w:p w14:paraId="7C95C863" w14:textId="77777777" w:rsidR="00705A2E" w:rsidRPr="00A0362A" w:rsidRDefault="00705A2E" w:rsidP="00263A41">
            <w:pPr>
              <w:suppressAutoHyphens w:val="0"/>
              <w:rPr>
                <w:rFonts w:cs="Calibri"/>
                <w:color w:val="auto"/>
                <w:sz w:val="18"/>
                <w:szCs w:val="18"/>
                <w:lang w:val="es-ES"/>
              </w:rPr>
            </w:pPr>
            <w:r w:rsidRPr="00A0362A">
              <w:rPr>
                <w:rFonts w:cs="Calibri"/>
                <w:color w:val="auto"/>
                <w:sz w:val="18"/>
                <w:szCs w:val="18"/>
                <w:lang w:val="es-ES"/>
              </w:rPr>
              <w:t>NMX-J-230-ANCE-2008/2011</w:t>
            </w:r>
          </w:p>
        </w:tc>
        <w:tc>
          <w:tcPr>
            <w:tcW w:w="3119" w:type="dxa"/>
            <w:tcBorders>
              <w:top w:val="dashSmallGap" w:sz="4" w:space="0" w:color="auto"/>
              <w:bottom w:val="single" w:sz="4" w:space="0" w:color="auto"/>
            </w:tcBorders>
            <w:shd w:val="clear" w:color="auto" w:fill="auto"/>
          </w:tcPr>
          <w:p w14:paraId="19358BA8" w14:textId="77777777" w:rsidR="00705A2E" w:rsidRPr="00A0362A" w:rsidRDefault="00705A2E" w:rsidP="00263A41">
            <w:pPr>
              <w:suppressAutoHyphens w:val="0"/>
              <w:rPr>
                <w:rFonts w:cs="Calibri"/>
                <w:color w:val="auto"/>
                <w:sz w:val="18"/>
                <w:szCs w:val="18"/>
                <w:lang w:val="es-ES"/>
              </w:rPr>
            </w:pPr>
            <w:r w:rsidRPr="00A0362A">
              <w:rPr>
                <w:rFonts w:cs="Calibri"/>
                <w:color w:val="auto"/>
                <w:sz w:val="18"/>
                <w:szCs w:val="18"/>
                <w:lang w:val="es-ES"/>
              </w:rPr>
              <w:t>Productos eléctricos - Iluminación - Balastros para lámpara de vapor de mercurio en alta presión y aditivos metálicos - Especificaciones y métodos de prueba</w:t>
            </w:r>
          </w:p>
        </w:tc>
        <w:tc>
          <w:tcPr>
            <w:tcW w:w="1417" w:type="dxa"/>
            <w:tcBorders>
              <w:top w:val="dashSmallGap" w:sz="4" w:space="0" w:color="auto"/>
              <w:bottom w:val="single" w:sz="4" w:space="0" w:color="auto"/>
            </w:tcBorders>
            <w:shd w:val="clear" w:color="auto" w:fill="auto"/>
          </w:tcPr>
          <w:p w14:paraId="363B7217" w14:textId="77777777" w:rsidR="00705A2E" w:rsidRPr="00A0362A" w:rsidRDefault="00705A2E" w:rsidP="00263A41">
            <w:pPr>
              <w:suppressAutoHyphens w:val="0"/>
              <w:rPr>
                <w:rFonts w:cs="Calibri"/>
                <w:color w:val="auto"/>
                <w:sz w:val="18"/>
                <w:szCs w:val="18"/>
                <w:lang w:val="es-ES"/>
              </w:rPr>
            </w:pPr>
            <w:r w:rsidRPr="00A0362A">
              <w:rPr>
                <w:rFonts w:cs="Calibri"/>
                <w:color w:val="auto"/>
                <w:sz w:val="18"/>
                <w:szCs w:val="18"/>
                <w:lang w:val="es-ES"/>
              </w:rPr>
              <w:t>IEC 60923 ed. consolidada 3.1 (2006-09)</w:t>
            </w:r>
          </w:p>
        </w:tc>
        <w:tc>
          <w:tcPr>
            <w:tcW w:w="3402" w:type="dxa"/>
            <w:tcBorders>
              <w:top w:val="dashSmallGap" w:sz="4" w:space="0" w:color="auto"/>
              <w:bottom w:val="single" w:sz="4" w:space="0" w:color="auto"/>
            </w:tcBorders>
            <w:shd w:val="clear" w:color="auto" w:fill="auto"/>
          </w:tcPr>
          <w:p w14:paraId="2194AFD4" w14:textId="77777777" w:rsidR="00705A2E" w:rsidRPr="00A0362A" w:rsidRDefault="00705A2E" w:rsidP="00263A41">
            <w:pPr>
              <w:suppressAutoHyphens w:val="0"/>
              <w:rPr>
                <w:rFonts w:cs="Calibri"/>
                <w:color w:val="auto"/>
                <w:sz w:val="18"/>
                <w:szCs w:val="18"/>
              </w:rPr>
            </w:pPr>
            <w:r w:rsidRPr="00A0362A">
              <w:rPr>
                <w:rFonts w:cs="Calibri"/>
                <w:color w:val="auto"/>
                <w:sz w:val="18"/>
                <w:szCs w:val="18"/>
              </w:rPr>
              <w:t xml:space="preserve">Auxiliaries for lamps - Ballasts for discharge lamps (excluding tubular fluorescent </w:t>
            </w:r>
          </w:p>
          <w:p w14:paraId="602A18D4" w14:textId="77777777" w:rsidR="00705A2E" w:rsidRPr="00A0362A" w:rsidRDefault="00705A2E" w:rsidP="00263A41">
            <w:pPr>
              <w:suppressAutoHyphens w:val="0"/>
              <w:rPr>
                <w:rFonts w:cs="Calibri"/>
                <w:color w:val="auto"/>
                <w:sz w:val="18"/>
                <w:szCs w:val="18"/>
              </w:rPr>
            </w:pPr>
            <w:r w:rsidRPr="00A0362A">
              <w:rPr>
                <w:rFonts w:cs="Calibri"/>
                <w:color w:val="auto"/>
                <w:sz w:val="18"/>
                <w:szCs w:val="18"/>
              </w:rPr>
              <w:t>(coincidencia básica)</w:t>
            </w:r>
          </w:p>
        </w:tc>
      </w:tr>
      <w:tr w:rsidR="00705A2E" w:rsidRPr="00A0362A" w14:paraId="3336EDD3" w14:textId="77777777" w:rsidTr="00263A41">
        <w:trPr>
          <w:cantSplit/>
          <w:trHeight w:val="851"/>
        </w:trPr>
        <w:tc>
          <w:tcPr>
            <w:tcW w:w="1413" w:type="dxa"/>
            <w:tcBorders>
              <w:top w:val="single" w:sz="4" w:space="0" w:color="auto"/>
              <w:bottom w:val="dashSmallGap" w:sz="4" w:space="0" w:color="auto"/>
            </w:tcBorders>
            <w:shd w:val="clear" w:color="auto" w:fill="9CC2E5"/>
          </w:tcPr>
          <w:p w14:paraId="174B3958" w14:textId="77777777" w:rsidR="00705A2E" w:rsidRPr="00A0362A" w:rsidRDefault="00705A2E" w:rsidP="00263A41">
            <w:pPr>
              <w:suppressAutoHyphens w:val="0"/>
              <w:rPr>
                <w:rFonts w:cs="Calibri"/>
                <w:b/>
                <w:color w:val="auto"/>
                <w:sz w:val="18"/>
                <w:szCs w:val="18"/>
                <w:lang w:val="es-ES"/>
              </w:rPr>
            </w:pPr>
            <w:r w:rsidRPr="00A0362A">
              <w:rPr>
                <w:rFonts w:cs="Calibri"/>
                <w:b/>
                <w:color w:val="auto"/>
                <w:sz w:val="18"/>
                <w:szCs w:val="18"/>
                <w:lang w:val="es-ES"/>
              </w:rPr>
              <w:t>NOM-017-ENER/SCFI-2012</w:t>
            </w:r>
          </w:p>
          <w:p w14:paraId="3BE3A927" w14:textId="77777777" w:rsidR="00705A2E" w:rsidRPr="00A0362A" w:rsidRDefault="00705A2E" w:rsidP="00263A41">
            <w:pPr>
              <w:suppressAutoHyphens w:val="0"/>
              <w:rPr>
                <w:rFonts w:cs="Calibri"/>
                <w:b/>
                <w:color w:val="auto"/>
                <w:sz w:val="18"/>
                <w:szCs w:val="18"/>
                <w:lang w:val="es-ES"/>
              </w:rPr>
            </w:pPr>
          </w:p>
        </w:tc>
        <w:tc>
          <w:tcPr>
            <w:tcW w:w="3544" w:type="dxa"/>
            <w:tcBorders>
              <w:top w:val="single" w:sz="4" w:space="0" w:color="auto"/>
              <w:bottom w:val="dashSmallGap" w:sz="4" w:space="0" w:color="auto"/>
            </w:tcBorders>
            <w:shd w:val="clear" w:color="auto" w:fill="9CC2E5"/>
          </w:tcPr>
          <w:p w14:paraId="27DD223F" w14:textId="77777777" w:rsidR="00705A2E" w:rsidRPr="00A0362A" w:rsidRDefault="00705A2E" w:rsidP="00263A41">
            <w:pPr>
              <w:suppressAutoHyphens w:val="0"/>
              <w:rPr>
                <w:rFonts w:cs="Calibri"/>
                <w:b/>
                <w:color w:val="auto"/>
                <w:sz w:val="18"/>
                <w:szCs w:val="18"/>
                <w:lang w:val="es-ES"/>
              </w:rPr>
            </w:pPr>
            <w:r w:rsidRPr="00A0362A">
              <w:rPr>
                <w:rFonts w:cs="Calibri"/>
                <w:b/>
                <w:color w:val="auto"/>
                <w:sz w:val="18"/>
                <w:szCs w:val="18"/>
                <w:lang w:val="es-ES"/>
              </w:rPr>
              <w:t>Eficiencia energética y requisitos de seguridad de lámparas fluorescentes compactas autobalastradas. Límites y métodos de prueba.</w:t>
            </w:r>
          </w:p>
        </w:tc>
        <w:tc>
          <w:tcPr>
            <w:tcW w:w="1275" w:type="dxa"/>
            <w:tcBorders>
              <w:top w:val="single" w:sz="4" w:space="0" w:color="auto"/>
              <w:bottom w:val="dashSmallGap" w:sz="4" w:space="0" w:color="auto"/>
            </w:tcBorders>
            <w:shd w:val="clear" w:color="auto" w:fill="9CC2E5"/>
          </w:tcPr>
          <w:p w14:paraId="6977A5FF" w14:textId="77777777" w:rsidR="00705A2E" w:rsidRPr="00A0362A" w:rsidRDefault="00705A2E" w:rsidP="00263A41">
            <w:pPr>
              <w:suppressAutoHyphens w:val="0"/>
              <w:rPr>
                <w:rFonts w:cs="Calibri"/>
                <w:b/>
                <w:color w:val="auto"/>
                <w:sz w:val="18"/>
                <w:szCs w:val="18"/>
                <w:lang w:val="es-ES"/>
              </w:rPr>
            </w:pPr>
          </w:p>
        </w:tc>
        <w:tc>
          <w:tcPr>
            <w:tcW w:w="3119" w:type="dxa"/>
            <w:tcBorders>
              <w:top w:val="single" w:sz="4" w:space="0" w:color="auto"/>
              <w:bottom w:val="dashSmallGap" w:sz="4" w:space="0" w:color="auto"/>
            </w:tcBorders>
            <w:shd w:val="clear" w:color="auto" w:fill="9CC2E5"/>
          </w:tcPr>
          <w:p w14:paraId="2E28230C" w14:textId="77777777" w:rsidR="00705A2E" w:rsidRPr="00A0362A" w:rsidRDefault="00705A2E" w:rsidP="00263A41">
            <w:pPr>
              <w:suppressAutoHyphens w:val="0"/>
              <w:rPr>
                <w:rFonts w:cs="Calibri"/>
                <w:b/>
                <w:color w:val="auto"/>
                <w:sz w:val="18"/>
                <w:szCs w:val="18"/>
                <w:lang w:val="es-ES"/>
              </w:rPr>
            </w:pPr>
          </w:p>
        </w:tc>
        <w:tc>
          <w:tcPr>
            <w:tcW w:w="1417" w:type="dxa"/>
            <w:tcBorders>
              <w:top w:val="single" w:sz="4" w:space="0" w:color="auto"/>
              <w:bottom w:val="dashSmallGap" w:sz="4" w:space="0" w:color="auto"/>
            </w:tcBorders>
            <w:shd w:val="clear" w:color="auto" w:fill="9CC2E5"/>
          </w:tcPr>
          <w:p w14:paraId="54D53D0E" w14:textId="77777777" w:rsidR="00705A2E" w:rsidRPr="00A0362A" w:rsidRDefault="00705A2E" w:rsidP="00263A41">
            <w:pPr>
              <w:suppressAutoHyphens w:val="0"/>
              <w:rPr>
                <w:rFonts w:cs="Calibri"/>
                <w:color w:val="auto"/>
                <w:sz w:val="18"/>
                <w:szCs w:val="18"/>
                <w:lang w:val="es-ES"/>
              </w:rPr>
            </w:pPr>
          </w:p>
        </w:tc>
        <w:tc>
          <w:tcPr>
            <w:tcW w:w="3402" w:type="dxa"/>
            <w:tcBorders>
              <w:top w:val="single" w:sz="4" w:space="0" w:color="auto"/>
              <w:bottom w:val="dashSmallGap" w:sz="4" w:space="0" w:color="auto"/>
            </w:tcBorders>
            <w:shd w:val="clear" w:color="auto" w:fill="9CC2E5"/>
          </w:tcPr>
          <w:p w14:paraId="139416AF" w14:textId="77777777" w:rsidR="00705A2E" w:rsidRPr="00A0362A" w:rsidRDefault="00705A2E" w:rsidP="00263A41">
            <w:pPr>
              <w:suppressAutoHyphens w:val="0"/>
              <w:rPr>
                <w:rFonts w:cs="Calibri"/>
                <w:color w:val="auto"/>
                <w:sz w:val="18"/>
                <w:szCs w:val="18"/>
                <w:lang w:val="es-ES"/>
              </w:rPr>
            </w:pPr>
          </w:p>
        </w:tc>
      </w:tr>
      <w:tr w:rsidR="00705A2E" w:rsidRPr="00A0362A" w14:paraId="74BE76A0" w14:textId="77777777" w:rsidTr="00263A41">
        <w:trPr>
          <w:cantSplit/>
          <w:trHeight w:val="851"/>
        </w:trPr>
        <w:tc>
          <w:tcPr>
            <w:tcW w:w="1413" w:type="dxa"/>
            <w:tcBorders>
              <w:top w:val="dashSmallGap" w:sz="4" w:space="0" w:color="auto"/>
              <w:bottom w:val="single" w:sz="4" w:space="0" w:color="auto"/>
            </w:tcBorders>
            <w:shd w:val="clear" w:color="auto" w:fill="DEEAF6"/>
          </w:tcPr>
          <w:p w14:paraId="5D4E7E9C" w14:textId="77777777" w:rsidR="00705A2E" w:rsidRPr="00A0362A" w:rsidRDefault="00705A2E" w:rsidP="00263A41">
            <w:pPr>
              <w:suppressAutoHyphens w:val="0"/>
              <w:rPr>
                <w:rFonts w:cs="Calibri"/>
                <w:b/>
                <w:color w:val="auto"/>
                <w:sz w:val="18"/>
                <w:szCs w:val="18"/>
                <w:lang w:val="es-ES"/>
              </w:rPr>
            </w:pPr>
            <w:r w:rsidRPr="00A0362A">
              <w:rPr>
                <w:rFonts w:cs="Calibri"/>
                <w:b/>
                <w:color w:val="auto"/>
                <w:sz w:val="18"/>
                <w:szCs w:val="18"/>
                <w:lang w:val="es-ES"/>
              </w:rPr>
              <w:t>NOM-017-ENER/SCFI-2012 - Sección 8</w:t>
            </w:r>
          </w:p>
        </w:tc>
        <w:tc>
          <w:tcPr>
            <w:tcW w:w="3544" w:type="dxa"/>
            <w:tcBorders>
              <w:top w:val="dashSmallGap" w:sz="4" w:space="0" w:color="auto"/>
              <w:bottom w:val="single" w:sz="4" w:space="0" w:color="auto"/>
            </w:tcBorders>
            <w:shd w:val="clear" w:color="auto" w:fill="DEEAF6"/>
          </w:tcPr>
          <w:p w14:paraId="275C010A" w14:textId="77777777" w:rsidR="00705A2E" w:rsidRPr="00A0362A" w:rsidRDefault="00705A2E" w:rsidP="00263A41">
            <w:pPr>
              <w:suppressAutoHyphens w:val="0"/>
              <w:rPr>
                <w:rFonts w:cs="Calibri"/>
                <w:b/>
                <w:color w:val="auto"/>
                <w:sz w:val="18"/>
                <w:szCs w:val="18"/>
                <w:lang w:val="es-ES"/>
              </w:rPr>
            </w:pPr>
            <w:r w:rsidRPr="00A0362A">
              <w:rPr>
                <w:rFonts w:cs="Calibri"/>
                <w:b/>
                <w:color w:val="auto"/>
                <w:sz w:val="18"/>
                <w:szCs w:val="18"/>
                <w:lang w:val="es-ES"/>
              </w:rPr>
              <w:t>Métodos de prueba</w:t>
            </w:r>
          </w:p>
        </w:tc>
        <w:tc>
          <w:tcPr>
            <w:tcW w:w="1275" w:type="dxa"/>
            <w:tcBorders>
              <w:top w:val="dashSmallGap" w:sz="4" w:space="0" w:color="auto"/>
              <w:bottom w:val="single" w:sz="4" w:space="0" w:color="auto"/>
            </w:tcBorders>
            <w:shd w:val="clear" w:color="auto" w:fill="DEEAF6"/>
          </w:tcPr>
          <w:p w14:paraId="0FA0925C" w14:textId="77777777" w:rsidR="00705A2E" w:rsidRPr="00A0362A" w:rsidRDefault="00705A2E" w:rsidP="00263A41">
            <w:pPr>
              <w:suppressAutoHyphens w:val="0"/>
              <w:rPr>
                <w:rFonts w:cs="Calibri"/>
                <w:b/>
                <w:color w:val="auto"/>
                <w:sz w:val="18"/>
                <w:szCs w:val="18"/>
                <w:lang w:val="es-ES"/>
              </w:rPr>
            </w:pPr>
          </w:p>
        </w:tc>
        <w:tc>
          <w:tcPr>
            <w:tcW w:w="3119" w:type="dxa"/>
            <w:tcBorders>
              <w:top w:val="dashSmallGap" w:sz="4" w:space="0" w:color="auto"/>
              <w:bottom w:val="single" w:sz="4" w:space="0" w:color="auto"/>
            </w:tcBorders>
            <w:shd w:val="clear" w:color="auto" w:fill="DEEAF6"/>
          </w:tcPr>
          <w:p w14:paraId="1E1B8FF7" w14:textId="77777777" w:rsidR="00705A2E" w:rsidRPr="00A0362A" w:rsidRDefault="00705A2E" w:rsidP="00263A41">
            <w:pPr>
              <w:suppressAutoHyphens w:val="0"/>
              <w:rPr>
                <w:rFonts w:cs="Calibri"/>
                <w:b/>
                <w:color w:val="auto"/>
                <w:sz w:val="18"/>
                <w:szCs w:val="18"/>
                <w:lang w:val="es-ES"/>
              </w:rPr>
            </w:pPr>
          </w:p>
        </w:tc>
        <w:tc>
          <w:tcPr>
            <w:tcW w:w="1417" w:type="dxa"/>
            <w:tcBorders>
              <w:top w:val="dashSmallGap" w:sz="4" w:space="0" w:color="auto"/>
              <w:bottom w:val="single" w:sz="4" w:space="0" w:color="auto"/>
            </w:tcBorders>
            <w:shd w:val="clear" w:color="auto" w:fill="DEEAF6"/>
          </w:tcPr>
          <w:p w14:paraId="226EC795" w14:textId="77777777" w:rsidR="00705A2E" w:rsidRPr="00A0362A" w:rsidRDefault="00705A2E" w:rsidP="00263A41">
            <w:pPr>
              <w:suppressAutoHyphens w:val="0"/>
              <w:rPr>
                <w:rFonts w:cs="Calibri"/>
                <w:color w:val="auto"/>
                <w:sz w:val="18"/>
                <w:szCs w:val="18"/>
                <w:lang w:val="es-ES"/>
              </w:rPr>
            </w:pPr>
          </w:p>
        </w:tc>
        <w:tc>
          <w:tcPr>
            <w:tcW w:w="3402" w:type="dxa"/>
            <w:tcBorders>
              <w:top w:val="dashSmallGap" w:sz="4" w:space="0" w:color="auto"/>
              <w:bottom w:val="single" w:sz="4" w:space="0" w:color="auto"/>
            </w:tcBorders>
            <w:shd w:val="clear" w:color="auto" w:fill="DEEAF6"/>
          </w:tcPr>
          <w:p w14:paraId="0EEB523C" w14:textId="77777777" w:rsidR="00705A2E" w:rsidRPr="00A0362A" w:rsidRDefault="00705A2E" w:rsidP="00263A41">
            <w:pPr>
              <w:suppressAutoHyphens w:val="0"/>
              <w:rPr>
                <w:rFonts w:cs="Calibri"/>
                <w:color w:val="auto"/>
                <w:sz w:val="18"/>
                <w:szCs w:val="18"/>
                <w:lang w:val="es-ES"/>
              </w:rPr>
            </w:pPr>
          </w:p>
        </w:tc>
      </w:tr>
      <w:tr w:rsidR="00705A2E" w:rsidRPr="00A0362A" w14:paraId="00AFB3FD" w14:textId="77777777" w:rsidTr="00263A41">
        <w:trPr>
          <w:cantSplit/>
          <w:trHeight w:val="851"/>
        </w:trPr>
        <w:tc>
          <w:tcPr>
            <w:tcW w:w="1413" w:type="dxa"/>
            <w:tcBorders>
              <w:bottom w:val="dashSmallGap" w:sz="4" w:space="0" w:color="auto"/>
            </w:tcBorders>
          </w:tcPr>
          <w:p w14:paraId="49D9C61F" w14:textId="77777777" w:rsidR="00705A2E" w:rsidRPr="00A0362A" w:rsidRDefault="00705A2E" w:rsidP="00263A41">
            <w:pPr>
              <w:suppressAutoHyphens w:val="0"/>
              <w:rPr>
                <w:rFonts w:cs="Calibri"/>
                <w:b/>
                <w:color w:val="auto"/>
                <w:sz w:val="18"/>
                <w:szCs w:val="18"/>
                <w:lang w:val="es-ES"/>
              </w:rPr>
            </w:pPr>
          </w:p>
        </w:tc>
        <w:tc>
          <w:tcPr>
            <w:tcW w:w="3544" w:type="dxa"/>
            <w:tcBorders>
              <w:bottom w:val="dashSmallGap" w:sz="4" w:space="0" w:color="auto"/>
            </w:tcBorders>
          </w:tcPr>
          <w:p w14:paraId="42925F9D"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8.2 Eficacia luminosa</w:t>
            </w:r>
          </w:p>
        </w:tc>
        <w:tc>
          <w:tcPr>
            <w:tcW w:w="1275" w:type="dxa"/>
            <w:tcBorders>
              <w:top w:val="dashSmallGap" w:sz="4" w:space="0" w:color="auto"/>
              <w:bottom w:val="single" w:sz="4" w:space="0" w:color="auto"/>
            </w:tcBorders>
          </w:tcPr>
          <w:p w14:paraId="046AE766" w14:textId="1FBA6958" w:rsidR="00705A2E" w:rsidRPr="00EE4ED3" w:rsidRDefault="00705A2E" w:rsidP="002F66F4">
            <w:pPr>
              <w:suppressAutoHyphens w:val="0"/>
              <w:rPr>
                <w:rFonts w:cs="Calibri"/>
                <w:color w:val="auto"/>
                <w:sz w:val="18"/>
                <w:szCs w:val="18"/>
                <w:lang w:val="es-ES"/>
              </w:rPr>
            </w:pPr>
            <w:r w:rsidRPr="00EE4ED3">
              <w:rPr>
                <w:rFonts w:cs="Calibri"/>
                <w:color w:val="auto"/>
                <w:sz w:val="18"/>
                <w:szCs w:val="18"/>
                <w:lang w:val="es-ES"/>
              </w:rPr>
              <w:t>NMX-J-295/1-ANCE-2011</w:t>
            </w:r>
          </w:p>
        </w:tc>
        <w:tc>
          <w:tcPr>
            <w:tcW w:w="3119" w:type="dxa"/>
            <w:tcBorders>
              <w:top w:val="dashSmallGap" w:sz="4" w:space="0" w:color="auto"/>
              <w:bottom w:val="single" w:sz="4" w:space="0" w:color="auto"/>
            </w:tcBorders>
          </w:tcPr>
          <w:p w14:paraId="143BF3F9"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Iluminación - Lámparas fluorescentes de una base para alumbrado general - Especificaciones y métodos de prueba</w:t>
            </w:r>
          </w:p>
        </w:tc>
        <w:tc>
          <w:tcPr>
            <w:tcW w:w="1417" w:type="dxa"/>
            <w:tcBorders>
              <w:top w:val="dashSmallGap" w:sz="4" w:space="0" w:color="auto"/>
              <w:bottom w:val="single" w:sz="4" w:space="0" w:color="auto"/>
            </w:tcBorders>
          </w:tcPr>
          <w:p w14:paraId="5B0B489C"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IEC 60901, ed. 2.2 (2001-11)</w:t>
            </w:r>
          </w:p>
        </w:tc>
        <w:tc>
          <w:tcPr>
            <w:tcW w:w="3402" w:type="dxa"/>
            <w:tcBorders>
              <w:top w:val="dashSmallGap" w:sz="4" w:space="0" w:color="auto"/>
              <w:bottom w:val="single" w:sz="4" w:space="0" w:color="auto"/>
            </w:tcBorders>
          </w:tcPr>
          <w:p w14:paraId="5AED6881" w14:textId="77777777" w:rsidR="00705A2E" w:rsidRPr="00EE4ED3" w:rsidRDefault="00705A2E" w:rsidP="00263A41">
            <w:pPr>
              <w:suppressAutoHyphens w:val="0"/>
              <w:rPr>
                <w:rFonts w:cs="Calibri"/>
                <w:color w:val="auto"/>
                <w:sz w:val="18"/>
                <w:szCs w:val="18"/>
              </w:rPr>
            </w:pPr>
            <w:r w:rsidRPr="00EE4ED3">
              <w:rPr>
                <w:rFonts w:cs="Calibri"/>
                <w:color w:val="auto"/>
                <w:sz w:val="18"/>
                <w:szCs w:val="18"/>
              </w:rPr>
              <w:t>Single-capped fluorescent lamps - Performance specifications</w:t>
            </w:r>
          </w:p>
          <w:p w14:paraId="60CF02EA" w14:textId="77777777" w:rsidR="00705A2E" w:rsidRPr="00EE4ED3" w:rsidRDefault="00705A2E" w:rsidP="00263A41">
            <w:pPr>
              <w:suppressAutoHyphens w:val="0"/>
              <w:rPr>
                <w:rFonts w:cs="Calibri"/>
                <w:color w:val="auto"/>
                <w:sz w:val="18"/>
                <w:szCs w:val="18"/>
              </w:rPr>
            </w:pPr>
            <w:r w:rsidRPr="00EE4ED3">
              <w:rPr>
                <w:rFonts w:cs="Calibri"/>
                <w:color w:val="auto"/>
                <w:sz w:val="18"/>
                <w:szCs w:val="18"/>
              </w:rPr>
              <w:t>(coincidencia básica)</w:t>
            </w:r>
          </w:p>
        </w:tc>
      </w:tr>
      <w:tr w:rsidR="00705A2E" w:rsidRPr="00A0362A" w14:paraId="15F8EEC4" w14:textId="77777777" w:rsidTr="00263A41">
        <w:trPr>
          <w:cantSplit/>
          <w:trHeight w:val="851"/>
        </w:trPr>
        <w:tc>
          <w:tcPr>
            <w:tcW w:w="1413" w:type="dxa"/>
            <w:tcBorders>
              <w:bottom w:val="dashSmallGap" w:sz="4" w:space="0" w:color="auto"/>
            </w:tcBorders>
          </w:tcPr>
          <w:p w14:paraId="6F989061" w14:textId="77777777" w:rsidR="00705A2E" w:rsidRPr="00A0362A" w:rsidRDefault="00705A2E" w:rsidP="00263A41">
            <w:pPr>
              <w:suppressAutoHyphens w:val="0"/>
              <w:rPr>
                <w:rFonts w:cs="Calibri"/>
                <w:b/>
                <w:color w:val="auto"/>
                <w:sz w:val="18"/>
                <w:szCs w:val="18"/>
                <w:lang w:val="es-ES"/>
              </w:rPr>
            </w:pPr>
          </w:p>
        </w:tc>
        <w:tc>
          <w:tcPr>
            <w:tcW w:w="3544" w:type="dxa"/>
            <w:tcBorders>
              <w:bottom w:val="dashSmallGap" w:sz="4" w:space="0" w:color="auto"/>
            </w:tcBorders>
          </w:tcPr>
          <w:p w14:paraId="4AE7BE2B" w14:textId="45EBA6FE" w:rsidR="00705A2E" w:rsidRPr="00EE4ED3" w:rsidRDefault="002F66F4" w:rsidP="003B58BF">
            <w:pPr>
              <w:suppressAutoHyphens w:val="0"/>
              <w:rPr>
                <w:rFonts w:cs="Calibri"/>
                <w:color w:val="auto"/>
                <w:sz w:val="18"/>
                <w:szCs w:val="18"/>
                <w:lang w:val="es-ES"/>
              </w:rPr>
            </w:pPr>
            <w:r>
              <w:rPr>
                <w:rFonts w:cs="Calibri"/>
                <w:color w:val="auto"/>
                <w:sz w:val="18"/>
                <w:szCs w:val="18"/>
                <w:lang w:val="es-ES"/>
              </w:rPr>
              <w:t>(Balastos)</w:t>
            </w:r>
          </w:p>
        </w:tc>
        <w:tc>
          <w:tcPr>
            <w:tcW w:w="1275" w:type="dxa"/>
            <w:tcBorders>
              <w:top w:val="dashSmallGap" w:sz="4" w:space="0" w:color="auto"/>
              <w:bottom w:val="single" w:sz="4" w:space="0" w:color="auto"/>
            </w:tcBorders>
          </w:tcPr>
          <w:p w14:paraId="37775069"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NMX-J-198-ANCE-2005/2015</w:t>
            </w:r>
          </w:p>
        </w:tc>
        <w:tc>
          <w:tcPr>
            <w:tcW w:w="3119" w:type="dxa"/>
            <w:tcBorders>
              <w:top w:val="dashSmallGap" w:sz="4" w:space="0" w:color="auto"/>
              <w:bottom w:val="single" w:sz="4" w:space="0" w:color="auto"/>
            </w:tcBorders>
          </w:tcPr>
          <w:p w14:paraId="7754AF59"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Productos eléctricos - Iluminación - Balastros para lámparas fluorescentes - Métodos de prueba</w:t>
            </w:r>
          </w:p>
        </w:tc>
        <w:tc>
          <w:tcPr>
            <w:tcW w:w="1417" w:type="dxa"/>
            <w:tcBorders>
              <w:top w:val="dashSmallGap" w:sz="4" w:space="0" w:color="auto"/>
              <w:bottom w:val="single" w:sz="4" w:space="0" w:color="auto"/>
            </w:tcBorders>
          </w:tcPr>
          <w:p w14:paraId="06D7D60F"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IEC 60921</w:t>
            </w:r>
          </w:p>
          <w:p w14:paraId="213BA025" w14:textId="77777777" w:rsidR="00705A2E" w:rsidRPr="00EE4ED3" w:rsidRDefault="00705A2E" w:rsidP="00263A41">
            <w:pPr>
              <w:suppressAutoHyphens w:val="0"/>
              <w:rPr>
                <w:rFonts w:cs="Calibri"/>
                <w:color w:val="auto"/>
                <w:sz w:val="18"/>
                <w:szCs w:val="18"/>
                <w:lang w:val="es-ES"/>
              </w:rPr>
            </w:pPr>
          </w:p>
          <w:p w14:paraId="077B62BE" w14:textId="77777777" w:rsidR="00705A2E" w:rsidRPr="00EE4ED3" w:rsidRDefault="00705A2E" w:rsidP="00263A41">
            <w:pPr>
              <w:suppressAutoHyphens w:val="0"/>
              <w:rPr>
                <w:rFonts w:cs="Calibri"/>
                <w:color w:val="auto"/>
                <w:sz w:val="18"/>
                <w:szCs w:val="18"/>
                <w:lang w:val="es-ES"/>
              </w:rPr>
            </w:pPr>
          </w:p>
          <w:p w14:paraId="2387C873" w14:textId="77777777" w:rsidR="00705A2E" w:rsidRPr="00EE4ED3" w:rsidRDefault="00705A2E" w:rsidP="00263A41">
            <w:pPr>
              <w:suppressAutoHyphens w:val="0"/>
              <w:rPr>
                <w:rFonts w:cs="Calibri"/>
                <w:color w:val="auto"/>
                <w:sz w:val="18"/>
                <w:szCs w:val="18"/>
                <w:lang w:val="es-ES"/>
              </w:rPr>
            </w:pPr>
          </w:p>
          <w:p w14:paraId="2B21AAD0"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IEC 60929</w:t>
            </w:r>
          </w:p>
        </w:tc>
        <w:tc>
          <w:tcPr>
            <w:tcW w:w="3402" w:type="dxa"/>
            <w:tcBorders>
              <w:top w:val="dashSmallGap" w:sz="4" w:space="0" w:color="auto"/>
              <w:bottom w:val="single" w:sz="4" w:space="0" w:color="auto"/>
            </w:tcBorders>
          </w:tcPr>
          <w:p w14:paraId="45A2A888" w14:textId="77777777" w:rsidR="00705A2E" w:rsidRPr="00EE4ED3" w:rsidRDefault="00705A2E" w:rsidP="00263A41">
            <w:pPr>
              <w:suppressAutoHyphens w:val="0"/>
              <w:rPr>
                <w:rFonts w:cs="Calibri"/>
                <w:color w:val="auto"/>
                <w:sz w:val="18"/>
                <w:szCs w:val="18"/>
              </w:rPr>
            </w:pPr>
            <w:r w:rsidRPr="00EE4ED3">
              <w:rPr>
                <w:rFonts w:cs="Calibri"/>
                <w:color w:val="auto"/>
                <w:sz w:val="18"/>
                <w:szCs w:val="18"/>
              </w:rPr>
              <w:t>Ballasts for tubular fluorescent lamps - Performance requirements, ed 2.1 (2006-06)</w:t>
            </w:r>
          </w:p>
          <w:p w14:paraId="0C284160" w14:textId="77777777" w:rsidR="00705A2E" w:rsidRPr="00EE4ED3" w:rsidRDefault="00705A2E" w:rsidP="00263A41">
            <w:pPr>
              <w:suppressAutoHyphens w:val="0"/>
              <w:rPr>
                <w:rFonts w:cs="Calibri"/>
                <w:color w:val="auto"/>
                <w:sz w:val="18"/>
                <w:szCs w:val="18"/>
              </w:rPr>
            </w:pPr>
            <w:r w:rsidRPr="00EE4ED3">
              <w:rPr>
                <w:rFonts w:cs="Calibri"/>
                <w:color w:val="auto"/>
                <w:sz w:val="18"/>
                <w:szCs w:val="18"/>
              </w:rPr>
              <w:t>(NEQ)</w:t>
            </w:r>
          </w:p>
          <w:p w14:paraId="7F60BCCA" w14:textId="77777777" w:rsidR="00705A2E" w:rsidRPr="00EE4ED3" w:rsidRDefault="00705A2E" w:rsidP="00263A41">
            <w:pPr>
              <w:suppressAutoHyphens w:val="0"/>
              <w:rPr>
                <w:rFonts w:cs="Calibri"/>
                <w:color w:val="auto"/>
                <w:sz w:val="18"/>
                <w:szCs w:val="18"/>
              </w:rPr>
            </w:pPr>
            <w:r w:rsidRPr="00EE4ED3">
              <w:rPr>
                <w:rFonts w:cs="Calibri"/>
                <w:color w:val="auto"/>
                <w:sz w:val="18"/>
                <w:szCs w:val="18"/>
              </w:rPr>
              <w:t>AC and/or DC-supplied electronic control gear for tubular fluorescent lamps - Performance requirements, ed 4.0 (2011-05)</w:t>
            </w:r>
          </w:p>
          <w:p w14:paraId="3D378513" w14:textId="77777777" w:rsidR="00705A2E" w:rsidRPr="00EE4ED3" w:rsidRDefault="00705A2E" w:rsidP="00263A41">
            <w:pPr>
              <w:suppressAutoHyphens w:val="0"/>
              <w:rPr>
                <w:rFonts w:cs="Calibri"/>
                <w:color w:val="auto"/>
                <w:sz w:val="18"/>
                <w:szCs w:val="18"/>
              </w:rPr>
            </w:pPr>
            <w:r w:rsidRPr="00EE4ED3">
              <w:rPr>
                <w:rFonts w:cs="Calibri"/>
                <w:color w:val="auto"/>
                <w:sz w:val="18"/>
                <w:szCs w:val="18"/>
              </w:rPr>
              <w:t>(NEQ)</w:t>
            </w:r>
          </w:p>
        </w:tc>
      </w:tr>
      <w:tr w:rsidR="00705A2E" w:rsidRPr="00A0362A" w14:paraId="04411787" w14:textId="77777777" w:rsidTr="00263A41">
        <w:trPr>
          <w:cantSplit/>
          <w:trHeight w:val="851"/>
        </w:trPr>
        <w:tc>
          <w:tcPr>
            <w:tcW w:w="1413" w:type="dxa"/>
            <w:tcBorders>
              <w:bottom w:val="single" w:sz="4" w:space="0" w:color="auto"/>
            </w:tcBorders>
          </w:tcPr>
          <w:p w14:paraId="09EC85E9" w14:textId="77777777" w:rsidR="00705A2E" w:rsidRPr="00BF7375" w:rsidRDefault="00705A2E" w:rsidP="00263A41">
            <w:pPr>
              <w:suppressAutoHyphens w:val="0"/>
              <w:rPr>
                <w:rFonts w:cs="Calibri"/>
                <w:b/>
                <w:color w:val="auto"/>
                <w:sz w:val="18"/>
                <w:szCs w:val="18"/>
                <w:lang w:val="es-ES"/>
              </w:rPr>
            </w:pPr>
            <w:r w:rsidRPr="00BF7375">
              <w:rPr>
                <w:rFonts w:cs="Calibri"/>
                <w:b/>
                <w:color w:val="auto"/>
                <w:sz w:val="18"/>
                <w:szCs w:val="18"/>
                <w:lang w:val="es-ES"/>
              </w:rPr>
              <w:t>NOM-017-ENER/SCFI-2012 - Apéndice A</w:t>
            </w:r>
          </w:p>
        </w:tc>
        <w:tc>
          <w:tcPr>
            <w:tcW w:w="3544" w:type="dxa"/>
            <w:tcBorders>
              <w:bottom w:val="single" w:sz="4" w:space="0" w:color="auto"/>
            </w:tcBorders>
          </w:tcPr>
          <w:p w14:paraId="51D9F1AB" w14:textId="77777777" w:rsidR="00705A2E" w:rsidRPr="00A0362A" w:rsidRDefault="00705A2E" w:rsidP="00263A41">
            <w:pPr>
              <w:suppressAutoHyphens w:val="0"/>
              <w:rPr>
                <w:rFonts w:cs="Calibri"/>
                <w:b/>
                <w:color w:val="auto"/>
                <w:sz w:val="18"/>
                <w:szCs w:val="18"/>
                <w:lang w:val="es-ES"/>
              </w:rPr>
            </w:pPr>
            <w:r w:rsidRPr="00A0362A">
              <w:rPr>
                <w:rFonts w:cs="Calibri"/>
                <w:b/>
                <w:color w:val="auto"/>
                <w:sz w:val="18"/>
                <w:szCs w:val="18"/>
                <w:lang w:val="es-ES"/>
              </w:rPr>
              <w:t>Método de Prueba para Determinar el Flujo Luminoso Total</w:t>
            </w:r>
          </w:p>
        </w:tc>
        <w:tc>
          <w:tcPr>
            <w:tcW w:w="1275" w:type="dxa"/>
            <w:tcBorders>
              <w:top w:val="dashSmallGap" w:sz="4" w:space="0" w:color="auto"/>
              <w:bottom w:val="single" w:sz="4" w:space="0" w:color="auto"/>
            </w:tcBorders>
          </w:tcPr>
          <w:p w14:paraId="3119058A" w14:textId="4D682990" w:rsidR="00705A2E" w:rsidRPr="00EE4ED3" w:rsidRDefault="00705A2E" w:rsidP="002F66F4">
            <w:pPr>
              <w:suppressAutoHyphens w:val="0"/>
              <w:rPr>
                <w:rFonts w:cs="Calibri"/>
                <w:color w:val="auto"/>
                <w:sz w:val="18"/>
                <w:szCs w:val="18"/>
                <w:lang w:val="es-ES"/>
              </w:rPr>
            </w:pPr>
            <w:r w:rsidRPr="00EE4ED3">
              <w:rPr>
                <w:rFonts w:cs="Calibri"/>
                <w:color w:val="auto"/>
                <w:sz w:val="18"/>
                <w:szCs w:val="18"/>
                <w:lang w:val="es-ES"/>
              </w:rPr>
              <w:t>NMX-J-295/1-ANCE-2011</w:t>
            </w:r>
          </w:p>
        </w:tc>
        <w:tc>
          <w:tcPr>
            <w:tcW w:w="3119" w:type="dxa"/>
            <w:tcBorders>
              <w:top w:val="dashSmallGap" w:sz="4" w:space="0" w:color="auto"/>
              <w:bottom w:val="single" w:sz="4" w:space="0" w:color="auto"/>
            </w:tcBorders>
          </w:tcPr>
          <w:p w14:paraId="27F63F7F"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Iluminación - Lámparas fluorescentes de una base para alumbrado general - Especificaciones y métodos de prueba</w:t>
            </w:r>
          </w:p>
        </w:tc>
        <w:tc>
          <w:tcPr>
            <w:tcW w:w="1417" w:type="dxa"/>
            <w:tcBorders>
              <w:top w:val="dashSmallGap" w:sz="4" w:space="0" w:color="auto"/>
              <w:bottom w:val="single" w:sz="4" w:space="0" w:color="auto"/>
            </w:tcBorders>
          </w:tcPr>
          <w:p w14:paraId="2CEEC61A"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IEC 60901, ed. 2.2 (2001-11)</w:t>
            </w:r>
          </w:p>
        </w:tc>
        <w:tc>
          <w:tcPr>
            <w:tcW w:w="3402" w:type="dxa"/>
            <w:tcBorders>
              <w:top w:val="dashSmallGap" w:sz="4" w:space="0" w:color="auto"/>
              <w:bottom w:val="single" w:sz="4" w:space="0" w:color="auto"/>
            </w:tcBorders>
          </w:tcPr>
          <w:p w14:paraId="5F329A8D" w14:textId="77777777" w:rsidR="00705A2E" w:rsidRPr="00EE4ED3" w:rsidRDefault="00705A2E" w:rsidP="00263A41">
            <w:pPr>
              <w:suppressAutoHyphens w:val="0"/>
              <w:rPr>
                <w:rFonts w:cs="Calibri"/>
                <w:color w:val="auto"/>
                <w:sz w:val="18"/>
                <w:szCs w:val="18"/>
              </w:rPr>
            </w:pPr>
            <w:r w:rsidRPr="00EE4ED3">
              <w:rPr>
                <w:rFonts w:cs="Calibri"/>
                <w:color w:val="auto"/>
                <w:sz w:val="18"/>
                <w:szCs w:val="18"/>
              </w:rPr>
              <w:t>Single-capped fluorescent lamps - Performance specifications</w:t>
            </w:r>
          </w:p>
          <w:p w14:paraId="335FFB86" w14:textId="77777777" w:rsidR="00705A2E" w:rsidRPr="00EE4ED3" w:rsidRDefault="00705A2E" w:rsidP="00263A41">
            <w:pPr>
              <w:suppressAutoHyphens w:val="0"/>
              <w:rPr>
                <w:rFonts w:cs="Calibri"/>
                <w:color w:val="auto"/>
                <w:sz w:val="18"/>
                <w:szCs w:val="18"/>
              </w:rPr>
            </w:pPr>
            <w:r w:rsidRPr="00EE4ED3">
              <w:rPr>
                <w:rFonts w:cs="Calibri"/>
                <w:color w:val="auto"/>
                <w:sz w:val="18"/>
                <w:szCs w:val="18"/>
              </w:rPr>
              <w:t>(coincidencia básica)</w:t>
            </w:r>
          </w:p>
        </w:tc>
      </w:tr>
      <w:tr w:rsidR="00705A2E" w:rsidRPr="00914127" w14:paraId="4D1BBD3E" w14:textId="77777777" w:rsidTr="00263A41">
        <w:trPr>
          <w:cantSplit/>
          <w:trHeight w:val="851"/>
        </w:trPr>
        <w:tc>
          <w:tcPr>
            <w:tcW w:w="1413" w:type="dxa"/>
            <w:tcBorders>
              <w:top w:val="single" w:sz="4" w:space="0" w:color="auto"/>
              <w:bottom w:val="dashSmallGap" w:sz="4" w:space="0" w:color="auto"/>
            </w:tcBorders>
            <w:shd w:val="clear" w:color="auto" w:fill="9CC2E5"/>
          </w:tcPr>
          <w:p w14:paraId="50305355" w14:textId="77777777" w:rsidR="00705A2E" w:rsidRPr="00A0362A" w:rsidRDefault="00705A2E" w:rsidP="00263A41">
            <w:pPr>
              <w:suppressAutoHyphens w:val="0"/>
              <w:rPr>
                <w:rFonts w:cs="Calibri"/>
                <w:b/>
                <w:color w:val="auto"/>
                <w:sz w:val="18"/>
                <w:szCs w:val="18"/>
              </w:rPr>
            </w:pPr>
            <w:r w:rsidRPr="00A0362A">
              <w:rPr>
                <w:rFonts w:cs="Calibri"/>
                <w:b/>
                <w:color w:val="auto"/>
                <w:sz w:val="18"/>
                <w:szCs w:val="18"/>
              </w:rPr>
              <w:t>NOM-030-ENER-2016</w:t>
            </w:r>
          </w:p>
          <w:p w14:paraId="68F9D40B" w14:textId="77777777" w:rsidR="00705A2E" w:rsidRPr="00A0362A" w:rsidRDefault="00705A2E" w:rsidP="00263A41">
            <w:pPr>
              <w:suppressAutoHyphens w:val="0"/>
              <w:rPr>
                <w:rFonts w:cs="Calibri"/>
                <w:b/>
                <w:color w:val="auto"/>
                <w:sz w:val="18"/>
                <w:szCs w:val="18"/>
                <w:lang w:val="es-ES"/>
              </w:rPr>
            </w:pPr>
          </w:p>
        </w:tc>
        <w:tc>
          <w:tcPr>
            <w:tcW w:w="3544" w:type="dxa"/>
            <w:tcBorders>
              <w:top w:val="single" w:sz="4" w:space="0" w:color="auto"/>
              <w:bottom w:val="dashSmallGap" w:sz="4" w:space="0" w:color="auto"/>
            </w:tcBorders>
            <w:shd w:val="clear" w:color="auto" w:fill="9CC2E5"/>
          </w:tcPr>
          <w:p w14:paraId="5348A6FA" w14:textId="77777777" w:rsidR="00705A2E" w:rsidRPr="00A0362A" w:rsidRDefault="00705A2E" w:rsidP="00263A41">
            <w:pPr>
              <w:suppressAutoHyphens w:val="0"/>
              <w:rPr>
                <w:rFonts w:cs="Calibri"/>
                <w:b/>
                <w:color w:val="auto"/>
                <w:sz w:val="18"/>
                <w:szCs w:val="18"/>
                <w:lang w:val="es-ES"/>
              </w:rPr>
            </w:pPr>
            <w:r w:rsidRPr="00A0362A">
              <w:rPr>
                <w:rFonts w:cs="Calibri"/>
                <w:b/>
                <w:color w:val="auto"/>
                <w:sz w:val="18"/>
                <w:szCs w:val="18"/>
                <w:lang w:val="es-ES"/>
              </w:rPr>
              <w:t xml:space="preserve">Lámparas LED integradas para iluminación general </w:t>
            </w:r>
          </w:p>
        </w:tc>
        <w:tc>
          <w:tcPr>
            <w:tcW w:w="1275" w:type="dxa"/>
            <w:tcBorders>
              <w:top w:val="single" w:sz="4" w:space="0" w:color="auto"/>
              <w:bottom w:val="dashSmallGap" w:sz="4" w:space="0" w:color="auto"/>
            </w:tcBorders>
            <w:shd w:val="clear" w:color="auto" w:fill="9CC2E5"/>
          </w:tcPr>
          <w:p w14:paraId="253A9DC3" w14:textId="77777777" w:rsidR="00705A2E" w:rsidRPr="00A0362A" w:rsidRDefault="00705A2E" w:rsidP="00263A41">
            <w:pPr>
              <w:suppressAutoHyphens w:val="0"/>
              <w:rPr>
                <w:rFonts w:cs="Calibri"/>
                <w:b/>
                <w:color w:val="auto"/>
                <w:sz w:val="18"/>
                <w:szCs w:val="18"/>
                <w:lang w:val="es-ES"/>
              </w:rPr>
            </w:pPr>
          </w:p>
        </w:tc>
        <w:tc>
          <w:tcPr>
            <w:tcW w:w="3119" w:type="dxa"/>
            <w:tcBorders>
              <w:top w:val="single" w:sz="4" w:space="0" w:color="auto"/>
              <w:bottom w:val="dashSmallGap" w:sz="4" w:space="0" w:color="auto"/>
            </w:tcBorders>
            <w:shd w:val="clear" w:color="auto" w:fill="9CC2E5"/>
          </w:tcPr>
          <w:p w14:paraId="54C30C9E" w14:textId="77777777" w:rsidR="00705A2E" w:rsidRPr="00A0362A" w:rsidRDefault="00705A2E" w:rsidP="00263A41">
            <w:pPr>
              <w:suppressAutoHyphens w:val="0"/>
              <w:rPr>
                <w:rFonts w:cs="Calibri"/>
                <w:b/>
                <w:color w:val="auto"/>
                <w:sz w:val="18"/>
                <w:szCs w:val="18"/>
                <w:lang w:val="es-ES"/>
              </w:rPr>
            </w:pPr>
          </w:p>
        </w:tc>
        <w:tc>
          <w:tcPr>
            <w:tcW w:w="1417" w:type="dxa"/>
            <w:tcBorders>
              <w:top w:val="single" w:sz="4" w:space="0" w:color="auto"/>
              <w:bottom w:val="dashSmallGap" w:sz="4" w:space="0" w:color="auto"/>
            </w:tcBorders>
            <w:shd w:val="clear" w:color="auto" w:fill="9CC2E5"/>
          </w:tcPr>
          <w:p w14:paraId="59C7EDE0" w14:textId="77777777" w:rsidR="00705A2E" w:rsidRPr="00A0362A" w:rsidRDefault="00705A2E" w:rsidP="00263A41">
            <w:pPr>
              <w:suppressAutoHyphens w:val="0"/>
              <w:rPr>
                <w:rFonts w:cs="Calibri"/>
                <w:color w:val="auto"/>
                <w:sz w:val="18"/>
                <w:szCs w:val="18"/>
                <w:lang w:val="es-ES"/>
              </w:rPr>
            </w:pPr>
          </w:p>
        </w:tc>
        <w:tc>
          <w:tcPr>
            <w:tcW w:w="3402" w:type="dxa"/>
            <w:tcBorders>
              <w:top w:val="single" w:sz="4" w:space="0" w:color="auto"/>
              <w:bottom w:val="dashSmallGap" w:sz="4" w:space="0" w:color="auto"/>
            </w:tcBorders>
            <w:shd w:val="clear" w:color="auto" w:fill="9CC2E5"/>
          </w:tcPr>
          <w:p w14:paraId="65FD9A77" w14:textId="77777777" w:rsidR="00705A2E" w:rsidRPr="00A0362A" w:rsidRDefault="00705A2E" w:rsidP="00263A41">
            <w:pPr>
              <w:suppressAutoHyphens w:val="0"/>
              <w:rPr>
                <w:rFonts w:cs="Calibri"/>
                <w:color w:val="auto"/>
                <w:sz w:val="18"/>
                <w:szCs w:val="18"/>
                <w:lang w:val="es-ES"/>
              </w:rPr>
            </w:pPr>
          </w:p>
        </w:tc>
      </w:tr>
      <w:tr w:rsidR="00705A2E" w:rsidRPr="00A0362A" w14:paraId="3208A4AD" w14:textId="77777777" w:rsidTr="00263A41">
        <w:trPr>
          <w:cantSplit/>
          <w:trHeight w:val="851"/>
        </w:trPr>
        <w:tc>
          <w:tcPr>
            <w:tcW w:w="1413" w:type="dxa"/>
            <w:tcBorders>
              <w:top w:val="dashSmallGap" w:sz="4" w:space="0" w:color="auto"/>
              <w:bottom w:val="single" w:sz="4" w:space="0" w:color="auto"/>
            </w:tcBorders>
            <w:shd w:val="clear" w:color="auto" w:fill="DEEAF6"/>
          </w:tcPr>
          <w:p w14:paraId="3C37D096" w14:textId="77777777" w:rsidR="00705A2E" w:rsidRPr="00A0362A" w:rsidRDefault="00705A2E" w:rsidP="00263A41">
            <w:pPr>
              <w:suppressAutoHyphens w:val="0"/>
              <w:rPr>
                <w:rFonts w:cs="Calibri"/>
                <w:b/>
                <w:color w:val="auto"/>
                <w:sz w:val="18"/>
                <w:szCs w:val="18"/>
              </w:rPr>
            </w:pPr>
            <w:r w:rsidRPr="00A0362A">
              <w:rPr>
                <w:rFonts w:cs="Calibri"/>
                <w:b/>
                <w:color w:val="auto"/>
                <w:sz w:val="18"/>
                <w:szCs w:val="18"/>
              </w:rPr>
              <w:t>NOM-030-ENER-2016 - Sección 7</w:t>
            </w:r>
          </w:p>
          <w:p w14:paraId="4449D4E5" w14:textId="77777777" w:rsidR="00705A2E" w:rsidRPr="00A0362A" w:rsidRDefault="00705A2E" w:rsidP="00263A41">
            <w:pPr>
              <w:suppressAutoHyphens w:val="0"/>
              <w:rPr>
                <w:rFonts w:cs="Calibri"/>
                <w:b/>
                <w:color w:val="auto"/>
                <w:sz w:val="18"/>
                <w:szCs w:val="18"/>
              </w:rPr>
            </w:pPr>
          </w:p>
        </w:tc>
        <w:tc>
          <w:tcPr>
            <w:tcW w:w="3544" w:type="dxa"/>
            <w:tcBorders>
              <w:top w:val="dashSmallGap" w:sz="4" w:space="0" w:color="auto"/>
              <w:bottom w:val="single" w:sz="4" w:space="0" w:color="auto"/>
            </w:tcBorders>
            <w:shd w:val="clear" w:color="auto" w:fill="DEEAF6"/>
          </w:tcPr>
          <w:p w14:paraId="5F793D31" w14:textId="77777777" w:rsidR="00705A2E" w:rsidRPr="00A0362A" w:rsidRDefault="00705A2E" w:rsidP="00263A41">
            <w:pPr>
              <w:suppressAutoHyphens w:val="0"/>
              <w:rPr>
                <w:rFonts w:cs="Calibri"/>
                <w:b/>
                <w:color w:val="auto"/>
                <w:sz w:val="18"/>
                <w:szCs w:val="18"/>
                <w:lang w:val="es-ES"/>
              </w:rPr>
            </w:pPr>
            <w:r w:rsidRPr="00A0362A">
              <w:rPr>
                <w:rFonts w:cs="Calibri"/>
                <w:b/>
                <w:color w:val="auto"/>
                <w:sz w:val="18"/>
                <w:szCs w:val="18"/>
                <w:lang w:val="es-ES"/>
              </w:rPr>
              <w:t>Métodos de prueba</w:t>
            </w:r>
          </w:p>
        </w:tc>
        <w:tc>
          <w:tcPr>
            <w:tcW w:w="1275" w:type="dxa"/>
            <w:tcBorders>
              <w:top w:val="dashSmallGap" w:sz="4" w:space="0" w:color="auto"/>
              <w:bottom w:val="single" w:sz="4" w:space="0" w:color="auto"/>
            </w:tcBorders>
            <w:shd w:val="clear" w:color="auto" w:fill="DEEAF6"/>
          </w:tcPr>
          <w:p w14:paraId="492D5F23" w14:textId="77777777" w:rsidR="00705A2E" w:rsidRPr="00A0362A" w:rsidRDefault="00705A2E" w:rsidP="00263A41">
            <w:pPr>
              <w:suppressAutoHyphens w:val="0"/>
              <w:rPr>
                <w:rFonts w:cs="Calibri"/>
                <w:b/>
                <w:color w:val="auto"/>
                <w:sz w:val="18"/>
                <w:szCs w:val="18"/>
                <w:lang w:val="es-ES"/>
              </w:rPr>
            </w:pPr>
          </w:p>
        </w:tc>
        <w:tc>
          <w:tcPr>
            <w:tcW w:w="3119" w:type="dxa"/>
            <w:tcBorders>
              <w:top w:val="dashSmallGap" w:sz="4" w:space="0" w:color="auto"/>
              <w:bottom w:val="single" w:sz="4" w:space="0" w:color="auto"/>
            </w:tcBorders>
            <w:shd w:val="clear" w:color="auto" w:fill="DEEAF6"/>
          </w:tcPr>
          <w:p w14:paraId="6CA78F7D" w14:textId="77777777" w:rsidR="00705A2E" w:rsidRPr="00A0362A" w:rsidRDefault="00705A2E" w:rsidP="00263A41">
            <w:pPr>
              <w:suppressAutoHyphens w:val="0"/>
              <w:rPr>
                <w:rFonts w:cs="Calibri"/>
                <w:b/>
                <w:color w:val="auto"/>
                <w:sz w:val="18"/>
                <w:szCs w:val="18"/>
                <w:lang w:val="es-ES"/>
              </w:rPr>
            </w:pPr>
          </w:p>
        </w:tc>
        <w:tc>
          <w:tcPr>
            <w:tcW w:w="1417" w:type="dxa"/>
            <w:tcBorders>
              <w:top w:val="dashSmallGap" w:sz="4" w:space="0" w:color="auto"/>
              <w:bottom w:val="single" w:sz="4" w:space="0" w:color="auto"/>
            </w:tcBorders>
            <w:shd w:val="clear" w:color="auto" w:fill="DEEAF6"/>
          </w:tcPr>
          <w:p w14:paraId="73389D14" w14:textId="77777777" w:rsidR="00705A2E" w:rsidRPr="00A0362A" w:rsidRDefault="00705A2E" w:rsidP="00263A41">
            <w:pPr>
              <w:suppressAutoHyphens w:val="0"/>
              <w:rPr>
                <w:rFonts w:cs="Calibri"/>
                <w:color w:val="auto"/>
                <w:sz w:val="18"/>
                <w:szCs w:val="18"/>
                <w:lang w:val="es-ES"/>
              </w:rPr>
            </w:pPr>
          </w:p>
        </w:tc>
        <w:tc>
          <w:tcPr>
            <w:tcW w:w="3402" w:type="dxa"/>
            <w:tcBorders>
              <w:top w:val="dashSmallGap" w:sz="4" w:space="0" w:color="auto"/>
              <w:bottom w:val="single" w:sz="4" w:space="0" w:color="auto"/>
            </w:tcBorders>
            <w:shd w:val="clear" w:color="auto" w:fill="DEEAF6"/>
          </w:tcPr>
          <w:p w14:paraId="5DEEED0B" w14:textId="77777777" w:rsidR="00705A2E" w:rsidRPr="00A0362A" w:rsidRDefault="00705A2E" w:rsidP="00263A41">
            <w:pPr>
              <w:suppressAutoHyphens w:val="0"/>
              <w:rPr>
                <w:rFonts w:cs="Calibri"/>
                <w:color w:val="auto"/>
                <w:sz w:val="18"/>
                <w:szCs w:val="18"/>
                <w:lang w:val="es-ES"/>
              </w:rPr>
            </w:pPr>
          </w:p>
        </w:tc>
      </w:tr>
      <w:tr w:rsidR="00705A2E" w:rsidRPr="00EE4ED3" w14:paraId="22036316" w14:textId="77777777" w:rsidTr="00263A41">
        <w:trPr>
          <w:cantSplit/>
          <w:trHeight w:val="851"/>
        </w:trPr>
        <w:tc>
          <w:tcPr>
            <w:tcW w:w="1413" w:type="dxa"/>
            <w:tcBorders>
              <w:top w:val="dashSmallGap" w:sz="4" w:space="0" w:color="auto"/>
              <w:bottom w:val="single" w:sz="4" w:space="0" w:color="auto"/>
            </w:tcBorders>
          </w:tcPr>
          <w:p w14:paraId="10A246FC" w14:textId="77777777" w:rsidR="00705A2E" w:rsidRPr="00A0362A" w:rsidRDefault="00705A2E" w:rsidP="00263A41">
            <w:pPr>
              <w:suppressAutoHyphens w:val="0"/>
              <w:rPr>
                <w:rFonts w:cs="Calibri"/>
                <w:b/>
                <w:color w:val="auto"/>
                <w:sz w:val="18"/>
                <w:szCs w:val="18"/>
              </w:rPr>
            </w:pPr>
          </w:p>
        </w:tc>
        <w:tc>
          <w:tcPr>
            <w:tcW w:w="3544" w:type="dxa"/>
            <w:tcBorders>
              <w:top w:val="dashSmallGap" w:sz="4" w:space="0" w:color="auto"/>
              <w:bottom w:val="single" w:sz="4" w:space="0" w:color="auto"/>
            </w:tcBorders>
          </w:tcPr>
          <w:p w14:paraId="3C89E59F"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7.1 Eficacia luminosa</w:t>
            </w:r>
          </w:p>
          <w:p w14:paraId="113AE7D2"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7.2 Variación del flujo luminoso total nominal</w:t>
            </w:r>
          </w:p>
          <w:p w14:paraId="1BDC1BB6"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7.3 Temperatura de color correlacionada (TCC)</w:t>
            </w:r>
          </w:p>
          <w:p w14:paraId="661FE656"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7.4 Flujo luminoso total mantenido</w:t>
            </w:r>
          </w:p>
          <w:p w14:paraId="70D46D8C"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7.5 Índice de rendimiento de color (IRC)</w:t>
            </w:r>
          </w:p>
          <w:p w14:paraId="207B7AD0"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7.6 Factor de potencia</w:t>
            </w:r>
          </w:p>
        </w:tc>
        <w:tc>
          <w:tcPr>
            <w:tcW w:w="1275" w:type="dxa"/>
            <w:tcBorders>
              <w:top w:val="dashSmallGap" w:sz="4" w:space="0" w:color="auto"/>
              <w:bottom w:val="single" w:sz="4" w:space="0" w:color="auto"/>
            </w:tcBorders>
          </w:tcPr>
          <w:p w14:paraId="3C234738"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Apéndice A</w:t>
            </w:r>
          </w:p>
        </w:tc>
        <w:tc>
          <w:tcPr>
            <w:tcW w:w="3119" w:type="dxa"/>
            <w:tcBorders>
              <w:top w:val="dashSmallGap" w:sz="4" w:space="0" w:color="auto"/>
              <w:bottom w:val="single" w:sz="4" w:space="0" w:color="auto"/>
            </w:tcBorders>
          </w:tcPr>
          <w:p w14:paraId="306FF807"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Mediciones eléctricas, fotométricas y radiométricas para lámparas de led integradas</w:t>
            </w:r>
          </w:p>
        </w:tc>
        <w:tc>
          <w:tcPr>
            <w:tcW w:w="1417" w:type="dxa"/>
            <w:tcBorders>
              <w:top w:val="dashSmallGap" w:sz="4" w:space="0" w:color="auto"/>
              <w:bottom w:val="single" w:sz="4" w:space="0" w:color="auto"/>
            </w:tcBorders>
          </w:tcPr>
          <w:p w14:paraId="528ADF5C" w14:textId="77248C3C" w:rsidR="00705A2E" w:rsidRPr="00EE4ED3" w:rsidRDefault="00EE4ED3" w:rsidP="00263A41">
            <w:pPr>
              <w:suppressAutoHyphens w:val="0"/>
              <w:rPr>
                <w:rFonts w:cs="Calibri"/>
                <w:color w:val="auto"/>
                <w:sz w:val="18"/>
                <w:szCs w:val="18"/>
                <w:lang w:val="es-ES"/>
              </w:rPr>
            </w:pPr>
            <w:r>
              <w:rPr>
                <w:rFonts w:cs="Calibri"/>
                <w:color w:val="auto"/>
                <w:sz w:val="18"/>
                <w:szCs w:val="18"/>
                <w:lang w:val="es-ES"/>
              </w:rPr>
              <w:t>EN ISO 62612</w:t>
            </w:r>
          </w:p>
        </w:tc>
        <w:tc>
          <w:tcPr>
            <w:tcW w:w="3402" w:type="dxa"/>
            <w:tcBorders>
              <w:top w:val="dashSmallGap" w:sz="4" w:space="0" w:color="auto"/>
              <w:bottom w:val="single" w:sz="4" w:space="0" w:color="auto"/>
            </w:tcBorders>
          </w:tcPr>
          <w:p w14:paraId="0DF19B63" w14:textId="77777777" w:rsidR="00705A2E" w:rsidRDefault="00A76C5A" w:rsidP="00EE4ED3">
            <w:pPr>
              <w:suppressAutoHyphens w:val="0"/>
              <w:rPr>
                <w:rFonts w:cs="Calibri"/>
                <w:color w:val="auto"/>
                <w:sz w:val="18"/>
                <w:szCs w:val="18"/>
              </w:rPr>
            </w:pPr>
            <w:r w:rsidRPr="00A76C5A">
              <w:rPr>
                <w:rFonts w:cs="Calibri"/>
                <w:color w:val="auto"/>
                <w:sz w:val="18"/>
                <w:szCs w:val="18"/>
              </w:rPr>
              <w:t>Self-ballasted LED lamps for general lighting services with supply voltages &gt; 50 V - Performance requirements</w:t>
            </w:r>
          </w:p>
          <w:p w14:paraId="34A7BCD1" w14:textId="7337AE35" w:rsidR="00A76C5A" w:rsidRPr="00EE4ED3" w:rsidRDefault="00A76C5A" w:rsidP="00A76C5A">
            <w:pPr>
              <w:suppressAutoHyphens w:val="0"/>
              <w:rPr>
                <w:rFonts w:cs="Calibri"/>
                <w:color w:val="auto"/>
                <w:sz w:val="18"/>
                <w:szCs w:val="18"/>
              </w:rPr>
            </w:pPr>
            <w:r>
              <w:rPr>
                <w:rFonts w:cs="Calibri"/>
                <w:color w:val="auto"/>
                <w:sz w:val="18"/>
                <w:szCs w:val="18"/>
              </w:rPr>
              <w:t>(NEQ)</w:t>
            </w:r>
          </w:p>
        </w:tc>
      </w:tr>
      <w:tr w:rsidR="00705A2E" w:rsidRPr="002931CD" w14:paraId="15E8E53B" w14:textId="77777777" w:rsidTr="00263A41">
        <w:trPr>
          <w:cantSplit/>
          <w:trHeight w:val="851"/>
        </w:trPr>
        <w:tc>
          <w:tcPr>
            <w:tcW w:w="1413" w:type="dxa"/>
            <w:tcBorders>
              <w:top w:val="dashSmallGap" w:sz="4" w:space="0" w:color="auto"/>
              <w:bottom w:val="single" w:sz="4" w:space="0" w:color="auto"/>
            </w:tcBorders>
          </w:tcPr>
          <w:p w14:paraId="76FD0F91" w14:textId="77777777" w:rsidR="00705A2E" w:rsidRPr="00EE4ED3" w:rsidRDefault="00705A2E" w:rsidP="00263A41">
            <w:pPr>
              <w:suppressAutoHyphens w:val="0"/>
              <w:rPr>
                <w:rFonts w:cs="Calibri"/>
                <w:b/>
                <w:color w:val="auto"/>
                <w:sz w:val="18"/>
                <w:szCs w:val="18"/>
              </w:rPr>
            </w:pPr>
          </w:p>
        </w:tc>
        <w:tc>
          <w:tcPr>
            <w:tcW w:w="3544" w:type="dxa"/>
            <w:tcBorders>
              <w:top w:val="dashSmallGap" w:sz="4" w:space="0" w:color="auto"/>
              <w:bottom w:val="single" w:sz="4" w:space="0" w:color="auto"/>
            </w:tcBorders>
          </w:tcPr>
          <w:p w14:paraId="654B1FF1"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7.4 Flujo luminoso total mantenido</w:t>
            </w:r>
          </w:p>
        </w:tc>
        <w:tc>
          <w:tcPr>
            <w:tcW w:w="1275" w:type="dxa"/>
            <w:tcBorders>
              <w:top w:val="dashSmallGap" w:sz="4" w:space="0" w:color="auto"/>
              <w:bottom w:val="single" w:sz="4" w:space="0" w:color="auto"/>
            </w:tcBorders>
          </w:tcPr>
          <w:p w14:paraId="0E153A8B"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Apéndice B</w:t>
            </w:r>
          </w:p>
        </w:tc>
        <w:tc>
          <w:tcPr>
            <w:tcW w:w="3119" w:type="dxa"/>
            <w:tcBorders>
              <w:top w:val="dashSmallGap" w:sz="4" w:space="0" w:color="auto"/>
              <w:bottom w:val="single" w:sz="4" w:space="0" w:color="auto"/>
            </w:tcBorders>
          </w:tcPr>
          <w:p w14:paraId="5F739FBD"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Medición del flujo luminoso total mínimo mantenido para las lámparas de led integradas.</w:t>
            </w:r>
          </w:p>
        </w:tc>
        <w:tc>
          <w:tcPr>
            <w:tcW w:w="1417" w:type="dxa"/>
            <w:tcBorders>
              <w:top w:val="dashSmallGap" w:sz="4" w:space="0" w:color="auto"/>
              <w:bottom w:val="single" w:sz="4" w:space="0" w:color="auto"/>
            </w:tcBorders>
          </w:tcPr>
          <w:p w14:paraId="71C40D2B" w14:textId="0494ABEA" w:rsidR="00705A2E" w:rsidRPr="00EE4ED3" w:rsidRDefault="00A76C5A" w:rsidP="00263A41">
            <w:pPr>
              <w:suppressAutoHyphens w:val="0"/>
              <w:rPr>
                <w:rFonts w:cs="Calibri"/>
                <w:color w:val="auto"/>
                <w:sz w:val="18"/>
                <w:szCs w:val="18"/>
                <w:lang w:val="es-ES"/>
              </w:rPr>
            </w:pPr>
            <w:r w:rsidRPr="00A76C5A">
              <w:rPr>
                <w:rFonts w:cs="Calibri"/>
                <w:color w:val="auto"/>
                <w:sz w:val="18"/>
                <w:szCs w:val="18"/>
                <w:lang w:val="es-ES"/>
              </w:rPr>
              <w:t>EN ISO 62612</w:t>
            </w:r>
          </w:p>
        </w:tc>
        <w:tc>
          <w:tcPr>
            <w:tcW w:w="3402" w:type="dxa"/>
            <w:tcBorders>
              <w:top w:val="dashSmallGap" w:sz="4" w:space="0" w:color="auto"/>
              <w:bottom w:val="single" w:sz="4" w:space="0" w:color="auto"/>
            </w:tcBorders>
          </w:tcPr>
          <w:p w14:paraId="093A1FF6" w14:textId="2D6372CA" w:rsidR="00705A2E" w:rsidRPr="00A0362A" w:rsidRDefault="00A76C5A" w:rsidP="00263A41">
            <w:pPr>
              <w:suppressAutoHyphens w:val="0"/>
              <w:rPr>
                <w:rFonts w:cs="Calibri"/>
                <w:color w:val="auto"/>
                <w:sz w:val="18"/>
                <w:szCs w:val="18"/>
                <w:lang w:val="es-ES"/>
              </w:rPr>
            </w:pPr>
            <w:r>
              <w:rPr>
                <w:rFonts w:cs="Calibri"/>
                <w:color w:val="auto"/>
                <w:sz w:val="18"/>
                <w:szCs w:val="18"/>
                <w:lang w:val="es-ES"/>
              </w:rPr>
              <w:t>NEQ</w:t>
            </w:r>
          </w:p>
        </w:tc>
      </w:tr>
      <w:tr w:rsidR="00705A2E" w:rsidRPr="002931CD" w14:paraId="099DEC4A" w14:textId="77777777" w:rsidTr="00263A41">
        <w:trPr>
          <w:cantSplit/>
          <w:trHeight w:val="851"/>
        </w:trPr>
        <w:tc>
          <w:tcPr>
            <w:tcW w:w="1413" w:type="dxa"/>
            <w:tcBorders>
              <w:top w:val="dashSmallGap" w:sz="4" w:space="0" w:color="auto"/>
              <w:bottom w:val="single" w:sz="4" w:space="0" w:color="auto"/>
            </w:tcBorders>
          </w:tcPr>
          <w:p w14:paraId="22AEB924" w14:textId="77777777" w:rsidR="00705A2E" w:rsidRPr="00A0362A" w:rsidRDefault="00705A2E" w:rsidP="00263A41">
            <w:pPr>
              <w:suppressAutoHyphens w:val="0"/>
              <w:rPr>
                <w:rFonts w:cs="Calibri"/>
                <w:b/>
                <w:color w:val="auto"/>
                <w:sz w:val="18"/>
                <w:szCs w:val="18"/>
                <w:lang w:val="es-ES"/>
              </w:rPr>
            </w:pPr>
          </w:p>
        </w:tc>
        <w:tc>
          <w:tcPr>
            <w:tcW w:w="3544" w:type="dxa"/>
            <w:tcBorders>
              <w:top w:val="dashSmallGap" w:sz="4" w:space="0" w:color="auto"/>
              <w:bottom w:val="single" w:sz="4" w:space="0" w:color="auto"/>
            </w:tcBorders>
          </w:tcPr>
          <w:p w14:paraId="2401501A"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7.7 Distribución espacial de luz</w:t>
            </w:r>
          </w:p>
        </w:tc>
        <w:tc>
          <w:tcPr>
            <w:tcW w:w="1275" w:type="dxa"/>
            <w:tcBorders>
              <w:top w:val="dashSmallGap" w:sz="4" w:space="0" w:color="auto"/>
              <w:bottom w:val="single" w:sz="4" w:space="0" w:color="auto"/>
            </w:tcBorders>
          </w:tcPr>
          <w:p w14:paraId="616ACDDC"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Apéndice F</w:t>
            </w:r>
          </w:p>
        </w:tc>
        <w:tc>
          <w:tcPr>
            <w:tcW w:w="3119" w:type="dxa"/>
            <w:tcBorders>
              <w:top w:val="dashSmallGap" w:sz="4" w:space="0" w:color="auto"/>
              <w:bottom w:val="single" w:sz="4" w:space="0" w:color="auto"/>
            </w:tcBorders>
          </w:tcPr>
          <w:p w14:paraId="596857A6"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Método para determinar la distribución espacial de luz.</w:t>
            </w:r>
          </w:p>
        </w:tc>
        <w:tc>
          <w:tcPr>
            <w:tcW w:w="1417" w:type="dxa"/>
            <w:tcBorders>
              <w:top w:val="dashSmallGap" w:sz="4" w:space="0" w:color="auto"/>
              <w:bottom w:val="single" w:sz="4" w:space="0" w:color="auto"/>
            </w:tcBorders>
          </w:tcPr>
          <w:p w14:paraId="12F75645" w14:textId="6B5AFF35" w:rsidR="00705A2E" w:rsidRPr="00EE4ED3" w:rsidRDefault="00A76C5A" w:rsidP="00263A41">
            <w:pPr>
              <w:suppressAutoHyphens w:val="0"/>
              <w:rPr>
                <w:rFonts w:cs="Calibri"/>
                <w:color w:val="auto"/>
                <w:sz w:val="18"/>
                <w:szCs w:val="18"/>
                <w:lang w:val="es-ES"/>
              </w:rPr>
            </w:pPr>
            <w:r w:rsidRPr="00A76C5A">
              <w:rPr>
                <w:rFonts w:cs="Calibri"/>
                <w:color w:val="auto"/>
                <w:sz w:val="18"/>
                <w:szCs w:val="18"/>
                <w:lang w:val="es-ES"/>
              </w:rPr>
              <w:t>EN ISO 62612</w:t>
            </w:r>
          </w:p>
        </w:tc>
        <w:tc>
          <w:tcPr>
            <w:tcW w:w="3402" w:type="dxa"/>
            <w:tcBorders>
              <w:top w:val="dashSmallGap" w:sz="4" w:space="0" w:color="auto"/>
              <w:bottom w:val="single" w:sz="4" w:space="0" w:color="auto"/>
            </w:tcBorders>
          </w:tcPr>
          <w:p w14:paraId="35B55C2D" w14:textId="4060BA10" w:rsidR="00705A2E" w:rsidRPr="00A0362A" w:rsidRDefault="00A76C5A" w:rsidP="00263A41">
            <w:pPr>
              <w:suppressAutoHyphens w:val="0"/>
              <w:rPr>
                <w:rFonts w:cs="Calibri"/>
                <w:color w:val="auto"/>
                <w:sz w:val="18"/>
                <w:szCs w:val="18"/>
                <w:lang w:val="es-ES"/>
              </w:rPr>
            </w:pPr>
            <w:r>
              <w:rPr>
                <w:rFonts w:cs="Calibri"/>
                <w:color w:val="auto"/>
                <w:sz w:val="18"/>
                <w:szCs w:val="18"/>
                <w:lang w:val="es-ES"/>
              </w:rPr>
              <w:t>NEQ</w:t>
            </w:r>
          </w:p>
        </w:tc>
      </w:tr>
      <w:tr w:rsidR="00705A2E" w:rsidRPr="002931CD" w14:paraId="36E18D1B" w14:textId="77777777" w:rsidTr="00263A41">
        <w:trPr>
          <w:cantSplit/>
          <w:trHeight w:val="851"/>
        </w:trPr>
        <w:tc>
          <w:tcPr>
            <w:tcW w:w="1413" w:type="dxa"/>
            <w:tcBorders>
              <w:top w:val="dashSmallGap" w:sz="4" w:space="0" w:color="auto"/>
              <w:bottom w:val="single" w:sz="4" w:space="0" w:color="auto"/>
            </w:tcBorders>
          </w:tcPr>
          <w:p w14:paraId="0A7E805E" w14:textId="77777777" w:rsidR="00705A2E" w:rsidRPr="00A0362A" w:rsidRDefault="00705A2E" w:rsidP="00263A41">
            <w:pPr>
              <w:suppressAutoHyphens w:val="0"/>
              <w:rPr>
                <w:rFonts w:cs="Calibri"/>
                <w:b/>
                <w:color w:val="auto"/>
                <w:sz w:val="18"/>
                <w:szCs w:val="18"/>
                <w:lang w:val="es-ES"/>
              </w:rPr>
            </w:pPr>
          </w:p>
        </w:tc>
        <w:tc>
          <w:tcPr>
            <w:tcW w:w="3544" w:type="dxa"/>
            <w:tcBorders>
              <w:top w:val="dashSmallGap" w:sz="4" w:space="0" w:color="auto"/>
              <w:bottom w:val="single" w:sz="4" w:space="0" w:color="auto"/>
            </w:tcBorders>
          </w:tcPr>
          <w:p w14:paraId="320F5371"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7.8 Ciclo de choque térmico</w:t>
            </w:r>
          </w:p>
          <w:p w14:paraId="1100DFDC"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7.9 Ciclo de conmutación</w:t>
            </w:r>
          </w:p>
        </w:tc>
        <w:tc>
          <w:tcPr>
            <w:tcW w:w="1275" w:type="dxa"/>
            <w:tcBorders>
              <w:top w:val="dashSmallGap" w:sz="4" w:space="0" w:color="auto"/>
              <w:bottom w:val="single" w:sz="4" w:space="0" w:color="auto"/>
            </w:tcBorders>
          </w:tcPr>
          <w:p w14:paraId="6998AB2C"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Apéndice C</w:t>
            </w:r>
          </w:p>
        </w:tc>
        <w:tc>
          <w:tcPr>
            <w:tcW w:w="3119" w:type="dxa"/>
            <w:tcBorders>
              <w:top w:val="dashSmallGap" w:sz="4" w:space="0" w:color="auto"/>
              <w:bottom w:val="single" w:sz="4" w:space="0" w:color="auto"/>
            </w:tcBorders>
          </w:tcPr>
          <w:p w14:paraId="20EBB64A"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Prueba de resistencia al choque térmico y a la conmutación.</w:t>
            </w:r>
          </w:p>
        </w:tc>
        <w:tc>
          <w:tcPr>
            <w:tcW w:w="1417" w:type="dxa"/>
            <w:tcBorders>
              <w:top w:val="dashSmallGap" w:sz="4" w:space="0" w:color="auto"/>
              <w:bottom w:val="single" w:sz="4" w:space="0" w:color="auto"/>
            </w:tcBorders>
          </w:tcPr>
          <w:p w14:paraId="0DBCFFAA" w14:textId="6D9670DC" w:rsidR="00705A2E" w:rsidRPr="00EE4ED3" w:rsidRDefault="00A76C5A" w:rsidP="00263A41">
            <w:pPr>
              <w:suppressAutoHyphens w:val="0"/>
              <w:rPr>
                <w:rFonts w:cs="Calibri"/>
                <w:color w:val="auto"/>
                <w:sz w:val="18"/>
                <w:szCs w:val="18"/>
                <w:lang w:val="es-ES"/>
              </w:rPr>
            </w:pPr>
            <w:r w:rsidRPr="00A76C5A">
              <w:rPr>
                <w:rFonts w:cs="Calibri"/>
                <w:color w:val="auto"/>
                <w:sz w:val="18"/>
                <w:szCs w:val="18"/>
                <w:lang w:val="es-ES"/>
              </w:rPr>
              <w:t>EN ISO 62612</w:t>
            </w:r>
          </w:p>
        </w:tc>
        <w:tc>
          <w:tcPr>
            <w:tcW w:w="3402" w:type="dxa"/>
            <w:tcBorders>
              <w:top w:val="dashSmallGap" w:sz="4" w:space="0" w:color="auto"/>
              <w:bottom w:val="single" w:sz="4" w:space="0" w:color="auto"/>
            </w:tcBorders>
          </w:tcPr>
          <w:p w14:paraId="26A8DAE0" w14:textId="6D0D588F" w:rsidR="00705A2E" w:rsidRPr="00A0362A" w:rsidRDefault="00A76C5A" w:rsidP="00263A41">
            <w:pPr>
              <w:suppressAutoHyphens w:val="0"/>
              <w:rPr>
                <w:rFonts w:cs="Calibri"/>
                <w:color w:val="auto"/>
                <w:sz w:val="18"/>
                <w:szCs w:val="18"/>
                <w:lang w:val="es-ES"/>
              </w:rPr>
            </w:pPr>
            <w:r>
              <w:rPr>
                <w:rFonts w:cs="Calibri"/>
                <w:color w:val="auto"/>
                <w:sz w:val="18"/>
                <w:szCs w:val="18"/>
                <w:lang w:val="es-ES"/>
              </w:rPr>
              <w:t>NEQ</w:t>
            </w:r>
          </w:p>
        </w:tc>
      </w:tr>
      <w:tr w:rsidR="00705A2E" w:rsidRPr="002931CD" w14:paraId="5A4BD173" w14:textId="77777777" w:rsidTr="00263A41">
        <w:trPr>
          <w:cantSplit/>
          <w:trHeight w:val="851"/>
        </w:trPr>
        <w:tc>
          <w:tcPr>
            <w:tcW w:w="1413" w:type="dxa"/>
            <w:tcBorders>
              <w:top w:val="dashSmallGap" w:sz="4" w:space="0" w:color="auto"/>
              <w:bottom w:val="single" w:sz="4" w:space="0" w:color="auto"/>
            </w:tcBorders>
          </w:tcPr>
          <w:p w14:paraId="05EF1476" w14:textId="77777777" w:rsidR="00705A2E" w:rsidRPr="00A0362A" w:rsidRDefault="00705A2E" w:rsidP="00263A41">
            <w:pPr>
              <w:suppressAutoHyphens w:val="0"/>
              <w:rPr>
                <w:rFonts w:cs="Calibri"/>
                <w:b/>
                <w:color w:val="auto"/>
                <w:sz w:val="18"/>
                <w:szCs w:val="18"/>
                <w:lang w:val="es-ES"/>
              </w:rPr>
            </w:pPr>
          </w:p>
        </w:tc>
        <w:tc>
          <w:tcPr>
            <w:tcW w:w="3544" w:type="dxa"/>
            <w:tcBorders>
              <w:top w:val="dashSmallGap" w:sz="4" w:space="0" w:color="auto"/>
              <w:bottom w:val="single" w:sz="4" w:space="0" w:color="auto"/>
            </w:tcBorders>
          </w:tcPr>
          <w:p w14:paraId="3FF0A991"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7.10 Sobretensiones transitorias</w:t>
            </w:r>
          </w:p>
        </w:tc>
        <w:tc>
          <w:tcPr>
            <w:tcW w:w="1275" w:type="dxa"/>
            <w:tcBorders>
              <w:top w:val="dashSmallGap" w:sz="4" w:space="0" w:color="auto"/>
              <w:bottom w:val="single" w:sz="4" w:space="0" w:color="auto"/>
            </w:tcBorders>
          </w:tcPr>
          <w:p w14:paraId="0EA5EA15"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Apéndice D</w:t>
            </w:r>
          </w:p>
        </w:tc>
        <w:tc>
          <w:tcPr>
            <w:tcW w:w="3119" w:type="dxa"/>
            <w:tcBorders>
              <w:top w:val="dashSmallGap" w:sz="4" w:space="0" w:color="auto"/>
              <w:bottom w:val="single" w:sz="4" w:space="0" w:color="auto"/>
            </w:tcBorders>
          </w:tcPr>
          <w:p w14:paraId="0E11E945"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Prueba de resistencia a las sobretensiones transitorias.</w:t>
            </w:r>
          </w:p>
        </w:tc>
        <w:tc>
          <w:tcPr>
            <w:tcW w:w="1417" w:type="dxa"/>
            <w:tcBorders>
              <w:top w:val="dashSmallGap" w:sz="4" w:space="0" w:color="auto"/>
              <w:bottom w:val="single" w:sz="4" w:space="0" w:color="auto"/>
            </w:tcBorders>
          </w:tcPr>
          <w:p w14:paraId="602EB409" w14:textId="1CA6FD98" w:rsidR="00705A2E" w:rsidRPr="00EE4ED3" w:rsidRDefault="00A76C5A" w:rsidP="00263A41">
            <w:pPr>
              <w:suppressAutoHyphens w:val="0"/>
              <w:rPr>
                <w:rFonts w:cs="Calibri"/>
                <w:color w:val="auto"/>
                <w:sz w:val="18"/>
                <w:szCs w:val="18"/>
                <w:lang w:val="es-ES"/>
              </w:rPr>
            </w:pPr>
            <w:r w:rsidRPr="00A76C5A">
              <w:rPr>
                <w:rFonts w:cs="Calibri"/>
                <w:color w:val="auto"/>
                <w:sz w:val="18"/>
                <w:szCs w:val="18"/>
                <w:lang w:val="es-ES"/>
              </w:rPr>
              <w:t>EN ISO 62612</w:t>
            </w:r>
          </w:p>
        </w:tc>
        <w:tc>
          <w:tcPr>
            <w:tcW w:w="3402" w:type="dxa"/>
            <w:tcBorders>
              <w:top w:val="dashSmallGap" w:sz="4" w:space="0" w:color="auto"/>
              <w:bottom w:val="single" w:sz="4" w:space="0" w:color="auto"/>
            </w:tcBorders>
          </w:tcPr>
          <w:p w14:paraId="7ABDB168" w14:textId="03181AB3" w:rsidR="00705A2E" w:rsidRPr="00A0362A" w:rsidRDefault="00A76C5A" w:rsidP="00263A41">
            <w:pPr>
              <w:suppressAutoHyphens w:val="0"/>
              <w:rPr>
                <w:rFonts w:cs="Calibri"/>
                <w:color w:val="auto"/>
                <w:sz w:val="18"/>
                <w:szCs w:val="18"/>
                <w:lang w:val="es-ES"/>
              </w:rPr>
            </w:pPr>
            <w:r>
              <w:rPr>
                <w:rFonts w:cs="Calibri"/>
                <w:color w:val="auto"/>
                <w:sz w:val="18"/>
                <w:szCs w:val="18"/>
                <w:lang w:val="es-ES"/>
              </w:rPr>
              <w:t>NEQ</w:t>
            </w:r>
          </w:p>
        </w:tc>
      </w:tr>
      <w:tr w:rsidR="00705A2E" w:rsidRPr="002931CD" w14:paraId="65F64039" w14:textId="77777777" w:rsidTr="00263A41">
        <w:trPr>
          <w:cantSplit/>
          <w:trHeight w:val="851"/>
        </w:trPr>
        <w:tc>
          <w:tcPr>
            <w:tcW w:w="1413" w:type="dxa"/>
            <w:tcBorders>
              <w:top w:val="dashSmallGap" w:sz="4" w:space="0" w:color="auto"/>
              <w:bottom w:val="single" w:sz="4" w:space="0" w:color="auto"/>
            </w:tcBorders>
          </w:tcPr>
          <w:p w14:paraId="29AF0D8F" w14:textId="77777777" w:rsidR="00705A2E" w:rsidRPr="00A0362A" w:rsidRDefault="00705A2E" w:rsidP="00263A41">
            <w:pPr>
              <w:suppressAutoHyphens w:val="0"/>
              <w:rPr>
                <w:rFonts w:cs="Calibri"/>
                <w:b/>
                <w:color w:val="auto"/>
                <w:sz w:val="18"/>
                <w:szCs w:val="18"/>
                <w:lang w:val="es-ES"/>
              </w:rPr>
            </w:pPr>
          </w:p>
        </w:tc>
        <w:tc>
          <w:tcPr>
            <w:tcW w:w="3544" w:type="dxa"/>
            <w:tcBorders>
              <w:top w:val="dashSmallGap" w:sz="4" w:space="0" w:color="auto"/>
              <w:bottom w:val="single" w:sz="4" w:space="0" w:color="auto"/>
            </w:tcBorders>
          </w:tcPr>
          <w:p w14:paraId="3BA7E630"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7.11 Distorsión armónica total</w:t>
            </w:r>
          </w:p>
        </w:tc>
        <w:tc>
          <w:tcPr>
            <w:tcW w:w="1275" w:type="dxa"/>
            <w:tcBorders>
              <w:top w:val="dashSmallGap" w:sz="4" w:space="0" w:color="auto"/>
              <w:bottom w:val="single" w:sz="4" w:space="0" w:color="auto"/>
            </w:tcBorders>
          </w:tcPr>
          <w:p w14:paraId="3336A4F7"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Apéndice E</w:t>
            </w:r>
          </w:p>
        </w:tc>
        <w:tc>
          <w:tcPr>
            <w:tcW w:w="3119" w:type="dxa"/>
            <w:tcBorders>
              <w:top w:val="dashSmallGap" w:sz="4" w:space="0" w:color="auto"/>
              <w:bottom w:val="single" w:sz="4" w:space="0" w:color="auto"/>
            </w:tcBorders>
          </w:tcPr>
          <w:p w14:paraId="5263764A"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Medición de la distorsión armónica total.</w:t>
            </w:r>
          </w:p>
        </w:tc>
        <w:tc>
          <w:tcPr>
            <w:tcW w:w="1417" w:type="dxa"/>
            <w:tcBorders>
              <w:top w:val="dashSmallGap" w:sz="4" w:space="0" w:color="auto"/>
              <w:bottom w:val="single" w:sz="4" w:space="0" w:color="auto"/>
            </w:tcBorders>
          </w:tcPr>
          <w:p w14:paraId="4CBDD790" w14:textId="224F60C6" w:rsidR="00705A2E" w:rsidRPr="00EE4ED3" w:rsidRDefault="00A76C5A" w:rsidP="00263A41">
            <w:pPr>
              <w:suppressAutoHyphens w:val="0"/>
              <w:rPr>
                <w:rFonts w:cs="Calibri"/>
                <w:color w:val="auto"/>
                <w:sz w:val="18"/>
                <w:szCs w:val="18"/>
                <w:lang w:val="es-ES"/>
              </w:rPr>
            </w:pPr>
            <w:r w:rsidRPr="00A76C5A">
              <w:rPr>
                <w:rFonts w:cs="Calibri"/>
                <w:color w:val="auto"/>
                <w:sz w:val="18"/>
                <w:szCs w:val="18"/>
                <w:lang w:val="es-ES"/>
              </w:rPr>
              <w:t>EN ISO 62612</w:t>
            </w:r>
          </w:p>
        </w:tc>
        <w:tc>
          <w:tcPr>
            <w:tcW w:w="3402" w:type="dxa"/>
            <w:tcBorders>
              <w:top w:val="dashSmallGap" w:sz="4" w:space="0" w:color="auto"/>
              <w:bottom w:val="single" w:sz="4" w:space="0" w:color="auto"/>
            </w:tcBorders>
          </w:tcPr>
          <w:p w14:paraId="2A03919F" w14:textId="6BAD04C7" w:rsidR="00705A2E" w:rsidRPr="00A0362A" w:rsidRDefault="00A76C5A" w:rsidP="00263A41">
            <w:pPr>
              <w:suppressAutoHyphens w:val="0"/>
              <w:rPr>
                <w:rFonts w:cs="Calibri"/>
                <w:color w:val="auto"/>
                <w:sz w:val="18"/>
                <w:szCs w:val="18"/>
                <w:lang w:val="es-ES"/>
              </w:rPr>
            </w:pPr>
            <w:r>
              <w:rPr>
                <w:rFonts w:cs="Calibri"/>
                <w:color w:val="auto"/>
                <w:sz w:val="18"/>
                <w:szCs w:val="18"/>
                <w:lang w:val="es-ES"/>
              </w:rPr>
              <w:t>NEQ</w:t>
            </w:r>
          </w:p>
        </w:tc>
      </w:tr>
      <w:tr w:rsidR="00705A2E" w:rsidRPr="002931CD" w14:paraId="7E931CD8" w14:textId="77777777" w:rsidTr="00263A41">
        <w:trPr>
          <w:cantSplit/>
          <w:trHeight w:val="851"/>
        </w:trPr>
        <w:tc>
          <w:tcPr>
            <w:tcW w:w="1413" w:type="dxa"/>
            <w:tcBorders>
              <w:top w:val="dashSmallGap" w:sz="4" w:space="0" w:color="auto"/>
              <w:bottom w:val="single" w:sz="4" w:space="0" w:color="auto"/>
            </w:tcBorders>
          </w:tcPr>
          <w:p w14:paraId="330AC524" w14:textId="77777777" w:rsidR="00705A2E" w:rsidRPr="00A0362A" w:rsidRDefault="00705A2E" w:rsidP="00263A41">
            <w:pPr>
              <w:suppressAutoHyphens w:val="0"/>
              <w:rPr>
                <w:rFonts w:cs="Calibri"/>
                <w:b/>
                <w:color w:val="auto"/>
                <w:sz w:val="18"/>
                <w:szCs w:val="18"/>
                <w:lang w:val="es-ES"/>
              </w:rPr>
            </w:pPr>
          </w:p>
        </w:tc>
        <w:tc>
          <w:tcPr>
            <w:tcW w:w="3544" w:type="dxa"/>
            <w:tcBorders>
              <w:top w:val="dashSmallGap" w:sz="4" w:space="0" w:color="auto"/>
              <w:bottom w:val="single" w:sz="4" w:space="0" w:color="auto"/>
            </w:tcBorders>
          </w:tcPr>
          <w:p w14:paraId="3F39C846"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General</w:t>
            </w:r>
          </w:p>
        </w:tc>
        <w:tc>
          <w:tcPr>
            <w:tcW w:w="1275" w:type="dxa"/>
            <w:tcBorders>
              <w:top w:val="dashSmallGap" w:sz="4" w:space="0" w:color="auto"/>
              <w:bottom w:val="single" w:sz="4" w:space="0" w:color="auto"/>
            </w:tcBorders>
          </w:tcPr>
          <w:p w14:paraId="26C5093C"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Apéndice G</w:t>
            </w:r>
          </w:p>
        </w:tc>
        <w:tc>
          <w:tcPr>
            <w:tcW w:w="3119" w:type="dxa"/>
            <w:tcBorders>
              <w:top w:val="dashSmallGap" w:sz="4" w:space="0" w:color="auto"/>
              <w:bottom w:val="single" w:sz="4" w:space="0" w:color="auto"/>
            </w:tcBorders>
          </w:tcPr>
          <w:p w14:paraId="70001A89"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Método de proyección de flujo luminoso para las lámparas de led con vida útil nominal menor o igual a 30 000 h.</w:t>
            </w:r>
          </w:p>
        </w:tc>
        <w:tc>
          <w:tcPr>
            <w:tcW w:w="1417" w:type="dxa"/>
            <w:tcBorders>
              <w:top w:val="dashSmallGap" w:sz="4" w:space="0" w:color="auto"/>
              <w:bottom w:val="single" w:sz="4" w:space="0" w:color="auto"/>
            </w:tcBorders>
          </w:tcPr>
          <w:p w14:paraId="4F06EE82" w14:textId="594EFAF7" w:rsidR="00705A2E" w:rsidRPr="00EE4ED3" w:rsidRDefault="00A76C5A" w:rsidP="00263A41">
            <w:pPr>
              <w:suppressAutoHyphens w:val="0"/>
              <w:rPr>
                <w:rFonts w:cs="Calibri"/>
                <w:color w:val="auto"/>
                <w:sz w:val="18"/>
                <w:szCs w:val="18"/>
                <w:lang w:val="es-ES"/>
              </w:rPr>
            </w:pPr>
            <w:r w:rsidRPr="00A76C5A">
              <w:rPr>
                <w:rFonts w:cs="Calibri"/>
                <w:color w:val="auto"/>
                <w:sz w:val="18"/>
                <w:szCs w:val="18"/>
                <w:lang w:val="es-ES"/>
              </w:rPr>
              <w:t>EN ISO 62612</w:t>
            </w:r>
          </w:p>
        </w:tc>
        <w:tc>
          <w:tcPr>
            <w:tcW w:w="3402" w:type="dxa"/>
            <w:tcBorders>
              <w:top w:val="dashSmallGap" w:sz="4" w:space="0" w:color="auto"/>
              <w:bottom w:val="single" w:sz="4" w:space="0" w:color="auto"/>
            </w:tcBorders>
          </w:tcPr>
          <w:p w14:paraId="57F8CB10" w14:textId="06034814" w:rsidR="00705A2E" w:rsidRPr="00A0362A" w:rsidRDefault="00A76C5A" w:rsidP="00263A41">
            <w:pPr>
              <w:suppressAutoHyphens w:val="0"/>
              <w:rPr>
                <w:rFonts w:cs="Calibri"/>
                <w:color w:val="auto"/>
                <w:sz w:val="18"/>
                <w:szCs w:val="18"/>
                <w:lang w:val="es-ES"/>
              </w:rPr>
            </w:pPr>
            <w:r>
              <w:rPr>
                <w:rFonts w:cs="Calibri"/>
                <w:color w:val="auto"/>
                <w:sz w:val="18"/>
                <w:szCs w:val="18"/>
                <w:lang w:val="es-ES"/>
              </w:rPr>
              <w:t>NEQ</w:t>
            </w:r>
          </w:p>
        </w:tc>
      </w:tr>
      <w:tr w:rsidR="00705A2E" w:rsidRPr="002931CD" w14:paraId="23C8EC65" w14:textId="77777777" w:rsidTr="00263A41">
        <w:trPr>
          <w:cantSplit/>
          <w:trHeight w:val="851"/>
        </w:trPr>
        <w:tc>
          <w:tcPr>
            <w:tcW w:w="1413" w:type="dxa"/>
            <w:tcBorders>
              <w:top w:val="dashSmallGap" w:sz="4" w:space="0" w:color="auto"/>
              <w:bottom w:val="single" w:sz="4" w:space="0" w:color="auto"/>
            </w:tcBorders>
          </w:tcPr>
          <w:p w14:paraId="6CC68A38" w14:textId="77777777" w:rsidR="00705A2E" w:rsidRPr="00A0362A" w:rsidRDefault="00705A2E" w:rsidP="00263A41">
            <w:pPr>
              <w:suppressAutoHyphens w:val="0"/>
              <w:rPr>
                <w:rFonts w:cs="Calibri"/>
                <w:b/>
                <w:color w:val="auto"/>
                <w:sz w:val="18"/>
                <w:szCs w:val="18"/>
                <w:lang w:val="es-ES"/>
              </w:rPr>
            </w:pPr>
          </w:p>
        </w:tc>
        <w:tc>
          <w:tcPr>
            <w:tcW w:w="3544" w:type="dxa"/>
            <w:tcBorders>
              <w:top w:val="dashSmallGap" w:sz="4" w:space="0" w:color="auto"/>
              <w:bottom w:val="single" w:sz="4" w:space="0" w:color="auto"/>
            </w:tcBorders>
          </w:tcPr>
          <w:p w14:paraId="17B17B03" w14:textId="77777777" w:rsidR="00705A2E" w:rsidRPr="00EE4ED3" w:rsidRDefault="00705A2E" w:rsidP="00263A41">
            <w:pPr>
              <w:suppressAutoHyphens w:val="0"/>
              <w:rPr>
                <w:rFonts w:cs="Calibri"/>
                <w:color w:val="auto"/>
                <w:sz w:val="18"/>
                <w:szCs w:val="18"/>
                <w:lang w:val="es-ES"/>
              </w:rPr>
            </w:pPr>
          </w:p>
        </w:tc>
        <w:tc>
          <w:tcPr>
            <w:tcW w:w="1275" w:type="dxa"/>
            <w:tcBorders>
              <w:top w:val="dashSmallGap" w:sz="4" w:space="0" w:color="auto"/>
              <w:bottom w:val="single" w:sz="4" w:space="0" w:color="auto"/>
            </w:tcBorders>
          </w:tcPr>
          <w:p w14:paraId="0EC8CE87"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Apéndice H</w:t>
            </w:r>
          </w:p>
        </w:tc>
        <w:tc>
          <w:tcPr>
            <w:tcW w:w="3119" w:type="dxa"/>
            <w:tcBorders>
              <w:top w:val="dashSmallGap" w:sz="4" w:space="0" w:color="auto"/>
              <w:bottom w:val="single" w:sz="4" w:space="0" w:color="auto"/>
            </w:tcBorders>
          </w:tcPr>
          <w:p w14:paraId="48A7B981"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Equivalencia entre Potencia [W] y Flujo Luminoso [lm]</w:t>
            </w:r>
          </w:p>
        </w:tc>
        <w:tc>
          <w:tcPr>
            <w:tcW w:w="1417" w:type="dxa"/>
            <w:tcBorders>
              <w:top w:val="dashSmallGap" w:sz="4" w:space="0" w:color="auto"/>
              <w:bottom w:val="single" w:sz="4" w:space="0" w:color="auto"/>
            </w:tcBorders>
          </w:tcPr>
          <w:p w14:paraId="658466FF" w14:textId="071042DE" w:rsidR="00705A2E" w:rsidRPr="00EE4ED3" w:rsidRDefault="00A76C5A" w:rsidP="00263A41">
            <w:pPr>
              <w:suppressAutoHyphens w:val="0"/>
              <w:rPr>
                <w:rFonts w:cs="Calibri"/>
                <w:color w:val="auto"/>
                <w:sz w:val="18"/>
                <w:szCs w:val="18"/>
                <w:lang w:val="es-ES"/>
              </w:rPr>
            </w:pPr>
            <w:r w:rsidRPr="00A76C5A">
              <w:rPr>
                <w:rFonts w:cs="Calibri"/>
                <w:color w:val="auto"/>
                <w:sz w:val="18"/>
                <w:szCs w:val="18"/>
                <w:lang w:val="es-ES"/>
              </w:rPr>
              <w:t>EN ISO 62612</w:t>
            </w:r>
          </w:p>
        </w:tc>
        <w:tc>
          <w:tcPr>
            <w:tcW w:w="3402" w:type="dxa"/>
            <w:tcBorders>
              <w:top w:val="dashSmallGap" w:sz="4" w:space="0" w:color="auto"/>
              <w:bottom w:val="single" w:sz="4" w:space="0" w:color="auto"/>
            </w:tcBorders>
          </w:tcPr>
          <w:p w14:paraId="23703C60" w14:textId="057750FD" w:rsidR="00705A2E" w:rsidRPr="00A0362A" w:rsidRDefault="00A76C5A" w:rsidP="00263A41">
            <w:pPr>
              <w:suppressAutoHyphens w:val="0"/>
              <w:rPr>
                <w:rFonts w:cs="Calibri"/>
                <w:color w:val="auto"/>
                <w:sz w:val="18"/>
                <w:szCs w:val="18"/>
                <w:lang w:val="es-ES"/>
              </w:rPr>
            </w:pPr>
            <w:r>
              <w:rPr>
                <w:rFonts w:cs="Calibri"/>
                <w:color w:val="auto"/>
                <w:sz w:val="18"/>
                <w:szCs w:val="18"/>
                <w:lang w:val="es-ES"/>
              </w:rPr>
              <w:t>NEQ</w:t>
            </w:r>
          </w:p>
        </w:tc>
      </w:tr>
      <w:tr w:rsidR="00705A2E" w:rsidRPr="002931CD" w14:paraId="0BA6B3A3" w14:textId="77777777" w:rsidTr="00263A41">
        <w:trPr>
          <w:cantSplit/>
          <w:trHeight w:val="851"/>
        </w:trPr>
        <w:tc>
          <w:tcPr>
            <w:tcW w:w="1413" w:type="dxa"/>
            <w:tcBorders>
              <w:top w:val="dashSmallGap" w:sz="4" w:space="0" w:color="auto"/>
              <w:bottom w:val="single" w:sz="4" w:space="0" w:color="auto"/>
            </w:tcBorders>
          </w:tcPr>
          <w:p w14:paraId="6E219709" w14:textId="77777777" w:rsidR="00705A2E" w:rsidRPr="00A0362A" w:rsidRDefault="00705A2E" w:rsidP="00263A41">
            <w:pPr>
              <w:suppressAutoHyphens w:val="0"/>
              <w:rPr>
                <w:rFonts w:cs="Calibri"/>
                <w:b/>
                <w:color w:val="auto"/>
                <w:sz w:val="18"/>
                <w:szCs w:val="18"/>
                <w:lang w:val="es-ES"/>
              </w:rPr>
            </w:pPr>
          </w:p>
        </w:tc>
        <w:tc>
          <w:tcPr>
            <w:tcW w:w="3544" w:type="dxa"/>
            <w:tcBorders>
              <w:top w:val="dashSmallGap" w:sz="4" w:space="0" w:color="auto"/>
              <w:bottom w:val="single" w:sz="4" w:space="0" w:color="auto"/>
            </w:tcBorders>
          </w:tcPr>
          <w:p w14:paraId="19AC24E4" w14:textId="77777777" w:rsidR="00705A2E" w:rsidRPr="00EE4ED3" w:rsidRDefault="00705A2E" w:rsidP="00263A41">
            <w:pPr>
              <w:suppressAutoHyphens w:val="0"/>
              <w:rPr>
                <w:rFonts w:cs="Calibri"/>
                <w:color w:val="auto"/>
                <w:sz w:val="18"/>
                <w:szCs w:val="18"/>
                <w:lang w:val="es-ES"/>
              </w:rPr>
            </w:pPr>
          </w:p>
        </w:tc>
        <w:tc>
          <w:tcPr>
            <w:tcW w:w="1275" w:type="dxa"/>
            <w:tcBorders>
              <w:top w:val="dashSmallGap" w:sz="4" w:space="0" w:color="auto"/>
              <w:bottom w:val="single" w:sz="4" w:space="0" w:color="auto"/>
            </w:tcBorders>
          </w:tcPr>
          <w:p w14:paraId="7C0FF29A"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Apéndice I</w:t>
            </w:r>
          </w:p>
        </w:tc>
        <w:tc>
          <w:tcPr>
            <w:tcW w:w="3119" w:type="dxa"/>
            <w:tcBorders>
              <w:top w:val="dashSmallGap" w:sz="4" w:space="0" w:color="auto"/>
              <w:bottom w:val="single" w:sz="4" w:space="0" w:color="auto"/>
            </w:tcBorders>
          </w:tcPr>
          <w:p w14:paraId="0ADAEB7E"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Tipos de bases para las lámparas de led integradas</w:t>
            </w:r>
          </w:p>
        </w:tc>
        <w:tc>
          <w:tcPr>
            <w:tcW w:w="1417" w:type="dxa"/>
            <w:tcBorders>
              <w:top w:val="dashSmallGap" w:sz="4" w:space="0" w:color="auto"/>
              <w:bottom w:val="single" w:sz="4" w:space="0" w:color="auto"/>
            </w:tcBorders>
          </w:tcPr>
          <w:p w14:paraId="0B8909D5" w14:textId="31074048" w:rsidR="00705A2E" w:rsidRPr="00EE4ED3" w:rsidRDefault="00A76C5A" w:rsidP="00263A41">
            <w:pPr>
              <w:suppressAutoHyphens w:val="0"/>
              <w:rPr>
                <w:rFonts w:cs="Calibri"/>
                <w:color w:val="auto"/>
                <w:sz w:val="18"/>
                <w:szCs w:val="18"/>
                <w:lang w:val="es-ES"/>
              </w:rPr>
            </w:pPr>
            <w:r w:rsidRPr="00A76C5A">
              <w:rPr>
                <w:rFonts w:cs="Calibri"/>
                <w:color w:val="auto"/>
                <w:sz w:val="18"/>
                <w:szCs w:val="18"/>
                <w:lang w:val="es-ES"/>
              </w:rPr>
              <w:t>EN ISO 62612</w:t>
            </w:r>
          </w:p>
        </w:tc>
        <w:tc>
          <w:tcPr>
            <w:tcW w:w="3402" w:type="dxa"/>
            <w:tcBorders>
              <w:top w:val="dashSmallGap" w:sz="4" w:space="0" w:color="auto"/>
              <w:bottom w:val="single" w:sz="4" w:space="0" w:color="auto"/>
            </w:tcBorders>
          </w:tcPr>
          <w:p w14:paraId="234AE7AE" w14:textId="72302746" w:rsidR="00705A2E" w:rsidRPr="00A0362A" w:rsidRDefault="00A76C5A" w:rsidP="00263A41">
            <w:pPr>
              <w:suppressAutoHyphens w:val="0"/>
              <w:rPr>
                <w:rFonts w:cs="Calibri"/>
                <w:color w:val="auto"/>
                <w:sz w:val="18"/>
                <w:szCs w:val="18"/>
                <w:lang w:val="es-ES"/>
              </w:rPr>
            </w:pPr>
            <w:r>
              <w:rPr>
                <w:rFonts w:cs="Calibri"/>
                <w:color w:val="auto"/>
                <w:sz w:val="18"/>
                <w:szCs w:val="18"/>
                <w:lang w:val="es-ES"/>
              </w:rPr>
              <w:t>NEQ</w:t>
            </w:r>
          </w:p>
        </w:tc>
      </w:tr>
      <w:tr w:rsidR="00705A2E" w:rsidRPr="00914127" w14:paraId="776C5ADA" w14:textId="77777777" w:rsidTr="00263A41">
        <w:trPr>
          <w:cantSplit/>
          <w:trHeight w:val="851"/>
        </w:trPr>
        <w:tc>
          <w:tcPr>
            <w:tcW w:w="1413" w:type="dxa"/>
            <w:tcBorders>
              <w:top w:val="dashSmallGap" w:sz="4" w:space="0" w:color="auto"/>
              <w:bottom w:val="single" w:sz="4" w:space="0" w:color="auto"/>
            </w:tcBorders>
          </w:tcPr>
          <w:p w14:paraId="15463B40" w14:textId="77777777" w:rsidR="00705A2E" w:rsidRPr="00A0362A" w:rsidRDefault="00705A2E" w:rsidP="00263A41">
            <w:pPr>
              <w:suppressAutoHyphens w:val="0"/>
              <w:rPr>
                <w:rFonts w:cs="Calibri"/>
                <w:b/>
                <w:color w:val="auto"/>
                <w:sz w:val="18"/>
                <w:szCs w:val="18"/>
                <w:lang w:val="es-ES"/>
              </w:rPr>
            </w:pPr>
          </w:p>
        </w:tc>
        <w:tc>
          <w:tcPr>
            <w:tcW w:w="3544" w:type="dxa"/>
            <w:tcBorders>
              <w:top w:val="dashSmallGap" w:sz="4" w:space="0" w:color="auto"/>
              <w:bottom w:val="single" w:sz="4" w:space="0" w:color="auto"/>
            </w:tcBorders>
          </w:tcPr>
          <w:p w14:paraId="425BC138" w14:textId="77777777" w:rsidR="00705A2E" w:rsidRPr="00EE4ED3" w:rsidRDefault="00705A2E" w:rsidP="00263A41">
            <w:pPr>
              <w:suppressAutoHyphens w:val="0"/>
              <w:rPr>
                <w:rFonts w:cs="Calibri"/>
                <w:color w:val="auto"/>
                <w:sz w:val="18"/>
                <w:szCs w:val="18"/>
                <w:lang w:val="es-ES"/>
              </w:rPr>
            </w:pPr>
          </w:p>
        </w:tc>
        <w:tc>
          <w:tcPr>
            <w:tcW w:w="1275" w:type="dxa"/>
            <w:tcBorders>
              <w:top w:val="dashSmallGap" w:sz="4" w:space="0" w:color="auto"/>
              <w:bottom w:val="single" w:sz="4" w:space="0" w:color="auto"/>
            </w:tcBorders>
          </w:tcPr>
          <w:p w14:paraId="5510594F"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NMX-J-507/2-ANCE-2013</w:t>
            </w:r>
          </w:p>
        </w:tc>
        <w:tc>
          <w:tcPr>
            <w:tcW w:w="3119" w:type="dxa"/>
            <w:tcBorders>
              <w:top w:val="dashSmallGap" w:sz="4" w:space="0" w:color="auto"/>
              <w:bottom w:val="single" w:sz="4" w:space="0" w:color="auto"/>
            </w:tcBorders>
          </w:tcPr>
          <w:p w14:paraId="6F3F0EFA"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Iluminación - fotometría para luminarios</w:t>
            </w:r>
          </w:p>
          <w:p w14:paraId="612E8082" w14:textId="77777777" w:rsidR="00705A2E" w:rsidRPr="00EE4ED3" w:rsidRDefault="00705A2E" w:rsidP="00263A41">
            <w:pPr>
              <w:suppressAutoHyphens w:val="0"/>
              <w:rPr>
                <w:rFonts w:cs="Calibri"/>
                <w:color w:val="auto"/>
                <w:sz w:val="18"/>
                <w:szCs w:val="18"/>
                <w:lang w:val="es-ES"/>
              </w:rPr>
            </w:pPr>
          </w:p>
        </w:tc>
        <w:tc>
          <w:tcPr>
            <w:tcW w:w="1417" w:type="dxa"/>
            <w:tcBorders>
              <w:top w:val="dashSmallGap" w:sz="4" w:space="0" w:color="auto"/>
              <w:bottom w:val="single" w:sz="4" w:space="0" w:color="auto"/>
            </w:tcBorders>
          </w:tcPr>
          <w:p w14:paraId="5004E673"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NEQ con alguna norma internacional</w:t>
            </w:r>
          </w:p>
        </w:tc>
        <w:tc>
          <w:tcPr>
            <w:tcW w:w="3402" w:type="dxa"/>
            <w:tcBorders>
              <w:top w:val="dashSmallGap" w:sz="4" w:space="0" w:color="auto"/>
              <w:bottom w:val="single" w:sz="4" w:space="0" w:color="auto"/>
            </w:tcBorders>
          </w:tcPr>
          <w:p w14:paraId="6709A0D8" w14:textId="77777777" w:rsidR="00705A2E" w:rsidRPr="00A0362A" w:rsidRDefault="00705A2E" w:rsidP="00263A41">
            <w:pPr>
              <w:suppressAutoHyphens w:val="0"/>
              <w:rPr>
                <w:rFonts w:cs="Calibri"/>
                <w:color w:val="auto"/>
                <w:sz w:val="18"/>
                <w:szCs w:val="18"/>
                <w:lang w:val="es-ES"/>
              </w:rPr>
            </w:pPr>
          </w:p>
        </w:tc>
      </w:tr>
      <w:tr w:rsidR="00705A2E" w:rsidRPr="00914127" w14:paraId="747E7B3B" w14:textId="77777777" w:rsidTr="00263A41">
        <w:trPr>
          <w:cantSplit/>
          <w:trHeight w:val="851"/>
        </w:trPr>
        <w:tc>
          <w:tcPr>
            <w:tcW w:w="1413" w:type="dxa"/>
            <w:tcBorders>
              <w:top w:val="single" w:sz="4" w:space="0" w:color="auto"/>
              <w:bottom w:val="dashSmallGap" w:sz="4" w:space="0" w:color="auto"/>
            </w:tcBorders>
            <w:shd w:val="clear" w:color="auto" w:fill="9CC2E5"/>
          </w:tcPr>
          <w:p w14:paraId="12E65BFA" w14:textId="77777777" w:rsidR="00705A2E" w:rsidRPr="00A0362A" w:rsidRDefault="00705A2E" w:rsidP="00263A41">
            <w:pPr>
              <w:suppressAutoHyphens w:val="0"/>
              <w:rPr>
                <w:rFonts w:cs="Calibri"/>
                <w:b/>
                <w:color w:val="auto"/>
                <w:sz w:val="18"/>
                <w:szCs w:val="18"/>
                <w:lang w:val="es-ES"/>
              </w:rPr>
            </w:pPr>
            <w:r w:rsidRPr="00A0362A">
              <w:rPr>
                <w:rFonts w:cs="Calibri"/>
                <w:b/>
                <w:color w:val="auto"/>
                <w:sz w:val="18"/>
                <w:szCs w:val="18"/>
                <w:lang w:val="es-ES"/>
              </w:rPr>
              <w:t>NOM-031-ENER-2012</w:t>
            </w:r>
          </w:p>
          <w:p w14:paraId="2A63462F" w14:textId="77777777" w:rsidR="00705A2E" w:rsidRPr="00A0362A" w:rsidRDefault="00705A2E" w:rsidP="00263A41">
            <w:pPr>
              <w:suppressAutoHyphens w:val="0"/>
              <w:rPr>
                <w:rFonts w:cs="Calibri"/>
                <w:b/>
                <w:color w:val="auto"/>
                <w:sz w:val="18"/>
                <w:szCs w:val="18"/>
                <w:lang w:val="es-ES"/>
              </w:rPr>
            </w:pPr>
          </w:p>
        </w:tc>
        <w:tc>
          <w:tcPr>
            <w:tcW w:w="3544" w:type="dxa"/>
            <w:tcBorders>
              <w:top w:val="single" w:sz="4" w:space="0" w:color="auto"/>
              <w:bottom w:val="dashSmallGap" w:sz="4" w:space="0" w:color="auto"/>
            </w:tcBorders>
            <w:shd w:val="clear" w:color="auto" w:fill="9CC2E5"/>
          </w:tcPr>
          <w:p w14:paraId="3D88540A" w14:textId="300F55ED" w:rsidR="00705A2E" w:rsidRPr="00A0362A" w:rsidRDefault="00A25AF6" w:rsidP="00A25AF6">
            <w:pPr>
              <w:suppressAutoHyphens w:val="0"/>
              <w:rPr>
                <w:rFonts w:cs="Calibri"/>
                <w:b/>
                <w:color w:val="auto"/>
                <w:sz w:val="18"/>
                <w:szCs w:val="18"/>
                <w:lang w:val="es-ES"/>
              </w:rPr>
            </w:pPr>
            <w:r>
              <w:rPr>
                <w:rFonts w:cs="Calibri"/>
                <w:b/>
                <w:color w:val="auto"/>
                <w:sz w:val="18"/>
                <w:szCs w:val="18"/>
                <w:lang w:val="es-ES"/>
              </w:rPr>
              <w:t xml:space="preserve">Luminarios con </w:t>
            </w:r>
            <w:r w:rsidR="00705A2E" w:rsidRPr="00A0362A">
              <w:rPr>
                <w:rFonts w:cs="Calibri"/>
                <w:b/>
                <w:color w:val="auto"/>
                <w:sz w:val="18"/>
                <w:szCs w:val="18"/>
                <w:lang w:val="es-ES"/>
              </w:rPr>
              <w:t>LED</w:t>
            </w:r>
            <w:r>
              <w:rPr>
                <w:rFonts w:cs="Calibri"/>
                <w:b/>
                <w:color w:val="auto"/>
                <w:sz w:val="18"/>
                <w:szCs w:val="18"/>
                <w:lang w:val="es-ES"/>
              </w:rPr>
              <w:t>s</w:t>
            </w:r>
            <w:r w:rsidR="00705A2E" w:rsidRPr="00A0362A">
              <w:rPr>
                <w:rFonts w:cs="Calibri"/>
                <w:b/>
                <w:color w:val="auto"/>
                <w:sz w:val="18"/>
                <w:szCs w:val="18"/>
                <w:lang w:val="es-ES"/>
              </w:rPr>
              <w:t xml:space="preserve"> </w:t>
            </w:r>
            <w:r>
              <w:rPr>
                <w:rFonts w:cs="Calibri"/>
                <w:b/>
                <w:color w:val="auto"/>
                <w:sz w:val="18"/>
                <w:szCs w:val="18"/>
                <w:lang w:val="es-ES"/>
              </w:rPr>
              <w:t xml:space="preserve">destinados a </w:t>
            </w:r>
            <w:r w:rsidR="00705A2E" w:rsidRPr="00A0362A">
              <w:rPr>
                <w:rFonts w:cs="Calibri"/>
                <w:b/>
                <w:color w:val="auto"/>
                <w:sz w:val="18"/>
                <w:szCs w:val="18"/>
                <w:lang w:val="es-ES"/>
              </w:rPr>
              <w:t>vialidades y áreas exteriores públicas</w:t>
            </w:r>
          </w:p>
        </w:tc>
        <w:tc>
          <w:tcPr>
            <w:tcW w:w="1275" w:type="dxa"/>
            <w:tcBorders>
              <w:top w:val="single" w:sz="4" w:space="0" w:color="auto"/>
              <w:bottom w:val="dashSmallGap" w:sz="4" w:space="0" w:color="auto"/>
            </w:tcBorders>
            <w:shd w:val="clear" w:color="auto" w:fill="9CC2E5"/>
          </w:tcPr>
          <w:p w14:paraId="320CCABE" w14:textId="77777777" w:rsidR="00705A2E" w:rsidRPr="00A0362A" w:rsidRDefault="00705A2E" w:rsidP="00263A41">
            <w:pPr>
              <w:suppressAutoHyphens w:val="0"/>
              <w:rPr>
                <w:rFonts w:cs="Calibri"/>
                <w:b/>
                <w:color w:val="auto"/>
                <w:sz w:val="18"/>
                <w:szCs w:val="18"/>
                <w:lang w:val="es-ES"/>
              </w:rPr>
            </w:pPr>
          </w:p>
        </w:tc>
        <w:tc>
          <w:tcPr>
            <w:tcW w:w="3119" w:type="dxa"/>
            <w:tcBorders>
              <w:top w:val="single" w:sz="4" w:space="0" w:color="auto"/>
              <w:bottom w:val="dashSmallGap" w:sz="4" w:space="0" w:color="auto"/>
            </w:tcBorders>
            <w:shd w:val="clear" w:color="auto" w:fill="9CC2E5"/>
          </w:tcPr>
          <w:p w14:paraId="2FCA9CF6" w14:textId="77777777" w:rsidR="00705A2E" w:rsidRPr="00A0362A" w:rsidRDefault="00705A2E" w:rsidP="00263A41">
            <w:pPr>
              <w:suppressAutoHyphens w:val="0"/>
              <w:rPr>
                <w:rFonts w:cs="Calibri"/>
                <w:b/>
                <w:color w:val="auto"/>
                <w:sz w:val="18"/>
                <w:szCs w:val="18"/>
                <w:lang w:val="es-ES"/>
              </w:rPr>
            </w:pPr>
          </w:p>
        </w:tc>
        <w:tc>
          <w:tcPr>
            <w:tcW w:w="1417" w:type="dxa"/>
            <w:tcBorders>
              <w:top w:val="single" w:sz="4" w:space="0" w:color="auto"/>
              <w:bottom w:val="dashSmallGap" w:sz="4" w:space="0" w:color="auto"/>
            </w:tcBorders>
            <w:shd w:val="clear" w:color="auto" w:fill="9CC2E5"/>
          </w:tcPr>
          <w:p w14:paraId="0AF45D37" w14:textId="77777777" w:rsidR="00705A2E" w:rsidRPr="00A0362A" w:rsidRDefault="00705A2E" w:rsidP="00263A41">
            <w:pPr>
              <w:suppressAutoHyphens w:val="0"/>
              <w:rPr>
                <w:rFonts w:cs="Calibri"/>
                <w:color w:val="auto"/>
                <w:sz w:val="18"/>
                <w:szCs w:val="18"/>
                <w:lang w:val="es-ES"/>
              </w:rPr>
            </w:pPr>
          </w:p>
        </w:tc>
        <w:tc>
          <w:tcPr>
            <w:tcW w:w="3402" w:type="dxa"/>
            <w:tcBorders>
              <w:top w:val="single" w:sz="4" w:space="0" w:color="auto"/>
              <w:bottom w:val="dashSmallGap" w:sz="4" w:space="0" w:color="auto"/>
            </w:tcBorders>
            <w:shd w:val="clear" w:color="auto" w:fill="9CC2E5"/>
          </w:tcPr>
          <w:p w14:paraId="5BA8C445" w14:textId="77777777" w:rsidR="00705A2E" w:rsidRPr="00A0362A" w:rsidRDefault="00705A2E" w:rsidP="00263A41">
            <w:pPr>
              <w:suppressAutoHyphens w:val="0"/>
              <w:rPr>
                <w:rFonts w:cs="Calibri"/>
                <w:color w:val="auto"/>
                <w:sz w:val="18"/>
                <w:szCs w:val="18"/>
                <w:lang w:val="es-ES"/>
              </w:rPr>
            </w:pPr>
          </w:p>
        </w:tc>
      </w:tr>
      <w:tr w:rsidR="00705A2E" w:rsidRPr="00A0362A" w14:paraId="65B15785" w14:textId="77777777" w:rsidTr="00263A41">
        <w:trPr>
          <w:cantSplit/>
          <w:trHeight w:val="851"/>
        </w:trPr>
        <w:tc>
          <w:tcPr>
            <w:tcW w:w="1413" w:type="dxa"/>
            <w:tcBorders>
              <w:top w:val="dashSmallGap" w:sz="4" w:space="0" w:color="auto"/>
              <w:bottom w:val="single" w:sz="4" w:space="0" w:color="auto"/>
            </w:tcBorders>
            <w:shd w:val="clear" w:color="auto" w:fill="DEEAF6"/>
          </w:tcPr>
          <w:p w14:paraId="334A836A" w14:textId="57602C0E" w:rsidR="00705A2E" w:rsidRPr="00A0362A" w:rsidRDefault="00705A2E" w:rsidP="00A25AF6">
            <w:pPr>
              <w:suppressAutoHyphens w:val="0"/>
              <w:rPr>
                <w:rFonts w:cs="Calibri"/>
                <w:b/>
                <w:color w:val="auto"/>
                <w:sz w:val="18"/>
                <w:szCs w:val="18"/>
                <w:lang w:val="es-ES"/>
              </w:rPr>
            </w:pPr>
            <w:r w:rsidRPr="00A0362A">
              <w:rPr>
                <w:rFonts w:cs="Calibri"/>
                <w:b/>
                <w:color w:val="auto"/>
                <w:sz w:val="18"/>
                <w:szCs w:val="18"/>
                <w:lang w:val="es-ES"/>
              </w:rPr>
              <w:t>NOM-031-ENER-201</w:t>
            </w:r>
            <w:r w:rsidR="00A25AF6">
              <w:rPr>
                <w:rFonts w:cs="Calibri"/>
                <w:b/>
                <w:color w:val="auto"/>
                <w:sz w:val="18"/>
                <w:szCs w:val="18"/>
                <w:lang w:val="es-ES"/>
              </w:rPr>
              <w:t>2</w:t>
            </w:r>
            <w:r w:rsidRPr="00A0362A">
              <w:rPr>
                <w:rFonts w:cs="Calibri"/>
                <w:b/>
                <w:color w:val="auto"/>
                <w:sz w:val="18"/>
                <w:szCs w:val="18"/>
                <w:lang w:val="es-ES"/>
              </w:rPr>
              <w:t xml:space="preserve"> - Sección 8</w:t>
            </w:r>
          </w:p>
        </w:tc>
        <w:tc>
          <w:tcPr>
            <w:tcW w:w="3544" w:type="dxa"/>
            <w:tcBorders>
              <w:top w:val="dashSmallGap" w:sz="4" w:space="0" w:color="auto"/>
              <w:bottom w:val="single" w:sz="4" w:space="0" w:color="auto"/>
            </w:tcBorders>
            <w:shd w:val="clear" w:color="auto" w:fill="DEEAF6"/>
          </w:tcPr>
          <w:p w14:paraId="4CA05272" w14:textId="77777777" w:rsidR="00705A2E" w:rsidRPr="00A0362A" w:rsidRDefault="00705A2E" w:rsidP="00263A41">
            <w:pPr>
              <w:suppressAutoHyphens w:val="0"/>
              <w:rPr>
                <w:rFonts w:cs="Calibri"/>
                <w:b/>
                <w:color w:val="auto"/>
                <w:sz w:val="18"/>
                <w:szCs w:val="18"/>
                <w:lang w:val="es-ES"/>
              </w:rPr>
            </w:pPr>
            <w:r w:rsidRPr="00A0362A">
              <w:rPr>
                <w:rFonts w:cs="Calibri"/>
                <w:b/>
                <w:color w:val="auto"/>
                <w:sz w:val="18"/>
                <w:szCs w:val="18"/>
                <w:lang w:val="es-ES"/>
              </w:rPr>
              <w:t>Métodos de prueba</w:t>
            </w:r>
          </w:p>
        </w:tc>
        <w:tc>
          <w:tcPr>
            <w:tcW w:w="1275" w:type="dxa"/>
            <w:tcBorders>
              <w:top w:val="dashSmallGap" w:sz="4" w:space="0" w:color="auto"/>
              <w:bottom w:val="single" w:sz="4" w:space="0" w:color="auto"/>
            </w:tcBorders>
            <w:shd w:val="clear" w:color="auto" w:fill="DEEAF6"/>
          </w:tcPr>
          <w:p w14:paraId="3D87D08E" w14:textId="77777777" w:rsidR="00705A2E" w:rsidRPr="00A0362A" w:rsidRDefault="00705A2E" w:rsidP="00263A41">
            <w:pPr>
              <w:suppressAutoHyphens w:val="0"/>
              <w:rPr>
                <w:rFonts w:cs="Calibri"/>
                <w:b/>
                <w:color w:val="auto"/>
                <w:sz w:val="18"/>
                <w:szCs w:val="18"/>
                <w:lang w:val="es-ES"/>
              </w:rPr>
            </w:pPr>
          </w:p>
        </w:tc>
        <w:tc>
          <w:tcPr>
            <w:tcW w:w="3119" w:type="dxa"/>
            <w:tcBorders>
              <w:top w:val="dashSmallGap" w:sz="4" w:space="0" w:color="auto"/>
              <w:bottom w:val="single" w:sz="4" w:space="0" w:color="auto"/>
            </w:tcBorders>
            <w:shd w:val="clear" w:color="auto" w:fill="DEEAF6"/>
          </w:tcPr>
          <w:p w14:paraId="1E58BC11" w14:textId="77777777" w:rsidR="00705A2E" w:rsidRPr="00A0362A" w:rsidRDefault="00705A2E" w:rsidP="00263A41">
            <w:pPr>
              <w:suppressAutoHyphens w:val="0"/>
              <w:rPr>
                <w:rFonts w:cs="Calibri"/>
                <w:b/>
                <w:color w:val="auto"/>
                <w:sz w:val="18"/>
                <w:szCs w:val="18"/>
                <w:lang w:val="es-ES"/>
              </w:rPr>
            </w:pPr>
          </w:p>
        </w:tc>
        <w:tc>
          <w:tcPr>
            <w:tcW w:w="1417" w:type="dxa"/>
            <w:tcBorders>
              <w:top w:val="dashSmallGap" w:sz="4" w:space="0" w:color="auto"/>
              <w:bottom w:val="single" w:sz="4" w:space="0" w:color="auto"/>
            </w:tcBorders>
            <w:shd w:val="clear" w:color="auto" w:fill="DEEAF6"/>
          </w:tcPr>
          <w:p w14:paraId="4D33A1E8" w14:textId="77777777" w:rsidR="00705A2E" w:rsidRPr="00A0362A" w:rsidRDefault="00705A2E" w:rsidP="00263A41">
            <w:pPr>
              <w:suppressAutoHyphens w:val="0"/>
              <w:rPr>
                <w:rFonts w:cs="Calibri"/>
                <w:color w:val="auto"/>
                <w:sz w:val="18"/>
                <w:szCs w:val="18"/>
                <w:lang w:val="es-ES"/>
              </w:rPr>
            </w:pPr>
          </w:p>
        </w:tc>
        <w:tc>
          <w:tcPr>
            <w:tcW w:w="3402" w:type="dxa"/>
            <w:tcBorders>
              <w:top w:val="dashSmallGap" w:sz="4" w:space="0" w:color="auto"/>
              <w:bottom w:val="single" w:sz="4" w:space="0" w:color="auto"/>
            </w:tcBorders>
            <w:shd w:val="clear" w:color="auto" w:fill="DEEAF6"/>
          </w:tcPr>
          <w:p w14:paraId="50D710EE" w14:textId="77777777" w:rsidR="00705A2E" w:rsidRPr="00A0362A" w:rsidRDefault="00705A2E" w:rsidP="00263A41">
            <w:pPr>
              <w:suppressAutoHyphens w:val="0"/>
              <w:rPr>
                <w:rFonts w:cs="Calibri"/>
                <w:color w:val="auto"/>
                <w:sz w:val="18"/>
                <w:szCs w:val="18"/>
                <w:lang w:val="es-ES"/>
              </w:rPr>
            </w:pPr>
          </w:p>
        </w:tc>
      </w:tr>
      <w:tr w:rsidR="00705A2E" w:rsidRPr="00A76C5A" w14:paraId="4CED77EE" w14:textId="77777777" w:rsidTr="00263A41">
        <w:trPr>
          <w:cantSplit/>
          <w:trHeight w:val="851"/>
        </w:trPr>
        <w:tc>
          <w:tcPr>
            <w:tcW w:w="1413" w:type="dxa"/>
            <w:tcBorders>
              <w:top w:val="dashSmallGap" w:sz="4" w:space="0" w:color="auto"/>
              <w:bottom w:val="single" w:sz="4" w:space="0" w:color="auto"/>
            </w:tcBorders>
          </w:tcPr>
          <w:p w14:paraId="5F777A15" w14:textId="77777777" w:rsidR="00705A2E" w:rsidRPr="00A0362A" w:rsidRDefault="00705A2E" w:rsidP="00263A41">
            <w:pPr>
              <w:suppressAutoHyphens w:val="0"/>
              <w:rPr>
                <w:rFonts w:cs="Calibri"/>
                <w:b/>
                <w:color w:val="auto"/>
                <w:sz w:val="18"/>
                <w:szCs w:val="18"/>
                <w:lang w:val="es-ES"/>
              </w:rPr>
            </w:pPr>
          </w:p>
        </w:tc>
        <w:tc>
          <w:tcPr>
            <w:tcW w:w="3544" w:type="dxa"/>
            <w:tcBorders>
              <w:top w:val="dashSmallGap" w:sz="4" w:space="0" w:color="auto"/>
              <w:bottom w:val="single" w:sz="4" w:space="0" w:color="auto"/>
            </w:tcBorders>
          </w:tcPr>
          <w:p w14:paraId="05935FA2"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8.1 Eficacia luminosa</w:t>
            </w:r>
          </w:p>
          <w:p w14:paraId="01C881D4"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8.2 Relación del flujo luminoso total nominal</w:t>
            </w:r>
          </w:p>
          <w:p w14:paraId="0429496F"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8.4 Mantenimiento del flujo luminoso total</w:t>
            </w:r>
          </w:p>
          <w:p w14:paraId="3EF2C945"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8.5 Índice de Rendimiento de Color (IRC)</w:t>
            </w:r>
          </w:p>
          <w:p w14:paraId="03203168"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8.6 Factor de potencia</w:t>
            </w:r>
          </w:p>
          <w:p w14:paraId="051402B4"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8.7 Distorsión armónica total</w:t>
            </w:r>
          </w:p>
        </w:tc>
        <w:tc>
          <w:tcPr>
            <w:tcW w:w="1275" w:type="dxa"/>
            <w:tcBorders>
              <w:top w:val="dashSmallGap" w:sz="4" w:space="0" w:color="auto"/>
              <w:bottom w:val="single" w:sz="4" w:space="0" w:color="auto"/>
            </w:tcBorders>
          </w:tcPr>
          <w:p w14:paraId="6BB87567"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Apéndice A</w:t>
            </w:r>
          </w:p>
        </w:tc>
        <w:tc>
          <w:tcPr>
            <w:tcW w:w="3119" w:type="dxa"/>
            <w:tcBorders>
              <w:top w:val="dashSmallGap" w:sz="4" w:space="0" w:color="auto"/>
              <w:bottom w:val="single" w:sz="4" w:space="0" w:color="auto"/>
            </w:tcBorders>
          </w:tcPr>
          <w:p w14:paraId="1E7CE23A"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Mediciones eléctricas, fotométricas y radiométricas para luminarios con leds.</w:t>
            </w:r>
          </w:p>
        </w:tc>
        <w:tc>
          <w:tcPr>
            <w:tcW w:w="1417" w:type="dxa"/>
            <w:tcBorders>
              <w:top w:val="dashSmallGap" w:sz="4" w:space="0" w:color="auto"/>
              <w:bottom w:val="single" w:sz="4" w:space="0" w:color="auto"/>
            </w:tcBorders>
          </w:tcPr>
          <w:p w14:paraId="6A2F4637" w14:textId="77777777" w:rsidR="00705A2E" w:rsidRDefault="00EE4ED3" w:rsidP="00263A41">
            <w:pPr>
              <w:suppressAutoHyphens w:val="0"/>
              <w:rPr>
                <w:rFonts w:cs="Calibri"/>
                <w:color w:val="auto"/>
                <w:sz w:val="18"/>
                <w:szCs w:val="18"/>
                <w:lang w:val="es-ES"/>
              </w:rPr>
            </w:pPr>
            <w:r>
              <w:rPr>
                <w:rFonts w:cs="Calibri"/>
                <w:color w:val="auto"/>
                <w:sz w:val="18"/>
                <w:szCs w:val="18"/>
                <w:lang w:val="es-ES"/>
              </w:rPr>
              <w:t xml:space="preserve">EN ICE </w:t>
            </w:r>
            <w:r w:rsidR="00A76C5A">
              <w:rPr>
                <w:rFonts w:cs="Calibri"/>
                <w:color w:val="auto"/>
                <w:sz w:val="18"/>
                <w:szCs w:val="18"/>
                <w:lang w:val="es-ES"/>
              </w:rPr>
              <w:t>62717</w:t>
            </w:r>
          </w:p>
          <w:p w14:paraId="37FF9254" w14:textId="0ABBCD37" w:rsidR="00A76C5A" w:rsidRPr="00A0362A" w:rsidRDefault="00A76C5A" w:rsidP="00263A41">
            <w:pPr>
              <w:suppressAutoHyphens w:val="0"/>
              <w:rPr>
                <w:rFonts w:cs="Calibri"/>
                <w:color w:val="auto"/>
                <w:sz w:val="18"/>
                <w:szCs w:val="18"/>
                <w:lang w:val="es-ES"/>
              </w:rPr>
            </w:pPr>
          </w:p>
        </w:tc>
        <w:tc>
          <w:tcPr>
            <w:tcW w:w="3402" w:type="dxa"/>
            <w:tcBorders>
              <w:top w:val="dashSmallGap" w:sz="4" w:space="0" w:color="auto"/>
              <w:bottom w:val="single" w:sz="4" w:space="0" w:color="auto"/>
            </w:tcBorders>
          </w:tcPr>
          <w:p w14:paraId="2D3CF491" w14:textId="77777777" w:rsidR="00705A2E" w:rsidRDefault="00A76C5A" w:rsidP="00263A41">
            <w:pPr>
              <w:suppressAutoHyphens w:val="0"/>
              <w:rPr>
                <w:rFonts w:cs="Calibri"/>
                <w:color w:val="auto"/>
                <w:sz w:val="18"/>
                <w:szCs w:val="18"/>
              </w:rPr>
            </w:pPr>
            <w:r w:rsidRPr="00A76C5A">
              <w:rPr>
                <w:rFonts w:cs="Calibri"/>
                <w:color w:val="auto"/>
                <w:sz w:val="18"/>
                <w:szCs w:val="18"/>
              </w:rPr>
              <w:t>LED modules for general lighting - Performance requirements</w:t>
            </w:r>
          </w:p>
          <w:p w14:paraId="629D7063" w14:textId="2F5FAFD6" w:rsidR="00A76C5A" w:rsidRPr="00A76C5A" w:rsidRDefault="00A76C5A" w:rsidP="00263A41">
            <w:pPr>
              <w:suppressAutoHyphens w:val="0"/>
              <w:rPr>
                <w:rFonts w:cs="Calibri"/>
                <w:color w:val="auto"/>
                <w:sz w:val="18"/>
                <w:szCs w:val="18"/>
              </w:rPr>
            </w:pPr>
            <w:r>
              <w:rPr>
                <w:rFonts w:cs="Calibri"/>
                <w:color w:val="auto"/>
                <w:sz w:val="18"/>
                <w:szCs w:val="18"/>
              </w:rPr>
              <w:t>(NEQ)</w:t>
            </w:r>
          </w:p>
        </w:tc>
      </w:tr>
      <w:tr w:rsidR="00705A2E" w:rsidRPr="00A0362A" w14:paraId="1FB99D59" w14:textId="77777777" w:rsidTr="00263A41">
        <w:trPr>
          <w:cantSplit/>
          <w:trHeight w:val="851"/>
        </w:trPr>
        <w:tc>
          <w:tcPr>
            <w:tcW w:w="1413" w:type="dxa"/>
            <w:tcBorders>
              <w:top w:val="dashSmallGap" w:sz="4" w:space="0" w:color="auto"/>
              <w:bottom w:val="single" w:sz="4" w:space="0" w:color="auto"/>
            </w:tcBorders>
          </w:tcPr>
          <w:p w14:paraId="4D1EC9DD" w14:textId="77777777" w:rsidR="00705A2E" w:rsidRPr="00A76C5A" w:rsidRDefault="00705A2E" w:rsidP="00263A41">
            <w:pPr>
              <w:suppressAutoHyphens w:val="0"/>
              <w:rPr>
                <w:rFonts w:cs="Calibri"/>
                <w:b/>
                <w:color w:val="auto"/>
                <w:sz w:val="18"/>
                <w:szCs w:val="18"/>
              </w:rPr>
            </w:pPr>
          </w:p>
        </w:tc>
        <w:tc>
          <w:tcPr>
            <w:tcW w:w="3544" w:type="dxa"/>
            <w:tcBorders>
              <w:top w:val="dashSmallGap" w:sz="4" w:space="0" w:color="auto"/>
              <w:bottom w:val="single" w:sz="4" w:space="0" w:color="auto"/>
            </w:tcBorders>
          </w:tcPr>
          <w:p w14:paraId="31330C69"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8.3 Temperatura de Color Correlacionada</w:t>
            </w:r>
          </w:p>
          <w:p w14:paraId="0E6FEBEB"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8.4 Mantenimiento del flujo luminoso total</w:t>
            </w:r>
          </w:p>
        </w:tc>
        <w:tc>
          <w:tcPr>
            <w:tcW w:w="1275" w:type="dxa"/>
            <w:tcBorders>
              <w:top w:val="dashSmallGap" w:sz="4" w:space="0" w:color="auto"/>
              <w:bottom w:val="single" w:sz="4" w:space="0" w:color="auto"/>
            </w:tcBorders>
          </w:tcPr>
          <w:p w14:paraId="76BA4CB1"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Apéndice B</w:t>
            </w:r>
          </w:p>
        </w:tc>
        <w:tc>
          <w:tcPr>
            <w:tcW w:w="3119" w:type="dxa"/>
            <w:tcBorders>
              <w:top w:val="dashSmallGap" w:sz="4" w:space="0" w:color="auto"/>
              <w:bottom w:val="single" w:sz="4" w:space="0" w:color="auto"/>
            </w:tcBorders>
          </w:tcPr>
          <w:p w14:paraId="641D1696"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Medición del mantenimiento del flujo luminoso total y temperatura de color correlacionada para los</w:t>
            </w:r>
          </w:p>
          <w:p w14:paraId="4AF87519"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luminarios con leds</w:t>
            </w:r>
          </w:p>
        </w:tc>
        <w:tc>
          <w:tcPr>
            <w:tcW w:w="1417" w:type="dxa"/>
            <w:tcBorders>
              <w:top w:val="dashSmallGap" w:sz="4" w:space="0" w:color="auto"/>
              <w:bottom w:val="single" w:sz="4" w:space="0" w:color="auto"/>
            </w:tcBorders>
          </w:tcPr>
          <w:p w14:paraId="38B11C8B" w14:textId="451023AB" w:rsidR="00705A2E" w:rsidRPr="00A0362A" w:rsidRDefault="00A76C5A" w:rsidP="00263A41">
            <w:pPr>
              <w:suppressAutoHyphens w:val="0"/>
              <w:rPr>
                <w:rFonts w:cs="Calibri"/>
                <w:color w:val="auto"/>
                <w:sz w:val="18"/>
                <w:szCs w:val="18"/>
                <w:lang w:val="es-ES"/>
              </w:rPr>
            </w:pPr>
            <w:r w:rsidRPr="00A76C5A">
              <w:rPr>
                <w:rFonts w:cs="Calibri"/>
                <w:color w:val="auto"/>
                <w:sz w:val="18"/>
                <w:szCs w:val="18"/>
                <w:lang w:val="es-ES"/>
              </w:rPr>
              <w:t>EN ICE 62717</w:t>
            </w:r>
          </w:p>
        </w:tc>
        <w:tc>
          <w:tcPr>
            <w:tcW w:w="3402" w:type="dxa"/>
            <w:tcBorders>
              <w:top w:val="dashSmallGap" w:sz="4" w:space="0" w:color="auto"/>
              <w:bottom w:val="single" w:sz="4" w:space="0" w:color="auto"/>
            </w:tcBorders>
          </w:tcPr>
          <w:p w14:paraId="7DA0DFE0" w14:textId="59DE9EEE" w:rsidR="00705A2E" w:rsidRPr="00A0362A" w:rsidRDefault="00A76C5A" w:rsidP="00263A41">
            <w:pPr>
              <w:suppressAutoHyphens w:val="0"/>
              <w:rPr>
                <w:rFonts w:cs="Calibri"/>
                <w:color w:val="auto"/>
                <w:sz w:val="18"/>
                <w:szCs w:val="18"/>
                <w:lang w:val="es-ES"/>
              </w:rPr>
            </w:pPr>
            <w:r>
              <w:rPr>
                <w:rFonts w:cs="Calibri"/>
                <w:color w:val="auto"/>
                <w:sz w:val="18"/>
                <w:szCs w:val="18"/>
                <w:lang w:val="es-ES"/>
              </w:rPr>
              <w:t>NEQ</w:t>
            </w:r>
          </w:p>
        </w:tc>
      </w:tr>
      <w:tr w:rsidR="00705A2E" w:rsidRPr="00A0362A" w14:paraId="594F1068" w14:textId="77777777" w:rsidTr="00263A41">
        <w:trPr>
          <w:cantSplit/>
          <w:trHeight w:val="851"/>
        </w:trPr>
        <w:tc>
          <w:tcPr>
            <w:tcW w:w="1413" w:type="dxa"/>
            <w:tcBorders>
              <w:top w:val="dashSmallGap" w:sz="4" w:space="0" w:color="auto"/>
              <w:bottom w:val="single" w:sz="4" w:space="0" w:color="auto"/>
            </w:tcBorders>
          </w:tcPr>
          <w:p w14:paraId="2ED6144F" w14:textId="77777777" w:rsidR="00705A2E" w:rsidRPr="00A0362A" w:rsidRDefault="00705A2E" w:rsidP="00263A41">
            <w:pPr>
              <w:suppressAutoHyphens w:val="0"/>
              <w:rPr>
                <w:rFonts w:cs="Calibri"/>
                <w:b/>
                <w:color w:val="auto"/>
                <w:sz w:val="18"/>
                <w:szCs w:val="18"/>
                <w:lang w:val="es-ES"/>
              </w:rPr>
            </w:pPr>
          </w:p>
        </w:tc>
        <w:tc>
          <w:tcPr>
            <w:tcW w:w="3544" w:type="dxa"/>
            <w:tcBorders>
              <w:top w:val="dashSmallGap" w:sz="4" w:space="0" w:color="auto"/>
              <w:bottom w:val="single" w:sz="4" w:space="0" w:color="auto"/>
            </w:tcBorders>
          </w:tcPr>
          <w:p w14:paraId="65D5DE48"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8.8 Flujo luminoso de deslumbramiento máximo para luminarios con leds para vialidades y porcentaje de</w:t>
            </w:r>
          </w:p>
          <w:p w14:paraId="58BD6A37"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flujo luminoso en la zona, respecto al flujo luminoso total para luminarios con leds para exteriores.</w:t>
            </w:r>
          </w:p>
        </w:tc>
        <w:tc>
          <w:tcPr>
            <w:tcW w:w="1275" w:type="dxa"/>
            <w:tcBorders>
              <w:top w:val="dashSmallGap" w:sz="4" w:space="0" w:color="auto"/>
              <w:bottom w:val="single" w:sz="4" w:space="0" w:color="auto"/>
            </w:tcBorders>
          </w:tcPr>
          <w:p w14:paraId="75A095B2"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Apéndice D</w:t>
            </w:r>
          </w:p>
        </w:tc>
        <w:tc>
          <w:tcPr>
            <w:tcW w:w="3119" w:type="dxa"/>
            <w:tcBorders>
              <w:top w:val="dashSmallGap" w:sz="4" w:space="0" w:color="auto"/>
              <w:bottom w:val="single" w:sz="4" w:space="0" w:color="auto"/>
            </w:tcBorders>
          </w:tcPr>
          <w:p w14:paraId="2C9BC613"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Procedimiento para medición del flujo luminoso de deslumbramiento máximo para luminarios de</w:t>
            </w:r>
          </w:p>
          <w:p w14:paraId="6F0A9CD8"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vialidades y del porcentaje de flujo luminoso en la zona, respecto al flujo luminoso total para</w:t>
            </w:r>
          </w:p>
          <w:p w14:paraId="052FF16D"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luminarios de exteriores.</w:t>
            </w:r>
          </w:p>
        </w:tc>
        <w:tc>
          <w:tcPr>
            <w:tcW w:w="1417" w:type="dxa"/>
            <w:tcBorders>
              <w:top w:val="dashSmallGap" w:sz="4" w:space="0" w:color="auto"/>
              <w:bottom w:val="single" w:sz="4" w:space="0" w:color="auto"/>
            </w:tcBorders>
          </w:tcPr>
          <w:p w14:paraId="1B4D85E4" w14:textId="56046BA5" w:rsidR="00705A2E" w:rsidRPr="00A0362A" w:rsidRDefault="00A76C5A" w:rsidP="00263A41">
            <w:pPr>
              <w:suppressAutoHyphens w:val="0"/>
              <w:rPr>
                <w:rFonts w:cs="Calibri"/>
                <w:color w:val="auto"/>
                <w:sz w:val="18"/>
                <w:szCs w:val="18"/>
                <w:lang w:val="es-ES"/>
              </w:rPr>
            </w:pPr>
            <w:r w:rsidRPr="00A76C5A">
              <w:rPr>
                <w:rFonts w:cs="Calibri"/>
                <w:color w:val="auto"/>
                <w:sz w:val="18"/>
                <w:szCs w:val="18"/>
                <w:lang w:val="es-ES"/>
              </w:rPr>
              <w:t>EN ICE 62717</w:t>
            </w:r>
          </w:p>
        </w:tc>
        <w:tc>
          <w:tcPr>
            <w:tcW w:w="3402" w:type="dxa"/>
            <w:tcBorders>
              <w:top w:val="dashSmallGap" w:sz="4" w:space="0" w:color="auto"/>
              <w:bottom w:val="single" w:sz="4" w:space="0" w:color="auto"/>
            </w:tcBorders>
          </w:tcPr>
          <w:p w14:paraId="08164483" w14:textId="36573635" w:rsidR="00705A2E" w:rsidRPr="00A0362A" w:rsidRDefault="00A76C5A" w:rsidP="00263A41">
            <w:pPr>
              <w:suppressAutoHyphens w:val="0"/>
              <w:rPr>
                <w:rFonts w:cs="Calibri"/>
                <w:color w:val="auto"/>
                <w:sz w:val="18"/>
                <w:szCs w:val="18"/>
                <w:lang w:val="es-ES"/>
              </w:rPr>
            </w:pPr>
            <w:r>
              <w:rPr>
                <w:rFonts w:cs="Calibri"/>
                <w:color w:val="auto"/>
                <w:sz w:val="18"/>
                <w:szCs w:val="18"/>
                <w:lang w:val="es-ES"/>
              </w:rPr>
              <w:t>NEQ</w:t>
            </w:r>
          </w:p>
        </w:tc>
      </w:tr>
      <w:tr w:rsidR="00705A2E" w:rsidRPr="002931CD" w14:paraId="0EB85D45" w14:textId="77777777" w:rsidTr="00263A41">
        <w:trPr>
          <w:cantSplit/>
          <w:trHeight w:val="851"/>
        </w:trPr>
        <w:tc>
          <w:tcPr>
            <w:tcW w:w="1413" w:type="dxa"/>
            <w:tcBorders>
              <w:top w:val="dashSmallGap" w:sz="4" w:space="0" w:color="auto"/>
              <w:bottom w:val="single" w:sz="4" w:space="0" w:color="auto"/>
            </w:tcBorders>
          </w:tcPr>
          <w:p w14:paraId="4935562C" w14:textId="77777777" w:rsidR="00705A2E" w:rsidRPr="00A0362A" w:rsidRDefault="00705A2E" w:rsidP="00263A41">
            <w:pPr>
              <w:suppressAutoHyphens w:val="0"/>
              <w:rPr>
                <w:rFonts w:cs="Calibri"/>
                <w:b/>
                <w:color w:val="auto"/>
                <w:sz w:val="18"/>
                <w:szCs w:val="18"/>
                <w:lang w:val="es-ES"/>
              </w:rPr>
            </w:pPr>
          </w:p>
        </w:tc>
        <w:tc>
          <w:tcPr>
            <w:tcW w:w="3544" w:type="dxa"/>
            <w:tcBorders>
              <w:top w:val="dashSmallGap" w:sz="4" w:space="0" w:color="auto"/>
              <w:bottom w:val="single" w:sz="4" w:space="0" w:color="auto"/>
            </w:tcBorders>
          </w:tcPr>
          <w:p w14:paraId="1E37C182"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8.9 Ciclos de choque térmico y de conmutación</w:t>
            </w:r>
          </w:p>
        </w:tc>
        <w:tc>
          <w:tcPr>
            <w:tcW w:w="1275" w:type="dxa"/>
            <w:tcBorders>
              <w:top w:val="dashSmallGap" w:sz="4" w:space="0" w:color="auto"/>
              <w:bottom w:val="single" w:sz="4" w:space="0" w:color="auto"/>
            </w:tcBorders>
          </w:tcPr>
          <w:p w14:paraId="5C0764CD"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Apéndice C</w:t>
            </w:r>
          </w:p>
        </w:tc>
        <w:tc>
          <w:tcPr>
            <w:tcW w:w="3119" w:type="dxa"/>
            <w:tcBorders>
              <w:top w:val="dashSmallGap" w:sz="4" w:space="0" w:color="auto"/>
              <w:bottom w:val="single" w:sz="4" w:space="0" w:color="auto"/>
            </w:tcBorders>
          </w:tcPr>
          <w:p w14:paraId="22B2FEBE"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Prueba de resistencia al choque térmico y a la conmutación.</w:t>
            </w:r>
          </w:p>
        </w:tc>
        <w:tc>
          <w:tcPr>
            <w:tcW w:w="1417" w:type="dxa"/>
            <w:tcBorders>
              <w:top w:val="dashSmallGap" w:sz="4" w:space="0" w:color="auto"/>
              <w:bottom w:val="single" w:sz="4" w:space="0" w:color="auto"/>
            </w:tcBorders>
          </w:tcPr>
          <w:p w14:paraId="47E37293" w14:textId="7E015CE6" w:rsidR="00705A2E" w:rsidRPr="00A0362A" w:rsidRDefault="00A76C5A" w:rsidP="00263A41">
            <w:pPr>
              <w:suppressAutoHyphens w:val="0"/>
              <w:rPr>
                <w:rFonts w:cs="Calibri"/>
                <w:color w:val="auto"/>
                <w:sz w:val="18"/>
                <w:szCs w:val="18"/>
                <w:lang w:val="es-ES"/>
              </w:rPr>
            </w:pPr>
            <w:r w:rsidRPr="00A76C5A">
              <w:rPr>
                <w:rFonts w:cs="Calibri"/>
                <w:color w:val="auto"/>
                <w:sz w:val="18"/>
                <w:szCs w:val="18"/>
                <w:lang w:val="es-ES"/>
              </w:rPr>
              <w:t>EN ICE 62717</w:t>
            </w:r>
          </w:p>
        </w:tc>
        <w:tc>
          <w:tcPr>
            <w:tcW w:w="3402" w:type="dxa"/>
            <w:tcBorders>
              <w:top w:val="dashSmallGap" w:sz="4" w:space="0" w:color="auto"/>
              <w:bottom w:val="single" w:sz="4" w:space="0" w:color="auto"/>
            </w:tcBorders>
          </w:tcPr>
          <w:p w14:paraId="7BAF4A0A" w14:textId="55F41F43" w:rsidR="00705A2E" w:rsidRPr="00A0362A" w:rsidRDefault="00A76C5A" w:rsidP="00CA4BF7">
            <w:pPr>
              <w:suppressAutoHyphens w:val="0"/>
              <w:rPr>
                <w:rFonts w:cs="Calibri"/>
                <w:color w:val="auto"/>
                <w:sz w:val="18"/>
                <w:szCs w:val="18"/>
                <w:lang w:val="es-ES"/>
              </w:rPr>
            </w:pPr>
            <w:r>
              <w:rPr>
                <w:rFonts w:cs="Calibri"/>
                <w:color w:val="auto"/>
                <w:sz w:val="18"/>
                <w:szCs w:val="18"/>
                <w:lang w:val="es-ES"/>
              </w:rPr>
              <w:t>NEQ</w:t>
            </w:r>
          </w:p>
        </w:tc>
      </w:tr>
      <w:tr w:rsidR="00705A2E" w:rsidRPr="00A0362A" w14:paraId="734DC88D" w14:textId="77777777" w:rsidTr="00263A41">
        <w:trPr>
          <w:cantSplit/>
          <w:trHeight w:val="851"/>
        </w:trPr>
        <w:tc>
          <w:tcPr>
            <w:tcW w:w="1413" w:type="dxa"/>
            <w:tcBorders>
              <w:top w:val="dashSmallGap" w:sz="4" w:space="0" w:color="auto"/>
              <w:bottom w:val="single" w:sz="4" w:space="0" w:color="auto"/>
            </w:tcBorders>
          </w:tcPr>
          <w:p w14:paraId="51DEC874" w14:textId="77777777" w:rsidR="00705A2E" w:rsidRPr="00A0362A" w:rsidRDefault="00705A2E" w:rsidP="00263A41">
            <w:pPr>
              <w:suppressAutoHyphens w:val="0"/>
              <w:rPr>
                <w:rFonts w:cs="Calibri"/>
                <w:b/>
                <w:color w:val="auto"/>
                <w:sz w:val="18"/>
                <w:szCs w:val="18"/>
                <w:lang w:val="es-ES"/>
              </w:rPr>
            </w:pPr>
          </w:p>
        </w:tc>
        <w:tc>
          <w:tcPr>
            <w:tcW w:w="3544" w:type="dxa"/>
            <w:tcBorders>
              <w:top w:val="dashSmallGap" w:sz="4" w:space="0" w:color="auto"/>
              <w:bottom w:val="single" w:sz="4" w:space="0" w:color="auto"/>
            </w:tcBorders>
          </w:tcPr>
          <w:p w14:paraId="6ABCE04E"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8.10 Descargas atmosféricas</w:t>
            </w:r>
          </w:p>
        </w:tc>
        <w:tc>
          <w:tcPr>
            <w:tcW w:w="1275" w:type="dxa"/>
            <w:tcBorders>
              <w:top w:val="dashSmallGap" w:sz="4" w:space="0" w:color="auto"/>
              <w:bottom w:val="single" w:sz="4" w:space="0" w:color="auto"/>
            </w:tcBorders>
          </w:tcPr>
          <w:p w14:paraId="6AF60C31"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NMX-J-550/4-5-ANCE-2006</w:t>
            </w:r>
          </w:p>
          <w:p w14:paraId="7C3E974D"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reemplazada por</w:t>
            </w:r>
          </w:p>
          <w:p w14:paraId="083F6D92"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NMX J-610/4-5-ANCE-2013</w:t>
            </w:r>
          </w:p>
        </w:tc>
        <w:tc>
          <w:tcPr>
            <w:tcW w:w="3119" w:type="dxa"/>
            <w:tcBorders>
              <w:top w:val="dashSmallGap" w:sz="4" w:space="0" w:color="auto"/>
              <w:bottom w:val="single" w:sz="4" w:space="0" w:color="auto"/>
            </w:tcBorders>
          </w:tcPr>
          <w:p w14:paraId="045B329D"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 xml:space="preserve">Compatibilidad Electromagnética (EMC): Parte 4.5: Técnicas de prueba y medición - Pruebas de inmunidad a impulsos por maniobra o descarga atmosférica </w:t>
            </w:r>
          </w:p>
        </w:tc>
        <w:tc>
          <w:tcPr>
            <w:tcW w:w="1417" w:type="dxa"/>
            <w:tcBorders>
              <w:top w:val="dashSmallGap" w:sz="4" w:space="0" w:color="auto"/>
              <w:bottom w:val="single" w:sz="4" w:space="0" w:color="auto"/>
            </w:tcBorders>
          </w:tcPr>
          <w:p w14:paraId="39B169D5"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IEC 61000-4-5</w:t>
            </w:r>
          </w:p>
        </w:tc>
        <w:tc>
          <w:tcPr>
            <w:tcW w:w="3402" w:type="dxa"/>
            <w:tcBorders>
              <w:top w:val="dashSmallGap" w:sz="4" w:space="0" w:color="auto"/>
              <w:bottom w:val="single" w:sz="4" w:space="0" w:color="auto"/>
            </w:tcBorders>
          </w:tcPr>
          <w:p w14:paraId="6635DE14" w14:textId="77777777" w:rsidR="00705A2E" w:rsidRPr="00EE4ED3" w:rsidRDefault="00705A2E" w:rsidP="00263A41">
            <w:pPr>
              <w:suppressAutoHyphens w:val="0"/>
              <w:rPr>
                <w:rFonts w:cs="Calibri"/>
                <w:color w:val="auto"/>
                <w:sz w:val="18"/>
                <w:szCs w:val="18"/>
              </w:rPr>
            </w:pPr>
            <w:r w:rsidRPr="00EE4ED3">
              <w:rPr>
                <w:rFonts w:cs="Calibri"/>
                <w:color w:val="auto"/>
                <w:sz w:val="18"/>
                <w:szCs w:val="18"/>
              </w:rPr>
              <w:t>Electromagnetic compatibility (EMC) - Part 4-5: Testing and measurment technicques - Surge immunity test, ed.2.0 (2005-11)</w:t>
            </w:r>
          </w:p>
          <w:p w14:paraId="3B958CF8" w14:textId="77777777" w:rsidR="00705A2E" w:rsidRPr="00EE4ED3" w:rsidRDefault="00705A2E" w:rsidP="00263A41">
            <w:pPr>
              <w:suppressAutoHyphens w:val="0"/>
              <w:rPr>
                <w:rFonts w:cs="Calibri"/>
                <w:color w:val="auto"/>
                <w:sz w:val="18"/>
                <w:szCs w:val="18"/>
              </w:rPr>
            </w:pPr>
            <w:r w:rsidRPr="00EE4ED3">
              <w:rPr>
                <w:rFonts w:cs="Calibri"/>
                <w:color w:val="auto"/>
                <w:sz w:val="18"/>
                <w:szCs w:val="18"/>
              </w:rPr>
              <w:t>(coincidencia total)</w:t>
            </w:r>
          </w:p>
        </w:tc>
      </w:tr>
      <w:tr w:rsidR="00705A2E" w:rsidRPr="00A0362A" w14:paraId="370190FE" w14:textId="77777777" w:rsidTr="00263A41">
        <w:trPr>
          <w:cantSplit/>
          <w:trHeight w:val="851"/>
        </w:trPr>
        <w:tc>
          <w:tcPr>
            <w:tcW w:w="1413" w:type="dxa"/>
            <w:tcBorders>
              <w:top w:val="dashSmallGap" w:sz="4" w:space="0" w:color="auto"/>
              <w:bottom w:val="single" w:sz="4" w:space="0" w:color="auto"/>
            </w:tcBorders>
          </w:tcPr>
          <w:p w14:paraId="0A13CDD9" w14:textId="77777777" w:rsidR="00705A2E" w:rsidRPr="00A0362A" w:rsidRDefault="00705A2E" w:rsidP="00263A41">
            <w:pPr>
              <w:suppressAutoHyphens w:val="0"/>
              <w:rPr>
                <w:rFonts w:cs="Calibri"/>
                <w:b/>
                <w:color w:val="auto"/>
                <w:sz w:val="18"/>
                <w:szCs w:val="18"/>
              </w:rPr>
            </w:pPr>
          </w:p>
        </w:tc>
        <w:tc>
          <w:tcPr>
            <w:tcW w:w="3544" w:type="dxa"/>
            <w:tcBorders>
              <w:top w:val="dashSmallGap" w:sz="4" w:space="0" w:color="auto"/>
              <w:bottom w:val="single" w:sz="4" w:space="0" w:color="auto"/>
            </w:tcBorders>
          </w:tcPr>
          <w:p w14:paraId="34CCC4CA"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General</w:t>
            </w:r>
          </w:p>
        </w:tc>
        <w:tc>
          <w:tcPr>
            <w:tcW w:w="1275" w:type="dxa"/>
            <w:tcBorders>
              <w:top w:val="dashSmallGap" w:sz="4" w:space="0" w:color="auto"/>
              <w:bottom w:val="single" w:sz="4" w:space="0" w:color="auto"/>
            </w:tcBorders>
          </w:tcPr>
          <w:p w14:paraId="2EA653BF"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NMX-J-507/2-ANCE-2010</w:t>
            </w:r>
          </w:p>
        </w:tc>
        <w:tc>
          <w:tcPr>
            <w:tcW w:w="3119" w:type="dxa"/>
            <w:tcBorders>
              <w:top w:val="dashSmallGap" w:sz="4" w:space="0" w:color="auto"/>
              <w:bottom w:val="single" w:sz="4" w:space="0" w:color="auto"/>
            </w:tcBorders>
          </w:tcPr>
          <w:p w14:paraId="3DE7A279"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Iluminación - Fotometría para luminarios</w:t>
            </w:r>
          </w:p>
        </w:tc>
        <w:tc>
          <w:tcPr>
            <w:tcW w:w="1417" w:type="dxa"/>
            <w:tcBorders>
              <w:top w:val="dashSmallGap" w:sz="4" w:space="0" w:color="auto"/>
              <w:bottom w:val="single" w:sz="4" w:space="0" w:color="auto"/>
            </w:tcBorders>
          </w:tcPr>
          <w:p w14:paraId="7A50DEDC" w14:textId="77777777" w:rsidR="00705A2E" w:rsidRPr="00EE4ED3" w:rsidRDefault="00705A2E" w:rsidP="00263A41">
            <w:pPr>
              <w:suppressAutoHyphens w:val="0"/>
              <w:rPr>
                <w:rFonts w:cs="Calibri"/>
                <w:color w:val="auto"/>
                <w:sz w:val="18"/>
                <w:szCs w:val="18"/>
                <w:lang w:val="es-ES"/>
              </w:rPr>
            </w:pPr>
            <w:r w:rsidRPr="00EE4ED3">
              <w:rPr>
                <w:rFonts w:cs="Calibri"/>
                <w:color w:val="auto"/>
                <w:sz w:val="18"/>
                <w:szCs w:val="18"/>
                <w:lang w:val="es-ES"/>
              </w:rPr>
              <w:t>IEC 60081</w:t>
            </w:r>
          </w:p>
        </w:tc>
        <w:tc>
          <w:tcPr>
            <w:tcW w:w="3402" w:type="dxa"/>
            <w:tcBorders>
              <w:top w:val="dashSmallGap" w:sz="4" w:space="0" w:color="auto"/>
              <w:bottom w:val="single" w:sz="4" w:space="0" w:color="auto"/>
            </w:tcBorders>
          </w:tcPr>
          <w:p w14:paraId="0B829523" w14:textId="77777777" w:rsidR="00705A2E" w:rsidRPr="00EE4ED3" w:rsidRDefault="00705A2E" w:rsidP="00263A41">
            <w:pPr>
              <w:suppressAutoHyphens w:val="0"/>
              <w:rPr>
                <w:rFonts w:cs="Calibri"/>
                <w:color w:val="auto"/>
                <w:sz w:val="18"/>
                <w:szCs w:val="18"/>
              </w:rPr>
            </w:pPr>
            <w:r w:rsidRPr="00EE4ED3">
              <w:rPr>
                <w:rFonts w:cs="Calibri"/>
                <w:color w:val="auto"/>
                <w:sz w:val="18"/>
                <w:szCs w:val="18"/>
              </w:rPr>
              <w:t>Double-capped fluorescent lamps - Performance specifications , ed. 5.1 (2002-05)</w:t>
            </w:r>
          </w:p>
          <w:p w14:paraId="2BA012E4" w14:textId="77777777" w:rsidR="00705A2E" w:rsidRPr="00EE4ED3" w:rsidRDefault="00705A2E" w:rsidP="00263A41">
            <w:pPr>
              <w:suppressAutoHyphens w:val="0"/>
              <w:rPr>
                <w:rFonts w:cs="Calibri"/>
                <w:color w:val="auto"/>
                <w:sz w:val="18"/>
                <w:szCs w:val="18"/>
              </w:rPr>
            </w:pPr>
            <w:r w:rsidRPr="00EE4ED3">
              <w:rPr>
                <w:rFonts w:cs="Calibri"/>
                <w:color w:val="auto"/>
                <w:sz w:val="18"/>
                <w:szCs w:val="18"/>
              </w:rPr>
              <w:t>(coincidencia básica)</w:t>
            </w:r>
          </w:p>
        </w:tc>
      </w:tr>
    </w:tbl>
    <w:p w14:paraId="65DC25AC" w14:textId="77777777" w:rsidR="00322507" w:rsidRPr="00BF7375" w:rsidRDefault="00322507">
      <w:pPr>
        <w:suppressAutoHyphens w:val="0"/>
        <w:rPr>
          <w:lang w:val="es-ES"/>
        </w:rPr>
      </w:pPr>
    </w:p>
    <w:p w14:paraId="3498A92C" w14:textId="77777777" w:rsidR="00322507" w:rsidRPr="00BF7375" w:rsidRDefault="00322507">
      <w:pPr>
        <w:suppressAutoHyphens w:val="0"/>
        <w:rPr>
          <w:lang w:val="es-ES"/>
        </w:rPr>
      </w:pPr>
    </w:p>
    <w:p w14:paraId="1F4CBD0F" w14:textId="77777777" w:rsidR="009B1CC0" w:rsidRPr="00BF7375" w:rsidRDefault="009B1CC0">
      <w:pPr>
        <w:suppressAutoHyphens w:val="0"/>
        <w:rPr>
          <w:lang w:val="es-ES"/>
        </w:rPr>
        <w:sectPr w:rsidR="009B1CC0" w:rsidRPr="00BF7375" w:rsidSect="003419DB">
          <w:pgSz w:w="16838" w:h="11906" w:orient="landscape"/>
          <w:pgMar w:top="1701" w:right="1418" w:bottom="1701" w:left="993" w:header="708" w:footer="708" w:gutter="0"/>
          <w:cols w:space="720"/>
          <w:docGrid w:linePitch="299"/>
        </w:sectPr>
      </w:pPr>
    </w:p>
    <w:p w14:paraId="3F802A60" w14:textId="54C38644" w:rsidR="009B1CC0" w:rsidRPr="00316DB7" w:rsidRDefault="009B1CC0" w:rsidP="009B1CC0">
      <w:pPr>
        <w:pStyle w:val="Heading1"/>
        <w:numPr>
          <w:ilvl w:val="0"/>
          <w:numId w:val="0"/>
        </w:numPr>
        <w:rPr>
          <w:lang w:val="es-ES"/>
        </w:rPr>
      </w:pPr>
      <w:bookmarkStart w:id="83" w:name="_Toc516146047"/>
      <w:r w:rsidRPr="00316DB7">
        <w:rPr>
          <w:lang w:val="es-ES"/>
        </w:rPr>
        <w:t xml:space="preserve">Anexo </w:t>
      </w:r>
      <w:r>
        <w:rPr>
          <w:lang w:val="es-ES"/>
        </w:rPr>
        <w:t>11</w:t>
      </w:r>
      <w:r w:rsidRPr="00316DB7">
        <w:rPr>
          <w:lang w:val="es-ES"/>
        </w:rPr>
        <w:t xml:space="preserve"> – </w:t>
      </w:r>
      <w:r w:rsidR="006770F7">
        <w:rPr>
          <w:lang w:val="es-ES"/>
        </w:rPr>
        <w:t xml:space="preserve">Normas de medición ISO/IEC y NMX para </w:t>
      </w:r>
      <w:r w:rsidR="00ED21D3">
        <w:rPr>
          <w:lang w:val="es-ES"/>
        </w:rPr>
        <w:t>lámparas incandescentes</w:t>
      </w:r>
      <w:r w:rsidR="006770F7">
        <w:rPr>
          <w:lang w:val="es-ES"/>
        </w:rPr>
        <w:t xml:space="preserve"> </w:t>
      </w:r>
      <w:r w:rsidR="006770F7" w:rsidRPr="006770F7">
        <w:rPr>
          <w:lang w:val="es-ES"/>
        </w:rPr>
        <w:t>–</w:t>
      </w:r>
      <w:r w:rsidR="006770F7">
        <w:rPr>
          <w:lang w:val="es-ES"/>
        </w:rPr>
        <w:t xml:space="preserve"> normas referenciadas</w:t>
      </w:r>
      <w:bookmarkEnd w:id="83"/>
    </w:p>
    <w:p w14:paraId="6787DDB3" w14:textId="4B216910" w:rsidR="00124EF4" w:rsidRDefault="009D7626" w:rsidP="00124EF4">
      <w:pPr>
        <w:suppressAutoHyphens w:val="0"/>
        <w:autoSpaceDN/>
        <w:spacing w:before="0" w:after="140"/>
        <w:jc w:val="center"/>
        <w:textAlignment w:val="auto"/>
        <w:rPr>
          <w:rFonts w:cstheme="minorHAnsi"/>
          <w:color w:val="002B7F"/>
          <w:sz w:val="18"/>
          <w:lang w:val="es-PA"/>
        </w:rPr>
      </w:pPr>
      <w:r>
        <w:rPr>
          <w:rFonts w:cstheme="minorHAnsi"/>
          <w:color w:val="002B7F"/>
          <w:sz w:val="18"/>
          <w:lang w:val="es-PA"/>
        </w:rPr>
        <w:t>Nota: L</w:t>
      </w:r>
      <w:r w:rsidRPr="009D7626">
        <w:rPr>
          <w:rFonts w:cstheme="minorHAnsi"/>
          <w:color w:val="002B7F"/>
          <w:sz w:val="18"/>
          <w:lang w:val="es-PA"/>
        </w:rPr>
        <w:t>as siguientes tablas han sido compiladas con el máximo cuidado</w:t>
      </w:r>
      <w:r>
        <w:rPr>
          <w:rFonts w:cstheme="minorHAnsi"/>
          <w:color w:val="002B7F"/>
          <w:sz w:val="18"/>
          <w:lang w:val="es-PA"/>
        </w:rPr>
        <w:t>. Sin embargo, el autor no puede garantizar la integridad y actuali</w:t>
      </w:r>
      <w:r w:rsidR="00AE2C38">
        <w:rPr>
          <w:rFonts w:cstheme="minorHAnsi"/>
          <w:color w:val="002B7F"/>
          <w:sz w:val="18"/>
          <w:lang w:val="es-PA"/>
        </w:rPr>
        <w:t>dad</w:t>
      </w:r>
      <w:r>
        <w:rPr>
          <w:rFonts w:cstheme="minorHAnsi"/>
          <w:color w:val="002B7F"/>
          <w:sz w:val="18"/>
          <w:lang w:val="es-PA"/>
        </w:rPr>
        <w:t xml:space="preserve"> de la información.</w:t>
      </w:r>
    </w:p>
    <w:p w14:paraId="6BDEF834" w14:textId="047427F1" w:rsidR="004167F5" w:rsidRDefault="004167F5" w:rsidP="004167F5">
      <w:pPr>
        <w:pStyle w:val="Caption"/>
        <w:spacing w:after="0"/>
        <w:rPr>
          <w:lang w:val="es-ES"/>
        </w:rPr>
      </w:pPr>
      <w:r w:rsidRPr="00387BD7">
        <w:rPr>
          <w:lang w:val="es-ES"/>
        </w:rPr>
        <w:t>Lámparas</w:t>
      </w:r>
      <w:r w:rsidRPr="00F87425">
        <w:rPr>
          <w:lang w:val="es-ES"/>
        </w:rPr>
        <w:t xml:space="preserve"> incandescentes</w:t>
      </w:r>
    </w:p>
    <w:p w14:paraId="265B1647" w14:textId="4462CEBD" w:rsidR="00A41D3B" w:rsidRPr="00A41D3B" w:rsidRDefault="004167F5" w:rsidP="00A41D3B">
      <w:pPr>
        <w:spacing w:before="0" w:after="140"/>
        <w:jc w:val="center"/>
        <w:rPr>
          <w:rFonts w:cstheme="minorHAnsi"/>
          <w:color w:val="002B7F"/>
          <w:sz w:val="18"/>
          <w:lang w:val="es-PA"/>
        </w:rPr>
      </w:pPr>
      <w:r w:rsidRPr="00A96F74">
        <w:rPr>
          <w:i/>
          <w:color w:val="002B7F"/>
          <w:sz w:val="18"/>
          <w:lang w:val="es-ES"/>
        </w:rPr>
        <w:t>Fuente:</w:t>
      </w:r>
      <w:r w:rsidRPr="00E2630F">
        <w:rPr>
          <w:lang w:val="es-ES"/>
        </w:rPr>
        <w:t xml:space="preserve"> </w:t>
      </w:r>
      <w:r w:rsidRPr="00E2630F">
        <w:rPr>
          <w:rFonts w:cstheme="minorHAnsi"/>
          <w:color w:val="002B7F"/>
          <w:sz w:val="18"/>
          <w:lang w:val="es-PA"/>
        </w:rPr>
        <w:t xml:space="preserve">Elaboración propia en base de </w:t>
      </w:r>
      <w:r>
        <w:rPr>
          <w:rFonts w:cstheme="minorHAnsi"/>
          <w:color w:val="002B7F"/>
          <w:sz w:val="18"/>
          <w:lang w:val="es-PA"/>
        </w:rPr>
        <w:t>las normas mencionadas</w:t>
      </w:r>
    </w:p>
    <w:tbl>
      <w:tblPr>
        <w:tblW w:w="5000" w:type="pct"/>
        <w:jc w:val="center"/>
        <w:tblCellMar>
          <w:left w:w="10" w:type="dxa"/>
          <w:right w:w="10" w:type="dxa"/>
        </w:tblCellMar>
        <w:tblLook w:val="0000" w:firstRow="0" w:lastRow="0" w:firstColumn="0" w:lastColumn="0" w:noHBand="0" w:noVBand="0"/>
      </w:tblPr>
      <w:tblGrid>
        <w:gridCol w:w="1410"/>
        <w:gridCol w:w="2835"/>
        <w:gridCol w:w="1701"/>
        <w:gridCol w:w="2550"/>
      </w:tblGrid>
      <w:tr w:rsidR="00ED0386" w:rsidRPr="00130C34" w14:paraId="5ED16C6F" w14:textId="77777777" w:rsidTr="003774BC">
        <w:trPr>
          <w:jc w:val="center"/>
        </w:trPr>
        <w:tc>
          <w:tcPr>
            <w:tcW w:w="4245" w:type="dxa"/>
            <w:gridSpan w:val="2"/>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17A317F1" w14:textId="6AD2953B" w:rsidR="00ED0386" w:rsidRPr="00130C34" w:rsidRDefault="009B6D93" w:rsidP="009B6D93">
            <w:pPr>
              <w:suppressAutoHyphens w:val="0"/>
              <w:spacing w:before="0" w:after="0"/>
              <w:jc w:val="center"/>
              <w:textAlignment w:val="auto"/>
              <w:rPr>
                <w:rFonts w:eastAsia="Times New Roman"/>
                <w:color w:val="FFFFFF" w:themeColor="background1"/>
                <w:lang w:val="es-ES"/>
              </w:rPr>
            </w:pPr>
            <w:r>
              <w:rPr>
                <w:rFonts w:eastAsia="Times New Roman"/>
                <w:b/>
                <w:color w:val="FFFFFF" w:themeColor="background1"/>
                <w:lang w:val="es-ES"/>
              </w:rPr>
              <w:t>IEC</w:t>
            </w:r>
            <w:r w:rsidR="00ED0386" w:rsidRPr="00DD7689">
              <w:rPr>
                <w:rFonts w:eastAsia="Times New Roman"/>
                <w:b/>
                <w:color w:val="FFFFFF" w:themeColor="background1"/>
                <w:lang w:val="es-ES"/>
              </w:rPr>
              <w:t xml:space="preserve"> 60</w:t>
            </w:r>
            <w:r w:rsidR="003774BC">
              <w:rPr>
                <w:rFonts w:eastAsia="Times New Roman"/>
                <w:b/>
                <w:color w:val="FFFFFF" w:themeColor="background1"/>
                <w:lang w:val="es-ES"/>
              </w:rPr>
              <w:t>064:</w:t>
            </w:r>
            <w:r w:rsidR="00ED0386" w:rsidRPr="00DD7689">
              <w:rPr>
                <w:rFonts w:eastAsia="Times New Roman"/>
                <w:b/>
                <w:color w:val="FFFFFF" w:themeColor="background1"/>
                <w:lang w:val="es-ES"/>
              </w:rPr>
              <w:t>199</w:t>
            </w:r>
            <w:r>
              <w:rPr>
                <w:rFonts w:eastAsia="Times New Roman"/>
                <w:b/>
                <w:color w:val="FFFFFF" w:themeColor="background1"/>
                <w:lang w:val="es-ES"/>
              </w:rPr>
              <w:t>3</w:t>
            </w:r>
            <w:r w:rsidR="002354BD">
              <w:rPr>
                <w:rFonts w:eastAsia="Times New Roman"/>
                <w:b/>
                <w:color w:val="FFFFFF" w:themeColor="background1"/>
                <w:lang w:val="es-ES"/>
              </w:rPr>
              <w:t>/</w:t>
            </w:r>
            <w:r w:rsidR="00ED0386" w:rsidRPr="00AB4E4D">
              <w:rPr>
                <w:rFonts w:eastAsia="Times New Roman"/>
                <w:b/>
                <w:color w:val="FFFFFF" w:themeColor="background1"/>
                <w:lang w:val="es-ES"/>
              </w:rPr>
              <w:t>A</w:t>
            </w:r>
            <w:r>
              <w:rPr>
                <w:rFonts w:eastAsia="Times New Roman"/>
                <w:b/>
                <w:color w:val="FFFFFF" w:themeColor="background1"/>
                <w:lang w:val="es-ES"/>
              </w:rPr>
              <w:t>5</w:t>
            </w:r>
            <w:r w:rsidR="002354BD" w:rsidRPr="00AB4E4D">
              <w:rPr>
                <w:rFonts w:eastAsia="Times New Roman"/>
                <w:b/>
                <w:color w:val="FFFFFF" w:themeColor="background1"/>
                <w:lang w:val="es-ES"/>
              </w:rPr>
              <w:t>:</w:t>
            </w:r>
            <w:r w:rsidR="003774BC" w:rsidRPr="00AB4E4D">
              <w:rPr>
                <w:rFonts w:eastAsia="Times New Roman"/>
                <w:b/>
                <w:color w:val="FFFFFF" w:themeColor="background1"/>
                <w:lang w:val="es-ES"/>
              </w:rPr>
              <w:t>2009</w:t>
            </w:r>
          </w:p>
        </w:tc>
        <w:tc>
          <w:tcPr>
            <w:tcW w:w="4251" w:type="dxa"/>
            <w:gridSpan w:val="2"/>
            <w:tcBorders>
              <w:top w:val="single" w:sz="6" w:space="0" w:color="5B9BD5"/>
              <w:bottom w:val="single" w:sz="6" w:space="0" w:color="5B9BD5"/>
            </w:tcBorders>
            <w:shd w:val="clear" w:color="auto" w:fill="5B9BD5"/>
            <w:tcMar>
              <w:top w:w="0" w:type="dxa"/>
              <w:left w:w="108" w:type="dxa"/>
              <w:bottom w:w="0" w:type="dxa"/>
              <w:right w:w="108" w:type="dxa"/>
            </w:tcMar>
          </w:tcPr>
          <w:p w14:paraId="66DA468D" w14:textId="4CA94F76" w:rsidR="00ED0386" w:rsidRPr="00130C34" w:rsidRDefault="00ED0386" w:rsidP="00ED0386">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NMX-J-019-ANCE-2011</w:t>
            </w:r>
          </w:p>
        </w:tc>
      </w:tr>
      <w:tr w:rsidR="00ED0386" w:rsidRPr="00914127" w14:paraId="1ED66071" w14:textId="77777777" w:rsidTr="003774BC">
        <w:trPr>
          <w:jc w:val="center"/>
        </w:trPr>
        <w:tc>
          <w:tcPr>
            <w:tcW w:w="4245" w:type="dxa"/>
            <w:gridSpan w:val="2"/>
            <w:tcBorders>
              <w:top w:val="single" w:sz="6" w:space="0" w:color="5B9BD5"/>
              <w:left w:val="single" w:sz="6" w:space="0" w:color="5B9BD5"/>
              <w:bottom w:val="single" w:sz="6" w:space="0" w:color="5B9BD5"/>
            </w:tcBorders>
            <w:shd w:val="clear" w:color="auto" w:fill="9CC2E5"/>
            <w:tcMar>
              <w:top w:w="0" w:type="dxa"/>
              <w:left w:w="108" w:type="dxa"/>
              <w:bottom w:w="0" w:type="dxa"/>
              <w:right w:w="108" w:type="dxa"/>
            </w:tcMar>
          </w:tcPr>
          <w:p w14:paraId="78217783" w14:textId="487CF95C" w:rsidR="00ED0386" w:rsidRPr="003774BC" w:rsidRDefault="003774BC" w:rsidP="003774BC">
            <w:pPr>
              <w:suppressAutoHyphens w:val="0"/>
              <w:spacing w:before="0" w:after="0"/>
              <w:jc w:val="center"/>
              <w:textAlignment w:val="auto"/>
              <w:rPr>
                <w:rFonts w:eastAsia="Times New Roman"/>
                <w:b/>
                <w:color w:val="FFFFFF" w:themeColor="background1"/>
                <w:lang w:val="en-US"/>
              </w:rPr>
            </w:pPr>
            <w:r w:rsidRPr="003774BC">
              <w:rPr>
                <w:rFonts w:eastAsia="Times New Roman"/>
                <w:b/>
                <w:color w:val="FFFFFF" w:themeColor="background1"/>
                <w:lang w:val="en-US"/>
              </w:rPr>
              <w:t>Tungsten filament lamps for domestic and similar general lighting purposes</w:t>
            </w:r>
            <w:r>
              <w:rPr>
                <w:rFonts w:eastAsia="Times New Roman"/>
                <w:b/>
                <w:color w:val="FFFFFF" w:themeColor="background1"/>
                <w:lang w:val="en-US"/>
              </w:rPr>
              <w:t xml:space="preserve"> </w:t>
            </w:r>
            <w:r w:rsidRPr="003774BC">
              <w:rPr>
                <w:rFonts w:eastAsia="Times New Roman"/>
                <w:b/>
                <w:color w:val="FFFFFF" w:themeColor="background1"/>
                <w:lang w:val="en-US"/>
              </w:rPr>
              <w:t>–</w:t>
            </w:r>
            <w:r>
              <w:rPr>
                <w:rFonts w:eastAsia="Times New Roman"/>
                <w:b/>
                <w:color w:val="FFFFFF" w:themeColor="background1"/>
                <w:lang w:val="en-US"/>
              </w:rPr>
              <w:t xml:space="preserve"> Performance requirements</w:t>
            </w:r>
          </w:p>
        </w:tc>
        <w:tc>
          <w:tcPr>
            <w:tcW w:w="4251" w:type="dxa"/>
            <w:gridSpan w:val="2"/>
            <w:tcBorders>
              <w:top w:val="single" w:sz="6" w:space="0" w:color="5B9BD5"/>
              <w:bottom w:val="single" w:sz="6" w:space="0" w:color="5B9BD5"/>
            </w:tcBorders>
            <w:shd w:val="clear" w:color="auto" w:fill="9CC2E5"/>
            <w:tcMar>
              <w:top w:w="0" w:type="dxa"/>
              <w:left w:w="108" w:type="dxa"/>
              <w:bottom w:w="0" w:type="dxa"/>
              <w:right w:w="108" w:type="dxa"/>
            </w:tcMar>
          </w:tcPr>
          <w:p w14:paraId="36F2E20A" w14:textId="3019D0A8" w:rsidR="00ED0386" w:rsidRDefault="00ED0386" w:rsidP="003774BC">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 xml:space="preserve">Iluminación </w:t>
            </w:r>
            <w:r w:rsidRPr="00DD7689">
              <w:rPr>
                <w:rFonts w:cs="Calibri"/>
                <w:b/>
                <w:bCs/>
                <w:color w:val="FFFFFF" w:themeColor="background1"/>
                <w:lang w:val="es-PA"/>
              </w:rPr>
              <w:t>–</w:t>
            </w:r>
            <w:r>
              <w:rPr>
                <w:rFonts w:cs="Calibri"/>
                <w:b/>
                <w:bCs/>
                <w:color w:val="FFFFFF" w:themeColor="background1"/>
                <w:lang w:val="es-PA"/>
              </w:rPr>
              <w:t xml:space="preserve"> </w:t>
            </w:r>
            <w:r w:rsidR="003774BC">
              <w:rPr>
                <w:rFonts w:cs="Calibri"/>
                <w:b/>
                <w:bCs/>
                <w:color w:val="FFFFFF" w:themeColor="background1"/>
                <w:lang w:val="es-PA"/>
              </w:rPr>
              <w:t>L</w:t>
            </w:r>
            <w:r>
              <w:rPr>
                <w:rFonts w:cs="Calibri"/>
                <w:b/>
                <w:bCs/>
                <w:color w:val="FFFFFF" w:themeColor="background1"/>
                <w:lang w:val="es-PA"/>
              </w:rPr>
              <w:t xml:space="preserve">ámparas </w:t>
            </w:r>
            <w:r w:rsidR="003774BC">
              <w:rPr>
                <w:rFonts w:cs="Calibri"/>
                <w:b/>
                <w:bCs/>
                <w:color w:val="FFFFFF" w:themeColor="background1"/>
                <w:lang w:val="es-PA"/>
              </w:rPr>
              <w:t xml:space="preserve">incandescentes de filamento metálico para alumbrado general </w:t>
            </w:r>
            <w:r w:rsidRPr="00DD7689">
              <w:rPr>
                <w:rFonts w:cs="Calibri"/>
                <w:b/>
                <w:bCs/>
                <w:color w:val="FFFFFF" w:themeColor="background1"/>
                <w:lang w:val="es-PA"/>
              </w:rPr>
              <w:t>–</w:t>
            </w:r>
            <w:r>
              <w:rPr>
                <w:rFonts w:cs="Calibri"/>
                <w:b/>
                <w:bCs/>
                <w:color w:val="FFFFFF" w:themeColor="background1"/>
                <w:lang w:val="es-PA"/>
              </w:rPr>
              <w:t xml:space="preserve"> </w:t>
            </w:r>
            <w:r w:rsidR="003774BC">
              <w:rPr>
                <w:rFonts w:cs="Calibri"/>
                <w:b/>
                <w:bCs/>
                <w:color w:val="FFFFFF" w:themeColor="background1"/>
                <w:lang w:val="es-PA"/>
              </w:rPr>
              <w:t>E</w:t>
            </w:r>
            <w:r>
              <w:rPr>
                <w:rFonts w:cs="Calibri"/>
                <w:b/>
                <w:bCs/>
                <w:color w:val="FFFFFF" w:themeColor="background1"/>
                <w:lang w:val="es-PA"/>
              </w:rPr>
              <w:t xml:space="preserve">specificaciones y métodos de prueba  </w:t>
            </w:r>
          </w:p>
        </w:tc>
      </w:tr>
      <w:tr w:rsidR="00ED0386" w:rsidRPr="00914127" w14:paraId="467F1588" w14:textId="77777777" w:rsidTr="003774BC">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13E9B7B" w14:textId="2DB56CF0" w:rsidR="00ED0386" w:rsidRPr="00F12B62" w:rsidRDefault="00ED3D0A" w:rsidP="003774BC">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IEC 60038:1983</w:t>
            </w:r>
          </w:p>
        </w:tc>
        <w:tc>
          <w:tcPr>
            <w:tcW w:w="2835"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79DF7BA5" w14:textId="7272D5BA" w:rsidR="00ED0386" w:rsidRPr="00DD7689" w:rsidRDefault="00A41D3B" w:rsidP="003774BC">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IEC standard voltages</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D977177" w14:textId="7024533C" w:rsidR="00ED0386" w:rsidRPr="00F12B62" w:rsidRDefault="00ED0386" w:rsidP="00ED0386">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NMX-J-352-ANCE-2010</w:t>
            </w:r>
          </w:p>
        </w:tc>
        <w:tc>
          <w:tcPr>
            <w:tcW w:w="2550" w:type="dxa"/>
            <w:tcBorders>
              <w:top w:val="single" w:sz="6" w:space="0" w:color="9CC2E5"/>
              <w:left w:val="single" w:sz="6" w:space="0" w:color="9CC2E5"/>
              <w:bottom w:val="single" w:sz="6" w:space="0" w:color="9CC2E5"/>
              <w:right w:val="single" w:sz="6" w:space="0" w:color="9CC2E5"/>
            </w:tcBorders>
          </w:tcPr>
          <w:p w14:paraId="05E893E9" w14:textId="00EE52C3" w:rsidR="00ED0386" w:rsidRPr="003774BC" w:rsidRDefault="003774BC" w:rsidP="003774BC">
            <w:pPr>
              <w:suppressAutoHyphens w:val="0"/>
              <w:spacing w:before="0" w:after="0"/>
              <w:jc w:val="left"/>
              <w:textAlignment w:val="auto"/>
              <w:rPr>
                <w:rFonts w:asciiTheme="minorHAnsi" w:eastAsia="Times New Roman" w:hAnsiTheme="minorHAnsi" w:cstheme="minorHAnsi"/>
                <w:sz w:val="20"/>
                <w:szCs w:val="20"/>
                <w:lang w:val="es-ES"/>
              </w:rPr>
            </w:pPr>
            <w:r w:rsidRPr="003774BC">
              <w:rPr>
                <w:rFonts w:asciiTheme="minorHAnsi" w:eastAsia="Times New Roman" w:hAnsiTheme="minorHAnsi" w:cstheme="minorHAnsi"/>
                <w:sz w:val="20"/>
                <w:szCs w:val="20"/>
                <w:lang w:val="es-ES"/>
              </w:rPr>
              <w:t>Iluminación –</w:t>
            </w:r>
            <w:r>
              <w:rPr>
                <w:rFonts w:asciiTheme="minorHAnsi" w:eastAsia="Times New Roman" w:hAnsiTheme="minorHAnsi" w:cstheme="minorHAnsi"/>
                <w:sz w:val="20"/>
                <w:szCs w:val="20"/>
                <w:lang w:val="es-ES"/>
              </w:rPr>
              <w:t xml:space="preserve"> B</w:t>
            </w:r>
            <w:r w:rsidRPr="003774BC">
              <w:rPr>
                <w:rFonts w:asciiTheme="minorHAnsi" w:eastAsia="Times New Roman" w:hAnsiTheme="minorHAnsi" w:cstheme="minorHAnsi"/>
                <w:sz w:val="20"/>
                <w:szCs w:val="20"/>
                <w:lang w:val="es-ES"/>
              </w:rPr>
              <w:t>ases roscadas tipo Edison y sus verificaciones</w:t>
            </w:r>
          </w:p>
        </w:tc>
      </w:tr>
      <w:tr w:rsidR="00ED0386" w:rsidRPr="001F1C6F" w14:paraId="3243B35E" w14:textId="77777777" w:rsidTr="003774BC">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469CB9D" w14:textId="5D8C8D05" w:rsidR="00ED0386" w:rsidRPr="003774BC" w:rsidRDefault="00ED3D0A" w:rsidP="003774BC">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IEC 60061</w:t>
            </w: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9B50B45" w14:textId="4DD10306" w:rsidR="00ED0386" w:rsidRPr="00A41D3B" w:rsidRDefault="00A41D3B" w:rsidP="003774BC">
            <w:pPr>
              <w:suppressAutoHyphens w:val="0"/>
              <w:spacing w:before="0" w:after="0"/>
              <w:jc w:val="left"/>
              <w:textAlignment w:val="auto"/>
              <w:rPr>
                <w:rFonts w:asciiTheme="minorHAnsi" w:eastAsia="Times New Roman" w:hAnsiTheme="minorHAnsi" w:cstheme="minorHAnsi"/>
                <w:sz w:val="20"/>
                <w:szCs w:val="20"/>
                <w:lang w:val="en-US"/>
              </w:rPr>
            </w:pPr>
            <w:r w:rsidRPr="00A41D3B">
              <w:rPr>
                <w:rFonts w:asciiTheme="minorHAnsi" w:eastAsia="Times New Roman" w:hAnsiTheme="minorHAnsi" w:cstheme="minorHAnsi"/>
                <w:sz w:val="20"/>
                <w:szCs w:val="20"/>
                <w:lang w:val="en-US"/>
              </w:rPr>
              <w:t>Lamp caps and holders together with gauges for the control of interchangeability and safety</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17E299C" w14:textId="5694579A" w:rsidR="00ED0386" w:rsidRPr="00992D03" w:rsidRDefault="00ED0386" w:rsidP="003774BC">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NMX-J-619-ANCE-2009</w:t>
            </w:r>
          </w:p>
        </w:tc>
        <w:tc>
          <w:tcPr>
            <w:tcW w:w="2550" w:type="dxa"/>
            <w:tcBorders>
              <w:top w:val="single" w:sz="6" w:space="0" w:color="9CC2E5"/>
              <w:left w:val="single" w:sz="6" w:space="0" w:color="9CC2E5"/>
              <w:bottom w:val="single" w:sz="6" w:space="0" w:color="9CC2E5"/>
              <w:right w:val="single" w:sz="6" w:space="0" w:color="9CC2E5"/>
            </w:tcBorders>
            <w:shd w:val="clear" w:color="auto" w:fill="DEEAF6"/>
          </w:tcPr>
          <w:p w14:paraId="100F33D2" w14:textId="5D67975C" w:rsidR="00ED0386" w:rsidRPr="00F12B62" w:rsidRDefault="003774BC" w:rsidP="003774BC">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Iluminación </w:t>
            </w:r>
            <w:r w:rsidRPr="003774BC">
              <w:rPr>
                <w:rFonts w:asciiTheme="minorHAnsi" w:eastAsia="Times New Roman" w:hAnsiTheme="minorHAnsi" w:cstheme="minorHAnsi"/>
                <w:sz w:val="20"/>
                <w:szCs w:val="20"/>
              </w:rPr>
              <w:t>–</w:t>
            </w:r>
            <w:r>
              <w:rPr>
                <w:rFonts w:asciiTheme="minorHAnsi" w:eastAsia="Times New Roman" w:hAnsiTheme="minorHAnsi" w:cstheme="minorHAnsi"/>
                <w:sz w:val="20"/>
                <w:szCs w:val="20"/>
              </w:rPr>
              <w:t xml:space="preserve"> Definiciones y terminología</w:t>
            </w:r>
          </w:p>
        </w:tc>
      </w:tr>
      <w:tr w:rsidR="00ED0386" w:rsidRPr="001F1C6F" w14:paraId="5A11681A" w14:textId="77777777" w:rsidTr="00ED0386">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A5A4E5C" w14:textId="77CC6D03" w:rsidR="00ED0386" w:rsidRPr="00992D03" w:rsidRDefault="00ED3D0A" w:rsidP="003774BC">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IEC </w:t>
            </w:r>
            <w:r w:rsidR="00A41D3B">
              <w:rPr>
                <w:rFonts w:asciiTheme="minorHAnsi" w:eastAsia="Times New Roman" w:hAnsiTheme="minorHAnsi" w:cstheme="minorHAnsi"/>
                <w:sz w:val="20"/>
                <w:szCs w:val="20"/>
              </w:rPr>
              <w:t>60432-1:1993</w:t>
            </w: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57CDDFC" w14:textId="71A50747" w:rsidR="00ED0386" w:rsidRPr="00992D03" w:rsidRDefault="00A41D3B" w:rsidP="003774BC">
            <w:pPr>
              <w:suppressAutoHyphens w:val="0"/>
              <w:spacing w:before="0" w:after="0"/>
              <w:jc w:val="left"/>
              <w:textAlignment w:val="auto"/>
              <w:rPr>
                <w:rFonts w:asciiTheme="minorHAnsi" w:eastAsia="Times New Roman" w:hAnsiTheme="minorHAnsi" w:cstheme="minorHAnsi"/>
                <w:sz w:val="20"/>
                <w:szCs w:val="20"/>
              </w:rPr>
            </w:pPr>
            <w:r w:rsidRPr="00A41D3B">
              <w:rPr>
                <w:rFonts w:asciiTheme="minorHAnsi" w:eastAsia="Times New Roman" w:hAnsiTheme="minorHAnsi" w:cstheme="minorHAnsi"/>
                <w:sz w:val="20"/>
                <w:szCs w:val="20"/>
              </w:rPr>
              <w:t>Incandescent lamps - Safety specifications - Part 1: Tungsten filament lamps for domestic and similar general lighting purposes</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25D0017" w14:textId="41413B3C" w:rsidR="00ED0386" w:rsidRPr="00992D03" w:rsidRDefault="00ED0386" w:rsidP="003774BC">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IEC 60064 ed.6.3 2005</w:t>
            </w:r>
          </w:p>
        </w:tc>
        <w:tc>
          <w:tcPr>
            <w:tcW w:w="2550" w:type="dxa"/>
            <w:tcBorders>
              <w:top w:val="single" w:sz="6" w:space="0" w:color="9CC2E5"/>
              <w:left w:val="single" w:sz="6" w:space="0" w:color="9CC2E5"/>
              <w:bottom w:val="single" w:sz="6" w:space="0" w:color="9CC2E5"/>
              <w:right w:val="single" w:sz="6" w:space="0" w:color="9CC2E5"/>
            </w:tcBorders>
            <w:shd w:val="clear" w:color="auto" w:fill="auto"/>
          </w:tcPr>
          <w:p w14:paraId="44D92947" w14:textId="0DE670FB" w:rsidR="00ED0386" w:rsidRPr="00F12B62" w:rsidRDefault="003774BC" w:rsidP="003774BC">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Tungsten filament lamps for domestic and similar general lighting purposes </w:t>
            </w:r>
            <w:r w:rsidRPr="003774BC">
              <w:rPr>
                <w:rFonts w:asciiTheme="minorHAnsi" w:eastAsia="Times New Roman" w:hAnsiTheme="minorHAnsi" w:cstheme="minorHAnsi"/>
                <w:sz w:val="20"/>
                <w:szCs w:val="20"/>
              </w:rPr>
              <w:t>–</w:t>
            </w:r>
            <w:r>
              <w:rPr>
                <w:rFonts w:asciiTheme="minorHAnsi" w:eastAsia="Times New Roman" w:hAnsiTheme="minorHAnsi" w:cstheme="minorHAnsi"/>
                <w:sz w:val="20"/>
                <w:szCs w:val="20"/>
              </w:rPr>
              <w:t xml:space="preserve"> Performance requirements</w:t>
            </w:r>
          </w:p>
        </w:tc>
      </w:tr>
      <w:tr w:rsidR="00A41D3B" w:rsidRPr="001F1C6F" w14:paraId="79E4E91D" w14:textId="77777777" w:rsidTr="009D7626">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7FD74B7" w14:textId="66224C77" w:rsidR="00A41D3B" w:rsidRDefault="00A41D3B" w:rsidP="00A41D3B">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IEC 60630</w:t>
            </w: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1738167" w14:textId="0199F161" w:rsidR="00A41D3B" w:rsidRPr="00992D03" w:rsidRDefault="00A41D3B" w:rsidP="003774BC">
            <w:pPr>
              <w:suppressAutoHyphens w:val="0"/>
              <w:spacing w:before="0" w:after="0"/>
              <w:jc w:val="left"/>
              <w:textAlignment w:val="auto"/>
              <w:rPr>
                <w:rFonts w:asciiTheme="minorHAnsi" w:eastAsia="Times New Roman" w:hAnsiTheme="minorHAnsi" w:cstheme="minorHAnsi"/>
                <w:sz w:val="20"/>
                <w:szCs w:val="20"/>
              </w:rPr>
            </w:pPr>
            <w:r w:rsidRPr="00A41D3B">
              <w:rPr>
                <w:rFonts w:asciiTheme="minorHAnsi" w:eastAsia="Times New Roman" w:hAnsiTheme="minorHAnsi" w:cstheme="minorHAnsi"/>
                <w:sz w:val="20"/>
                <w:szCs w:val="20"/>
              </w:rPr>
              <w:t>Maximum lamp outlines for incandescent lamps</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737F5A1" w14:textId="77777777" w:rsidR="00A41D3B" w:rsidRDefault="00A41D3B" w:rsidP="003774BC">
            <w:pPr>
              <w:suppressAutoHyphens w:val="0"/>
              <w:spacing w:before="0" w:after="0"/>
              <w:jc w:val="left"/>
              <w:textAlignment w:val="auto"/>
              <w:rPr>
                <w:rFonts w:asciiTheme="minorHAnsi" w:eastAsia="Times New Roman" w:hAnsiTheme="minorHAnsi" w:cstheme="minorHAnsi"/>
                <w:sz w:val="20"/>
                <w:szCs w:val="20"/>
              </w:rPr>
            </w:pPr>
          </w:p>
        </w:tc>
        <w:tc>
          <w:tcPr>
            <w:tcW w:w="2550" w:type="dxa"/>
            <w:tcBorders>
              <w:top w:val="single" w:sz="6" w:space="0" w:color="9CC2E5"/>
              <w:left w:val="single" w:sz="6" w:space="0" w:color="9CC2E5"/>
              <w:bottom w:val="single" w:sz="6" w:space="0" w:color="9CC2E5"/>
              <w:right w:val="single" w:sz="6" w:space="0" w:color="9CC2E5"/>
            </w:tcBorders>
            <w:shd w:val="clear" w:color="auto" w:fill="DEEAF6"/>
          </w:tcPr>
          <w:p w14:paraId="48D6F795" w14:textId="77777777" w:rsidR="00A41D3B" w:rsidRDefault="00A41D3B" w:rsidP="003774BC">
            <w:pPr>
              <w:suppressAutoHyphens w:val="0"/>
              <w:spacing w:before="0" w:after="0"/>
              <w:jc w:val="left"/>
              <w:textAlignment w:val="auto"/>
              <w:rPr>
                <w:rFonts w:asciiTheme="minorHAnsi" w:eastAsia="Times New Roman" w:hAnsiTheme="minorHAnsi" w:cstheme="minorHAnsi"/>
                <w:sz w:val="20"/>
                <w:szCs w:val="20"/>
              </w:rPr>
            </w:pPr>
          </w:p>
        </w:tc>
      </w:tr>
      <w:tr w:rsidR="00A41D3B" w:rsidRPr="001F1C6F" w14:paraId="2C8797C6" w14:textId="77777777" w:rsidTr="00ED0386">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E7A0902" w14:textId="5C684851" w:rsidR="00A41D3B" w:rsidRDefault="00A41D3B" w:rsidP="00A41D3B">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IEC 60887</w:t>
            </w: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AB86F63" w14:textId="0377D4D1" w:rsidR="00A41D3B" w:rsidRPr="00992D03" w:rsidRDefault="00A41D3B" w:rsidP="003774BC">
            <w:pPr>
              <w:suppressAutoHyphens w:val="0"/>
              <w:spacing w:before="0" w:after="0"/>
              <w:jc w:val="left"/>
              <w:textAlignment w:val="auto"/>
              <w:rPr>
                <w:rFonts w:asciiTheme="minorHAnsi" w:eastAsia="Times New Roman" w:hAnsiTheme="minorHAnsi" w:cstheme="minorHAnsi"/>
                <w:sz w:val="20"/>
                <w:szCs w:val="20"/>
              </w:rPr>
            </w:pPr>
            <w:r w:rsidRPr="00A41D3B">
              <w:rPr>
                <w:rFonts w:asciiTheme="minorHAnsi" w:eastAsia="Times New Roman" w:hAnsiTheme="minorHAnsi" w:cstheme="minorHAnsi"/>
                <w:sz w:val="20"/>
                <w:szCs w:val="20"/>
              </w:rPr>
              <w:t>Glass bulb designation system for lamps</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09604C0" w14:textId="77777777" w:rsidR="00A41D3B" w:rsidRDefault="00A41D3B" w:rsidP="003774BC">
            <w:pPr>
              <w:suppressAutoHyphens w:val="0"/>
              <w:spacing w:before="0" w:after="0"/>
              <w:jc w:val="left"/>
              <w:textAlignment w:val="auto"/>
              <w:rPr>
                <w:rFonts w:asciiTheme="minorHAnsi" w:eastAsia="Times New Roman" w:hAnsiTheme="minorHAnsi" w:cstheme="minorHAnsi"/>
                <w:sz w:val="20"/>
                <w:szCs w:val="20"/>
              </w:rPr>
            </w:pPr>
          </w:p>
        </w:tc>
        <w:tc>
          <w:tcPr>
            <w:tcW w:w="2550" w:type="dxa"/>
            <w:tcBorders>
              <w:top w:val="single" w:sz="6" w:space="0" w:color="9CC2E5"/>
              <w:left w:val="single" w:sz="6" w:space="0" w:color="9CC2E5"/>
              <w:bottom w:val="single" w:sz="6" w:space="0" w:color="9CC2E5"/>
              <w:right w:val="single" w:sz="6" w:space="0" w:color="9CC2E5"/>
            </w:tcBorders>
            <w:shd w:val="clear" w:color="auto" w:fill="auto"/>
          </w:tcPr>
          <w:p w14:paraId="26412726" w14:textId="77777777" w:rsidR="00A41D3B" w:rsidRDefault="00A41D3B" w:rsidP="003774BC">
            <w:pPr>
              <w:suppressAutoHyphens w:val="0"/>
              <w:spacing w:before="0" w:after="0"/>
              <w:jc w:val="left"/>
              <w:textAlignment w:val="auto"/>
              <w:rPr>
                <w:rFonts w:asciiTheme="minorHAnsi" w:eastAsia="Times New Roman" w:hAnsiTheme="minorHAnsi" w:cstheme="minorHAnsi"/>
                <w:sz w:val="20"/>
                <w:szCs w:val="20"/>
              </w:rPr>
            </w:pPr>
          </w:p>
        </w:tc>
      </w:tr>
    </w:tbl>
    <w:p w14:paraId="6A44D9D7" w14:textId="61249FBC" w:rsidR="00ED0386" w:rsidRPr="009B6D93" w:rsidRDefault="00ED0386" w:rsidP="004167F5">
      <w:pPr>
        <w:suppressAutoHyphens w:val="0"/>
        <w:spacing w:before="0" w:after="0"/>
        <w:jc w:val="left"/>
        <w:rPr>
          <w:sz w:val="20"/>
          <w:szCs w:val="20"/>
          <w:lang w:val="en-US"/>
        </w:rPr>
      </w:pPr>
    </w:p>
    <w:p w14:paraId="638368EF" w14:textId="25EEC102" w:rsidR="00ED0386" w:rsidRPr="009B6D93" w:rsidRDefault="00ED0386" w:rsidP="00124EF4">
      <w:pPr>
        <w:suppressAutoHyphens w:val="0"/>
        <w:autoSpaceDN/>
        <w:spacing w:before="0" w:after="140"/>
        <w:jc w:val="center"/>
        <w:textAlignment w:val="auto"/>
        <w:rPr>
          <w:rFonts w:cstheme="minorHAnsi"/>
          <w:color w:val="002B7F"/>
          <w:sz w:val="18"/>
          <w:lang w:val="en-US"/>
        </w:rPr>
      </w:pPr>
    </w:p>
    <w:p w14:paraId="65C0BD68" w14:textId="613FB65B" w:rsidR="009B6D93" w:rsidRPr="009B6D93" w:rsidRDefault="009B6D93">
      <w:pPr>
        <w:suppressAutoHyphens w:val="0"/>
        <w:rPr>
          <w:lang w:val="en-US"/>
        </w:rPr>
      </w:pPr>
      <w:r w:rsidRPr="009B6D93">
        <w:rPr>
          <w:lang w:val="en-US"/>
        </w:rPr>
        <w:br w:type="page"/>
      </w:r>
    </w:p>
    <w:p w14:paraId="6584E0CE" w14:textId="4EF467D4" w:rsidR="009B6D93" w:rsidRPr="00316DB7" w:rsidRDefault="009B6D93" w:rsidP="009B6D93">
      <w:pPr>
        <w:pStyle w:val="Heading1"/>
        <w:numPr>
          <w:ilvl w:val="0"/>
          <w:numId w:val="0"/>
        </w:numPr>
        <w:rPr>
          <w:lang w:val="es-ES"/>
        </w:rPr>
      </w:pPr>
      <w:bookmarkStart w:id="84" w:name="_Toc516146048"/>
      <w:r w:rsidRPr="00316DB7">
        <w:rPr>
          <w:lang w:val="es-ES"/>
        </w:rPr>
        <w:t xml:space="preserve">Anexo </w:t>
      </w:r>
      <w:r>
        <w:rPr>
          <w:lang w:val="es-ES"/>
        </w:rPr>
        <w:t>12</w:t>
      </w:r>
      <w:r w:rsidRPr="00316DB7">
        <w:rPr>
          <w:lang w:val="es-ES"/>
        </w:rPr>
        <w:t xml:space="preserve"> – </w:t>
      </w:r>
      <w:r>
        <w:rPr>
          <w:lang w:val="es-ES"/>
        </w:rPr>
        <w:t xml:space="preserve">Normas de medición ISO/IEC y NMX para LFC autobalastradas </w:t>
      </w:r>
      <w:r w:rsidRPr="006770F7">
        <w:rPr>
          <w:lang w:val="es-ES"/>
        </w:rPr>
        <w:t>–</w:t>
      </w:r>
      <w:r>
        <w:rPr>
          <w:lang w:val="es-ES"/>
        </w:rPr>
        <w:t xml:space="preserve"> normas referenciadas</w:t>
      </w:r>
      <w:bookmarkEnd w:id="84"/>
    </w:p>
    <w:p w14:paraId="35B12437" w14:textId="77777777" w:rsidR="009B6D93" w:rsidRDefault="009B6D93" w:rsidP="009B6D93">
      <w:pPr>
        <w:suppressAutoHyphens w:val="0"/>
        <w:autoSpaceDN/>
        <w:spacing w:before="0" w:after="140"/>
        <w:jc w:val="center"/>
        <w:textAlignment w:val="auto"/>
        <w:rPr>
          <w:rFonts w:cstheme="minorHAnsi"/>
          <w:color w:val="002B7F"/>
          <w:sz w:val="18"/>
          <w:lang w:val="es-PA"/>
        </w:rPr>
      </w:pPr>
      <w:r>
        <w:rPr>
          <w:rFonts w:cstheme="minorHAnsi"/>
          <w:color w:val="002B7F"/>
          <w:sz w:val="18"/>
          <w:lang w:val="es-PA"/>
        </w:rPr>
        <w:t>Nota: L</w:t>
      </w:r>
      <w:r w:rsidRPr="009D7626">
        <w:rPr>
          <w:rFonts w:cstheme="minorHAnsi"/>
          <w:color w:val="002B7F"/>
          <w:sz w:val="18"/>
          <w:lang w:val="es-PA"/>
        </w:rPr>
        <w:t>as siguientes tablas han sido compiladas con el máximo cuidado</w:t>
      </w:r>
      <w:r>
        <w:rPr>
          <w:rFonts w:cstheme="minorHAnsi"/>
          <w:color w:val="002B7F"/>
          <w:sz w:val="18"/>
          <w:lang w:val="es-PA"/>
        </w:rPr>
        <w:t>. Sin embargo, el autor no puede garantizar la integridad y actualidad de la información.</w:t>
      </w:r>
    </w:p>
    <w:p w14:paraId="6D05268C" w14:textId="77777777" w:rsidR="009B6D93" w:rsidRDefault="009B6D93" w:rsidP="009B6D93">
      <w:pPr>
        <w:pStyle w:val="Caption"/>
        <w:spacing w:after="0"/>
        <w:rPr>
          <w:lang w:val="es-ES"/>
        </w:rPr>
      </w:pPr>
      <w:r w:rsidRPr="00387BD7">
        <w:rPr>
          <w:lang w:val="es-ES"/>
        </w:rPr>
        <w:t>Lámparas</w:t>
      </w:r>
      <w:r w:rsidRPr="00F87425">
        <w:rPr>
          <w:lang w:val="es-ES"/>
        </w:rPr>
        <w:t xml:space="preserve"> </w:t>
      </w:r>
      <w:r>
        <w:rPr>
          <w:lang w:val="es-ES"/>
        </w:rPr>
        <w:t>fluorescentes compactas autobalastradas</w:t>
      </w:r>
    </w:p>
    <w:p w14:paraId="79A4C324" w14:textId="77777777" w:rsidR="009B6D93" w:rsidRPr="00A96F74" w:rsidRDefault="009B6D93" w:rsidP="009B6D93">
      <w:pPr>
        <w:spacing w:before="0" w:after="140"/>
        <w:jc w:val="center"/>
        <w:rPr>
          <w:color w:val="002B7F"/>
          <w:lang w:val="es-ES"/>
        </w:rPr>
      </w:pPr>
      <w:r w:rsidRPr="00A96F74">
        <w:rPr>
          <w:i/>
          <w:color w:val="002B7F"/>
          <w:sz w:val="18"/>
          <w:lang w:val="es-ES"/>
        </w:rPr>
        <w:t>Fuente:</w:t>
      </w:r>
      <w:r w:rsidRPr="00E2630F">
        <w:rPr>
          <w:lang w:val="es-ES"/>
        </w:rPr>
        <w:t xml:space="preserve"> </w:t>
      </w:r>
      <w:r w:rsidRPr="00E2630F">
        <w:rPr>
          <w:rFonts w:cstheme="minorHAnsi"/>
          <w:color w:val="002B7F"/>
          <w:sz w:val="18"/>
          <w:lang w:val="es-PA"/>
        </w:rPr>
        <w:t xml:space="preserve">Elaboración propia en base de </w:t>
      </w:r>
      <w:r>
        <w:rPr>
          <w:rFonts w:cstheme="minorHAnsi"/>
          <w:color w:val="002B7F"/>
          <w:sz w:val="18"/>
          <w:lang w:val="es-PA"/>
        </w:rPr>
        <w:t>las normas mencionadas</w:t>
      </w:r>
    </w:p>
    <w:tbl>
      <w:tblPr>
        <w:tblW w:w="5000" w:type="pct"/>
        <w:jc w:val="center"/>
        <w:tblCellMar>
          <w:left w:w="10" w:type="dxa"/>
          <w:right w:w="10" w:type="dxa"/>
        </w:tblCellMar>
        <w:tblLook w:val="0000" w:firstRow="0" w:lastRow="0" w:firstColumn="0" w:lastColumn="0" w:noHBand="0" w:noVBand="0"/>
      </w:tblPr>
      <w:tblGrid>
        <w:gridCol w:w="1410"/>
        <w:gridCol w:w="2835"/>
        <w:gridCol w:w="1701"/>
        <w:gridCol w:w="2550"/>
      </w:tblGrid>
      <w:tr w:rsidR="009B6D93" w:rsidRPr="00130C34" w14:paraId="671FC8C3" w14:textId="77777777" w:rsidTr="00AF36E3">
        <w:trPr>
          <w:jc w:val="center"/>
        </w:trPr>
        <w:tc>
          <w:tcPr>
            <w:tcW w:w="4245" w:type="dxa"/>
            <w:gridSpan w:val="2"/>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40DF26B4" w14:textId="77777777" w:rsidR="009B6D93" w:rsidRPr="00AB4E4D" w:rsidRDefault="009B6D93" w:rsidP="00AF36E3">
            <w:pPr>
              <w:suppressAutoHyphens w:val="0"/>
              <w:spacing w:before="0" w:after="0"/>
              <w:jc w:val="center"/>
              <w:textAlignment w:val="auto"/>
              <w:rPr>
                <w:rFonts w:eastAsia="Times New Roman"/>
                <w:color w:val="FFFFFF" w:themeColor="background1"/>
                <w:lang w:val="en-US"/>
              </w:rPr>
            </w:pPr>
            <w:r w:rsidRPr="00AB4E4D">
              <w:rPr>
                <w:rFonts w:eastAsia="Times New Roman"/>
                <w:b/>
                <w:color w:val="FFFFFF" w:themeColor="background1"/>
                <w:lang w:val="en-US"/>
              </w:rPr>
              <w:t>EN 60969 ed.</w:t>
            </w:r>
            <w:r>
              <w:rPr>
                <w:rFonts w:eastAsia="Times New Roman"/>
                <w:b/>
                <w:color w:val="FFFFFF" w:themeColor="background1"/>
                <w:lang w:val="en-US"/>
              </w:rPr>
              <w:t xml:space="preserve"> 2.0 </w:t>
            </w:r>
            <w:r w:rsidRPr="00AB4E4D">
              <w:rPr>
                <w:rFonts w:eastAsia="Times New Roman"/>
                <w:b/>
                <w:color w:val="FFFFFF" w:themeColor="background1"/>
                <w:lang w:val="en-US"/>
              </w:rPr>
              <w:t>2016</w:t>
            </w:r>
          </w:p>
        </w:tc>
        <w:tc>
          <w:tcPr>
            <w:tcW w:w="4251" w:type="dxa"/>
            <w:gridSpan w:val="2"/>
            <w:tcBorders>
              <w:top w:val="single" w:sz="6" w:space="0" w:color="5B9BD5"/>
              <w:bottom w:val="single" w:sz="6" w:space="0" w:color="5B9BD5"/>
            </w:tcBorders>
            <w:shd w:val="clear" w:color="auto" w:fill="5B9BD5"/>
            <w:tcMar>
              <w:top w:w="0" w:type="dxa"/>
              <w:left w:w="108" w:type="dxa"/>
              <w:bottom w:w="0" w:type="dxa"/>
              <w:right w:w="108" w:type="dxa"/>
            </w:tcMar>
          </w:tcPr>
          <w:p w14:paraId="4BDC8D26" w14:textId="77777777" w:rsidR="009B6D93" w:rsidRPr="00AB4E4D" w:rsidRDefault="009B6D93" w:rsidP="00AF36E3">
            <w:pPr>
              <w:suppressAutoHyphens w:val="0"/>
              <w:spacing w:before="0" w:after="0"/>
              <w:jc w:val="center"/>
              <w:textAlignment w:val="auto"/>
              <w:rPr>
                <w:rFonts w:cs="Calibri"/>
                <w:b/>
                <w:bCs/>
                <w:color w:val="FFFFFF" w:themeColor="background1"/>
                <w:lang w:val="en-US"/>
              </w:rPr>
            </w:pPr>
            <w:r w:rsidRPr="00AB4E4D">
              <w:rPr>
                <w:rFonts w:cs="Calibri"/>
                <w:b/>
                <w:bCs/>
                <w:color w:val="FFFFFF" w:themeColor="background1"/>
                <w:lang w:val="en-US"/>
              </w:rPr>
              <w:t>NMX-J-545-ANCE-2008</w:t>
            </w:r>
          </w:p>
        </w:tc>
      </w:tr>
      <w:tr w:rsidR="009B6D93" w:rsidRPr="00914127" w14:paraId="30D135FA" w14:textId="77777777" w:rsidTr="00AF36E3">
        <w:trPr>
          <w:jc w:val="center"/>
        </w:trPr>
        <w:tc>
          <w:tcPr>
            <w:tcW w:w="4245" w:type="dxa"/>
            <w:gridSpan w:val="2"/>
            <w:tcBorders>
              <w:top w:val="single" w:sz="6" w:space="0" w:color="5B9BD5"/>
              <w:left w:val="single" w:sz="6" w:space="0" w:color="5B9BD5"/>
              <w:bottom w:val="single" w:sz="6" w:space="0" w:color="5B9BD5"/>
            </w:tcBorders>
            <w:shd w:val="clear" w:color="auto" w:fill="9CC2E5"/>
            <w:tcMar>
              <w:top w:w="0" w:type="dxa"/>
              <w:left w:w="108" w:type="dxa"/>
              <w:bottom w:w="0" w:type="dxa"/>
              <w:right w:w="108" w:type="dxa"/>
            </w:tcMar>
          </w:tcPr>
          <w:p w14:paraId="4965D880" w14:textId="1DF81785" w:rsidR="009B6D93" w:rsidRPr="00AB4E4D" w:rsidRDefault="009B6D93" w:rsidP="00C132E7">
            <w:pPr>
              <w:suppressAutoHyphens w:val="0"/>
              <w:spacing w:before="0" w:after="0"/>
              <w:jc w:val="center"/>
              <w:textAlignment w:val="auto"/>
              <w:rPr>
                <w:rFonts w:eastAsia="Times New Roman"/>
                <w:b/>
                <w:color w:val="FFFFFF" w:themeColor="background1"/>
                <w:lang w:val="en-US"/>
              </w:rPr>
            </w:pPr>
            <w:r w:rsidRPr="00AB4E4D">
              <w:rPr>
                <w:rFonts w:eastAsia="Times New Roman"/>
                <w:b/>
                <w:color w:val="FFFFFF" w:themeColor="background1"/>
                <w:lang w:val="en-US"/>
              </w:rPr>
              <w:t xml:space="preserve">Self-ballasted compact fluorescent </w:t>
            </w:r>
            <w:r w:rsidR="00C132E7">
              <w:rPr>
                <w:rFonts w:eastAsia="Times New Roman"/>
                <w:b/>
                <w:color w:val="FFFFFF" w:themeColor="background1"/>
                <w:lang w:val="en-US"/>
              </w:rPr>
              <w:t>l</w:t>
            </w:r>
            <w:r w:rsidRPr="00AB4E4D">
              <w:rPr>
                <w:rFonts w:eastAsia="Times New Roman"/>
                <w:b/>
                <w:color w:val="FFFFFF" w:themeColor="background1"/>
                <w:lang w:val="en-US"/>
              </w:rPr>
              <w:t xml:space="preserve">amps for general </w:t>
            </w:r>
            <w:r>
              <w:rPr>
                <w:rFonts w:eastAsia="Times New Roman"/>
                <w:b/>
                <w:color w:val="FFFFFF" w:themeColor="background1"/>
                <w:lang w:val="en-US"/>
              </w:rPr>
              <w:t xml:space="preserve">lighting services </w:t>
            </w:r>
            <w:r w:rsidRPr="00AB4E4D">
              <w:rPr>
                <w:rFonts w:eastAsia="Times New Roman"/>
                <w:b/>
                <w:color w:val="FFFFFF" w:themeColor="background1"/>
                <w:lang w:val="en-US"/>
              </w:rPr>
              <w:t>–</w:t>
            </w:r>
            <w:r>
              <w:rPr>
                <w:rFonts w:eastAsia="Times New Roman"/>
                <w:b/>
                <w:color w:val="FFFFFF" w:themeColor="background1"/>
                <w:lang w:val="en-US"/>
              </w:rPr>
              <w:t xml:space="preserve"> Performance requirements</w:t>
            </w:r>
          </w:p>
        </w:tc>
        <w:tc>
          <w:tcPr>
            <w:tcW w:w="4251" w:type="dxa"/>
            <w:gridSpan w:val="2"/>
            <w:tcBorders>
              <w:top w:val="single" w:sz="6" w:space="0" w:color="5B9BD5"/>
              <w:bottom w:val="single" w:sz="6" w:space="0" w:color="5B9BD5"/>
            </w:tcBorders>
            <w:shd w:val="clear" w:color="auto" w:fill="9CC2E5"/>
            <w:tcMar>
              <w:top w:w="0" w:type="dxa"/>
              <w:left w:w="108" w:type="dxa"/>
              <w:bottom w:w="0" w:type="dxa"/>
              <w:right w:w="108" w:type="dxa"/>
            </w:tcMar>
          </w:tcPr>
          <w:p w14:paraId="632F8369" w14:textId="029AE32C" w:rsidR="009B6D93" w:rsidRDefault="00C132E7" w:rsidP="00C132E7">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ES"/>
              </w:rPr>
              <w:t>Il</w:t>
            </w:r>
            <w:r w:rsidR="009B6D93" w:rsidRPr="009B6D93">
              <w:rPr>
                <w:rFonts w:cs="Calibri"/>
                <w:b/>
                <w:bCs/>
                <w:color w:val="FFFFFF" w:themeColor="background1"/>
                <w:lang w:val="es-ES"/>
              </w:rPr>
              <w:t>umi</w:t>
            </w:r>
            <w:r w:rsidR="009B6D93">
              <w:rPr>
                <w:rFonts w:cs="Calibri"/>
                <w:b/>
                <w:bCs/>
                <w:color w:val="FFFFFF" w:themeColor="background1"/>
                <w:lang w:val="es-PA"/>
              </w:rPr>
              <w:t xml:space="preserve">nación </w:t>
            </w:r>
            <w:r w:rsidR="009B6D93" w:rsidRPr="00DD7689">
              <w:rPr>
                <w:rFonts w:cs="Calibri"/>
                <w:b/>
                <w:bCs/>
                <w:color w:val="FFFFFF" w:themeColor="background1"/>
                <w:lang w:val="es-PA"/>
              </w:rPr>
              <w:t>–</w:t>
            </w:r>
            <w:r w:rsidR="009B6D93">
              <w:rPr>
                <w:rFonts w:cs="Calibri"/>
                <w:b/>
                <w:bCs/>
                <w:color w:val="FFFFFF" w:themeColor="background1"/>
                <w:lang w:val="es-PA"/>
              </w:rPr>
              <w:t xml:space="preserve"> Funcionamiento de las lámparas fluorescentes compactas autobalastradas </w:t>
            </w:r>
            <w:r w:rsidR="009B6D93" w:rsidRPr="00DD7689">
              <w:rPr>
                <w:rFonts w:cs="Calibri"/>
                <w:b/>
                <w:bCs/>
                <w:color w:val="FFFFFF" w:themeColor="background1"/>
                <w:lang w:val="es-PA"/>
              </w:rPr>
              <w:t>–</w:t>
            </w:r>
            <w:r w:rsidR="009B6D93">
              <w:rPr>
                <w:rFonts w:cs="Calibri"/>
                <w:b/>
                <w:bCs/>
                <w:color w:val="FFFFFF" w:themeColor="background1"/>
                <w:lang w:val="es-PA"/>
              </w:rPr>
              <w:t xml:space="preserve"> Especificaciones y métodos de prueba  </w:t>
            </w:r>
          </w:p>
        </w:tc>
      </w:tr>
      <w:tr w:rsidR="009B6D93" w:rsidRPr="005F6604" w14:paraId="2B430713" w14:textId="77777777" w:rsidTr="00AF36E3">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51081B3" w14:textId="77777777" w:rsidR="009B6D93" w:rsidRPr="00F12B62" w:rsidRDefault="009B6D93" w:rsidP="00AF36E3">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rPr>
              <w:t>EN/IEC 60081</w:t>
            </w:r>
          </w:p>
        </w:tc>
        <w:tc>
          <w:tcPr>
            <w:tcW w:w="2835"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454C8D9D" w14:textId="77777777" w:rsidR="009B6D93" w:rsidRPr="00DD7689" w:rsidRDefault="009B6D93" w:rsidP="00AF36E3">
            <w:pPr>
              <w:suppressAutoHyphens w:val="0"/>
              <w:spacing w:before="0" w:after="0"/>
              <w:jc w:val="left"/>
              <w:textAlignment w:val="auto"/>
              <w:rPr>
                <w:rFonts w:asciiTheme="minorHAnsi" w:eastAsia="Times New Roman" w:hAnsiTheme="minorHAnsi" w:cstheme="minorHAnsi"/>
                <w:sz w:val="20"/>
                <w:szCs w:val="20"/>
                <w:lang w:val="es-ES"/>
              </w:rPr>
            </w:pPr>
            <w:r w:rsidRPr="005F6604">
              <w:rPr>
                <w:rFonts w:asciiTheme="minorHAnsi" w:eastAsia="Times New Roman" w:hAnsiTheme="minorHAnsi" w:cstheme="minorHAnsi"/>
                <w:sz w:val="20"/>
                <w:szCs w:val="20"/>
                <w:lang w:val="es-ES"/>
              </w:rPr>
              <w:t>Lámparas fluorescentes tubulares para servicios de alumbrado general</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4E194DB" w14:textId="77777777" w:rsidR="009B6D93" w:rsidRPr="00F12B62" w:rsidRDefault="009B6D93" w:rsidP="00AF36E3">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IEC 60969 ed. 1.2 (incl. am1 + am2) 2001</w:t>
            </w:r>
          </w:p>
        </w:tc>
        <w:tc>
          <w:tcPr>
            <w:tcW w:w="2550" w:type="dxa"/>
            <w:tcBorders>
              <w:top w:val="single" w:sz="6" w:space="0" w:color="9CC2E5"/>
              <w:left w:val="single" w:sz="6" w:space="0" w:color="9CC2E5"/>
              <w:bottom w:val="single" w:sz="6" w:space="0" w:color="9CC2E5"/>
              <w:right w:val="single" w:sz="6" w:space="0" w:color="9CC2E5"/>
            </w:tcBorders>
          </w:tcPr>
          <w:p w14:paraId="7D1860B5" w14:textId="77777777" w:rsidR="009B6D93" w:rsidRPr="00992D03" w:rsidRDefault="009B6D93" w:rsidP="00AF36E3">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Self-ballasted lamps for general lighting services </w:t>
            </w:r>
            <w:r w:rsidRPr="00992D03">
              <w:rPr>
                <w:rFonts w:asciiTheme="minorHAnsi" w:eastAsia="Times New Roman" w:hAnsiTheme="minorHAnsi" w:cstheme="minorHAnsi"/>
                <w:sz w:val="20"/>
                <w:szCs w:val="20"/>
              </w:rPr>
              <w:t>–</w:t>
            </w:r>
            <w:r>
              <w:rPr>
                <w:rFonts w:asciiTheme="minorHAnsi" w:eastAsia="Times New Roman" w:hAnsiTheme="minorHAnsi" w:cstheme="minorHAnsi"/>
                <w:sz w:val="20"/>
                <w:szCs w:val="20"/>
              </w:rPr>
              <w:t xml:space="preserve"> Performance requirements</w:t>
            </w:r>
          </w:p>
        </w:tc>
      </w:tr>
      <w:tr w:rsidR="009B6D93" w:rsidRPr="001F1C6F" w14:paraId="3718398B" w14:textId="77777777" w:rsidTr="00AF36E3">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5733F8A" w14:textId="77777777" w:rsidR="009B6D93" w:rsidRPr="00992D03" w:rsidRDefault="009B6D93" w:rsidP="00AF36E3">
            <w:pPr>
              <w:suppressAutoHyphens w:val="0"/>
              <w:spacing w:before="0" w:after="0"/>
              <w:jc w:val="left"/>
              <w:textAlignment w:val="auto"/>
              <w:rPr>
                <w:rFonts w:asciiTheme="minorHAnsi" w:eastAsia="Times New Roman" w:hAnsiTheme="minorHAnsi" w:cstheme="minorHAnsi"/>
                <w:sz w:val="20"/>
                <w:szCs w:val="20"/>
              </w:rPr>
            </w:pPr>
            <w:r w:rsidRPr="00992D03">
              <w:rPr>
                <w:rFonts w:asciiTheme="minorHAnsi" w:eastAsia="Times New Roman" w:hAnsiTheme="minorHAnsi" w:cstheme="minorHAnsi"/>
                <w:sz w:val="20"/>
                <w:szCs w:val="20"/>
              </w:rPr>
              <w:t>EN/IEC 60968</w:t>
            </w: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1597097" w14:textId="77777777" w:rsidR="009B6D93" w:rsidRPr="00F12B62" w:rsidRDefault="009B6D93" w:rsidP="00AF36E3">
            <w:pPr>
              <w:suppressAutoHyphens w:val="0"/>
              <w:spacing w:before="0" w:after="0"/>
              <w:jc w:val="left"/>
              <w:textAlignment w:val="auto"/>
              <w:rPr>
                <w:rFonts w:asciiTheme="minorHAnsi" w:eastAsia="Times New Roman" w:hAnsiTheme="minorHAnsi" w:cstheme="minorHAnsi"/>
                <w:sz w:val="20"/>
                <w:szCs w:val="20"/>
              </w:rPr>
            </w:pPr>
            <w:r w:rsidRPr="00992D03">
              <w:rPr>
                <w:rFonts w:asciiTheme="minorHAnsi" w:eastAsia="Times New Roman" w:hAnsiTheme="minorHAnsi" w:cstheme="minorHAnsi"/>
                <w:sz w:val="20"/>
                <w:szCs w:val="20"/>
              </w:rPr>
              <w:t>Self-ballasted fluorescent lamps for general lighting services - Safety requirements</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F413A6F" w14:textId="77777777" w:rsidR="009B6D93" w:rsidRPr="00992D03" w:rsidRDefault="009B6D93" w:rsidP="00AF36E3">
            <w:pPr>
              <w:suppressAutoHyphens w:val="0"/>
              <w:spacing w:before="0" w:after="0"/>
              <w:jc w:val="left"/>
              <w:textAlignment w:val="auto"/>
              <w:rPr>
                <w:rFonts w:asciiTheme="minorHAnsi" w:eastAsia="Times New Roman" w:hAnsiTheme="minorHAnsi" w:cstheme="minorHAnsi"/>
                <w:sz w:val="20"/>
                <w:szCs w:val="20"/>
              </w:rPr>
            </w:pPr>
          </w:p>
        </w:tc>
        <w:tc>
          <w:tcPr>
            <w:tcW w:w="2550" w:type="dxa"/>
            <w:tcBorders>
              <w:top w:val="single" w:sz="6" w:space="0" w:color="9CC2E5"/>
              <w:left w:val="single" w:sz="6" w:space="0" w:color="9CC2E5"/>
              <w:bottom w:val="single" w:sz="6" w:space="0" w:color="9CC2E5"/>
              <w:right w:val="single" w:sz="6" w:space="0" w:color="9CC2E5"/>
            </w:tcBorders>
            <w:shd w:val="clear" w:color="auto" w:fill="DEEAF6"/>
          </w:tcPr>
          <w:p w14:paraId="546B6540" w14:textId="77777777" w:rsidR="009B6D93" w:rsidRPr="00F12B62" w:rsidRDefault="009B6D93" w:rsidP="00AF36E3">
            <w:pPr>
              <w:suppressAutoHyphens w:val="0"/>
              <w:spacing w:before="0" w:after="0"/>
              <w:jc w:val="left"/>
              <w:textAlignment w:val="auto"/>
              <w:rPr>
                <w:rFonts w:asciiTheme="minorHAnsi" w:eastAsia="Times New Roman" w:hAnsiTheme="minorHAnsi" w:cstheme="minorHAnsi"/>
                <w:sz w:val="20"/>
                <w:szCs w:val="20"/>
              </w:rPr>
            </w:pPr>
          </w:p>
        </w:tc>
      </w:tr>
      <w:tr w:rsidR="009B6D93" w:rsidRPr="001F1C6F" w14:paraId="1F663604" w14:textId="77777777" w:rsidTr="00AF36E3">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764558D" w14:textId="77777777" w:rsidR="009B6D93" w:rsidRPr="00992D03" w:rsidRDefault="009B6D93" w:rsidP="00AF36E3">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IEC 60360</w:t>
            </w: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F32C3B6" w14:textId="77777777" w:rsidR="009B6D93" w:rsidRPr="00992D03" w:rsidRDefault="009B6D93" w:rsidP="00AF36E3">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Maximum lamp outlines for incandescent lamps</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98AED83" w14:textId="77777777" w:rsidR="009B6D93" w:rsidRPr="00992D03" w:rsidRDefault="009B6D93" w:rsidP="00AF36E3">
            <w:pPr>
              <w:suppressAutoHyphens w:val="0"/>
              <w:spacing w:before="0" w:after="0"/>
              <w:jc w:val="left"/>
              <w:textAlignment w:val="auto"/>
              <w:rPr>
                <w:rFonts w:asciiTheme="minorHAnsi" w:eastAsia="Times New Roman" w:hAnsiTheme="minorHAnsi" w:cstheme="minorHAnsi"/>
                <w:sz w:val="20"/>
                <w:szCs w:val="20"/>
              </w:rPr>
            </w:pPr>
          </w:p>
        </w:tc>
        <w:tc>
          <w:tcPr>
            <w:tcW w:w="2550" w:type="dxa"/>
            <w:tcBorders>
              <w:top w:val="single" w:sz="6" w:space="0" w:color="9CC2E5"/>
              <w:left w:val="single" w:sz="6" w:space="0" w:color="9CC2E5"/>
              <w:bottom w:val="single" w:sz="6" w:space="0" w:color="9CC2E5"/>
              <w:right w:val="single" w:sz="6" w:space="0" w:color="9CC2E5"/>
            </w:tcBorders>
            <w:shd w:val="clear" w:color="auto" w:fill="auto"/>
          </w:tcPr>
          <w:p w14:paraId="61C6B6F8" w14:textId="77777777" w:rsidR="009B6D93" w:rsidRPr="00F12B62" w:rsidRDefault="009B6D93" w:rsidP="00AF36E3">
            <w:pPr>
              <w:suppressAutoHyphens w:val="0"/>
              <w:spacing w:before="0" w:after="0"/>
              <w:jc w:val="left"/>
              <w:textAlignment w:val="auto"/>
              <w:rPr>
                <w:rFonts w:asciiTheme="minorHAnsi" w:eastAsia="Times New Roman" w:hAnsiTheme="minorHAnsi" w:cstheme="minorHAnsi"/>
                <w:sz w:val="20"/>
                <w:szCs w:val="20"/>
              </w:rPr>
            </w:pPr>
          </w:p>
        </w:tc>
      </w:tr>
      <w:tr w:rsidR="009B6D93" w:rsidRPr="00AE2C38" w14:paraId="7A54EE30" w14:textId="77777777" w:rsidTr="00AF36E3">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F32FCD7" w14:textId="77777777" w:rsidR="009B6D93" w:rsidRPr="00992D03" w:rsidRDefault="009B6D93" w:rsidP="00AF36E3">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IEC 61000-3-2:2014</w:t>
            </w: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21A7F39" w14:textId="77777777" w:rsidR="009B6D93" w:rsidRPr="00AE2C38" w:rsidRDefault="009B6D93" w:rsidP="00AF36E3">
            <w:pPr>
              <w:suppressAutoHyphens w:val="0"/>
              <w:spacing w:before="0" w:after="0"/>
              <w:jc w:val="left"/>
              <w:textAlignment w:val="auto"/>
              <w:rPr>
                <w:rFonts w:asciiTheme="minorHAnsi" w:eastAsia="Times New Roman" w:hAnsiTheme="minorHAnsi" w:cstheme="minorHAnsi"/>
                <w:sz w:val="20"/>
                <w:szCs w:val="20"/>
                <w:lang w:val="en-US"/>
              </w:rPr>
            </w:pPr>
            <w:r w:rsidRPr="009B6D93">
              <w:rPr>
                <w:rFonts w:asciiTheme="minorHAnsi" w:eastAsia="Times New Roman" w:hAnsiTheme="minorHAnsi" w:cstheme="minorHAnsi"/>
                <w:sz w:val="20"/>
                <w:szCs w:val="20"/>
                <w:lang w:val="en-US"/>
              </w:rPr>
              <w:t xml:space="preserve">Electromagnetic compatibility (EMC) – Part 3-2: Limits. </w:t>
            </w:r>
            <w:r w:rsidRPr="00AE2C38">
              <w:rPr>
                <w:rFonts w:asciiTheme="minorHAnsi" w:eastAsia="Times New Roman" w:hAnsiTheme="minorHAnsi" w:cstheme="minorHAnsi"/>
                <w:sz w:val="20"/>
                <w:szCs w:val="20"/>
                <w:lang w:val="en-US"/>
              </w:rPr>
              <w:t xml:space="preserve">Limits for harmonic current emissions (equipment input current </w:t>
            </w:r>
            <w:r>
              <w:rPr>
                <w:rFonts w:asciiTheme="minorHAnsi" w:eastAsia="Times New Roman" w:hAnsiTheme="minorHAnsi" w:cstheme="minorHAnsi"/>
                <w:sz w:val="20"/>
                <w:szCs w:val="20"/>
                <w:lang w:val="en-US"/>
              </w:rPr>
              <w:t>≤ 16 A per phase</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D8F939C" w14:textId="77777777" w:rsidR="009B6D93" w:rsidRPr="00AE2C38" w:rsidRDefault="009B6D93" w:rsidP="00AF36E3">
            <w:pPr>
              <w:suppressAutoHyphens w:val="0"/>
              <w:spacing w:before="0" w:after="0"/>
              <w:jc w:val="left"/>
              <w:textAlignment w:val="auto"/>
              <w:rPr>
                <w:rFonts w:asciiTheme="minorHAnsi" w:eastAsia="Times New Roman" w:hAnsiTheme="minorHAnsi" w:cstheme="minorHAnsi"/>
                <w:sz w:val="20"/>
                <w:szCs w:val="20"/>
                <w:lang w:val="en-US"/>
              </w:rPr>
            </w:pPr>
          </w:p>
        </w:tc>
        <w:tc>
          <w:tcPr>
            <w:tcW w:w="2550" w:type="dxa"/>
            <w:tcBorders>
              <w:top w:val="single" w:sz="6" w:space="0" w:color="9CC2E5"/>
              <w:left w:val="single" w:sz="6" w:space="0" w:color="9CC2E5"/>
              <w:bottom w:val="single" w:sz="6" w:space="0" w:color="9CC2E5"/>
              <w:right w:val="single" w:sz="6" w:space="0" w:color="9CC2E5"/>
            </w:tcBorders>
            <w:shd w:val="clear" w:color="auto" w:fill="DEEAF6"/>
          </w:tcPr>
          <w:p w14:paraId="681EA2B5" w14:textId="77777777" w:rsidR="009B6D93" w:rsidRPr="00AE2C38" w:rsidRDefault="009B6D93" w:rsidP="00AF36E3">
            <w:pPr>
              <w:suppressAutoHyphens w:val="0"/>
              <w:spacing w:before="0" w:after="0"/>
              <w:jc w:val="left"/>
              <w:textAlignment w:val="auto"/>
              <w:rPr>
                <w:rFonts w:asciiTheme="minorHAnsi" w:eastAsia="Times New Roman" w:hAnsiTheme="minorHAnsi" w:cstheme="minorHAnsi"/>
                <w:sz w:val="20"/>
                <w:szCs w:val="20"/>
                <w:lang w:val="en-US"/>
              </w:rPr>
            </w:pPr>
          </w:p>
        </w:tc>
      </w:tr>
      <w:tr w:rsidR="009B6D93" w:rsidRPr="00AE2C38" w14:paraId="3BB290B7" w14:textId="77777777" w:rsidTr="00AF36E3">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742B1FB" w14:textId="77777777" w:rsidR="009B6D93" w:rsidRPr="00AE2C38" w:rsidRDefault="009B6D93" w:rsidP="00AF36E3">
            <w:pPr>
              <w:suppressAutoHyphens w:val="0"/>
              <w:spacing w:before="0" w:after="0"/>
              <w:jc w:val="left"/>
              <w:textAlignment w:val="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IEC 61000-4-7</w:t>
            </w: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4B2BE7A" w14:textId="77777777" w:rsidR="009B6D93" w:rsidRPr="00AE2C38" w:rsidRDefault="009B6D93" w:rsidP="00AF36E3">
            <w:pPr>
              <w:suppressAutoHyphens w:val="0"/>
              <w:spacing w:before="0" w:after="0"/>
              <w:jc w:val="left"/>
              <w:textAlignment w:val="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 xml:space="preserve">Electromagnetic compatibility (EMC) – Part 4-7: Testing and measuring techniques - </w:t>
            </w:r>
            <w:r w:rsidRPr="00AE2C38">
              <w:rPr>
                <w:rFonts w:asciiTheme="minorHAnsi" w:eastAsia="Times New Roman" w:hAnsiTheme="minorHAnsi" w:cstheme="minorHAnsi"/>
                <w:sz w:val="20"/>
                <w:szCs w:val="20"/>
                <w:lang w:val="en-US"/>
              </w:rPr>
              <w:t>General guide on harmonics and interharmonics measurements and instrumentation, for power supply systems and connected thereto</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842356D" w14:textId="77777777" w:rsidR="009B6D93" w:rsidRPr="00AE2C38" w:rsidRDefault="009B6D93" w:rsidP="00AF36E3">
            <w:pPr>
              <w:suppressAutoHyphens w:val="0"/>
              <w:spacing w:before="0" w:after="0"/>
              <w:jc w:val="left"/>
              <w:textAlignment w:val="auto"/>
              <w:rPr>
                <w:rFonts w:asciiTheme="minorHAnsi" w:eastAsia="Times New Roman" w:hAnsiTheme="minorHAnsi" w:cstheme="minorHAnsi"/>
                <w:sz w:val="20"/>
                <w:szCs w:val="20"/>
                <w:lang w:val="en-US"/>
              </w:rPr>
            </w:pPr>
          </w:p>
        </w:tc>
        <w:tc>
          <w:tcPr>
            <w:tcW w:w="2550" w:type="dxa"/>
            <w:tcBorders>
              <w:top w:val="single" w:sz="6" w:space="0" w:color="9CC2E5"/>
              <w:left w:val="single" w:sz="6" w:space="0" w:color="9CC2E5"/>
              <w:bottom w:val="single" w:sz="6" w:space="0" w:color="9CC2E5"/>
              <w:right w:val="single" w:sz="6" w:space="0" w:color="9CC2E5"/>
            </w:tcBorders>
            <w:shd w:val="clear" w:color="auto" w:fill="auto"/>
          </w:tcPr>
          <w:p w14:paraId="3F0847AD" w14:textId="77777777" w:rsidR="009B6D93" w:rsidRPr="00AE2C38" w:rsidRDefault="009B6D93" w:rsidP="00AF36E3">
            <w:pPr>
              <w:suppressAutoHyphens w:val="0"/>
              <w:spacing w:before="0" w:after="0"/>
              <w:jc w:val="left"/>
              <w:textAlignment w:val="auto"/>
              <w:rPr>
                <w:rFonts w:asciiTheme="minorHAnsi" w:eastAsia="Times New Roman" w:hAnsiTheme="minorHAnsi" w:cstheme="minorHAnsi"/>
                <w:sz w:val="20"/>
                <w:szCs w:val="20"/>
                <w:lang w:val="en-US"/>
              </w:rPr>
            </w:pPr>
          </w:p>
        </w:tc>
      </w:tr>
      <w:tr w:rsidR="009B6D93" w:rsidRPr="00AE2C38" w14:paraId="4D18AF28" w14:textId="77777777" w:rsidTr="00AF36E3">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C66804A" w14:textId="77777777" w:rsidR="009B6D93" w:rsidRPr="00AE2C38" w:rsidRDefault="009B6D93" w:rsidP="00AF36E3">
            <w:pPr>
              <w:suppressAutoHyphens w:val="0"/>
              <w:spacing w:before="0" w:after="0"/>
              <w:jc w:val="left"/>
              <w:textAlignment w:val="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IEC 61341</w:t>
            </w: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3547F7C" w14:textId="77777777" w:rsidR="009B6D93" w:rsidRPr="00AE2C38" w:rsidRDefault="009B6D93" w:rsidP="00AF36E3">
            <w:pPr>
              <w:suppressAutoHyphens w:val="0"/>
              <w:spacing w:before="0" w:after="0"/>
              <w:jc w:val="left"/>
              <w:textAlignment w:val="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Method of measurement of centre beam intensity and beam angle(s) of reflector lamps</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BAB8167" w14:textId="77777777" w:rsidR="009B6D93" w:rsidRPr="00AE2C38" w:rsidRDefault="009B6D93" w:rsidP="00AF36E3">
            <w:pPr>
              <w:suppressAutoHyphens w:val="0"/>
              <w:spacing w:before="0" w:after="0"/>
              <w:jc w:val="left"/>
              <w:textAlignment w:val="auto"/>
              <w:rPr>
                <w:rFonts w:asciiTheme="minorHAnsi" w:eastAsia="Times New Roman" w:hAnsiTheme="minorHAnsi" w:cstheme="minorHAnsi"/>
                <w:sz w:val="20"/>
                <w:szCs w:val="20"/>
                <w:lang w:val="en-US"/>
              </w:rPr>
            </w:pPr>
          </w:p>
        </w:tc>
        <w:tc>
          <w:tcPr>
            <w:tcW w:w="2550" w:type="dxa"/>
            <w:tcBorders>
              <w:top w:val="single" w:sz="6" w:space="0" w:color="9CC2E5"/>
              <w:left w:val="single" w:sz="6" w:space="0" w:color="9CC2E5"/>
              <w:bottom w:val="single" w:sz="6" w:space="0" w:color="9CC2E5"/>
              <w:right w:val="single" w:sz="6" w:space="0" w:color="9CC2E5"/>
            </w:tcBorders>
            <w:shd w:val="clear" w:color="auto" w:fill="DEEAF6"/>
          </w:tcPr>
          <w:p w14:paraId="6D901F96" w14:textId="77777777" w:rsidR="009B6D93" w:rsidRPr="00AE2C38" w:rsidRDefault="009B6D93" w:rsidP="00AF36E3">
            <w:pPr>
              <w:suppressAutoHyphens w:val="0"/>
              <w:spacing w:before="0" w:after="0"/>
              <w:jc w:val="left"/>
              <w:textAlignment w:val="auto"/>
              <w:rPr>
                <w:rFonts w:asciiTheme="minorHAnsi" w:eastAsia="Times New Roman" w:hAnsiTheme="minorHAnsi" w:cstheme="minorHAnsi"/>
                <w:sz w:val="20"/>
                <w:szCs w:val="20"/>
                <w:lang w:val="en-US"/>
              </w:rPr>
            </w:pPr>
          </w:p>
        </w:tc>
      </w:tr>
      <w:tr w:rsidR="009B6D93" w:rsidRPr="00AE2C38" w14:paraId="32B06E50" w14:textId="77777777" w:rsidTr="00AF36E3">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7048080" w14:textId="77777777" w:rsidR="009B6D93" w:rsidRDefault="009B6D93" w:rsidP="00AF36E3">
            <w:pPr>
              <w:suppressAutoHyphens w:val="0"/>
              <w:spacing w:before="0" w:after="0"/>
              <w:jc w:val="left"/>
              <w:textAlignment w:val="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CIE 15:2004</w:t>
            </w: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2C288B7" w14:textId="77777777" w:rsidR="009B6D93" w:rsidRDefault="009B6D93" w:rsidP="00AF36E3">
            <w:pPr>
              <w:suppressAutoHyphens w:val="0"/>
              <w:spacing w:before="0" w:after="0"/>
              <w:jc w:val="left"/>
              <w:textAlignment w:val="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Colorimetry</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C03A2A1" w14:textId="77777777" w:rsidR="009B6D93" w:rsidRPr="00AE2C38" w:rsidRDefault="009B6D93" w:rsidP="00AF36E3">
            <w:pPr>
              <w:suppressAutoHyphens w:val="0"/>
              <w:spacing w:before="0" w:after="0"/>
              <w:jc w:val="left"/>
              <w:textAlignment w:val="auto"/>
              <w:rPr>
                <w:rFonts w:asciiTheme="minorHAnsi" w:eastAsia="Times New Roman" w:hAnsiTheme="minorHAnsi" w:cstheme="minorHAnsi"/>
                <w:sz w:val="20"/>
                <w:szCs w:val="20"/>
                <w:lang w:val="en-US"/>
              </w:rPr>
            </w:pPr>
          </w:p>
        </w:tc>
        <w:tc>
          <w:tcPr>
            <w:tcW w:w="2550" w:type="dxa"/>
            <w:tcBorders>
              <w:top w:val="single" w:sz="6" w:space="0" w:color="9CC2E5"/>
              <w:left w:val="single" w:sz="6" w:space="0" w:color="9CC2E5"/>
              <w:bottom w:val="single" w:sz="6" w:space="0" w:color="9CC2E5"/>
              <w:right w:val="single" w:sz="6" w:space="0" w:color="9CC2E5"/>
            </w:tcBorders>
            <w:shd w:val="clear" w:color="auto" w:fill="auto"/>
          </w:tcPr>
          <w:p w14:paraId="4282E5A3" w14:textId="77777777" w:rsidR="009B6D93" w:rsidRPr="00AE2C38" w:rsidRDefault="009B6D93" w:rsidP="00AF36E3">
            <w:pPr>
              <w:suppressAutoHyphens w:val="0"/>
              <w:spacing w:before="0" w:after="0"/>
              <w:jc w:val="left"/>
              <w:textAlignment w:val="auto"/>
              <w:rPr>
                <w:rFonts w:asciiTheme="minorHAnsi" w:eastAsia="Times New Roman" w:hAnsiTheme="minorHAnsi" w:cstheme="minorHAnsi"/>
                <w:sz w:val="20"/>
                <w:szCs w:val="20"/>
                <w:lang w:val="en-US"/>
              </w:rPr>
            </w:pPr>
          </w:p>
        </w:tc>
      </w:tr>
      <w:tr w:rsidR="009B6D93" w:rsidRPr="00AE2C38" w14:paraId="467B6821" w14:textId="77777777" w:rsidTr="00AF36E3">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584D392" w14:textId="77777777" w:rsidR="009B6D93" w:rsidRDefault="009B6D93" w:rsidP="00AF36E3">
            <w:pPr>
              <w:suppressAutoHyphens w:val="0"/>
              <w:spacing w:before="0" w:after="0"/>
              <w:jc w:val="left"/>
              <w:textAlignment w:val="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 xml:space="preserve">CIE 13.3 </w:t>
            </w: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3B56014" w14:textId="77777777" w:rsidR="009B6D93" w:rsidRDefault="009B6D93" w:rsidP="00AF36E3">
            <w:pPr>
              <w:suppressAutoHyphens w:val="0"/>
              <w:spacing w:before="0" w:after="0"/>
              <w:jc w:val="left"/>
              <w:textAlignment w:val="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Method of measuring and specifying colour rendering properties of light source</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033C984" w14:textId="77777777" w:rsidR="009B6D93" w:rsidRPr="00AE2C38" w:rsidRDefault="009B6D93" w:rsidP="00AF36E3">
            <w:pPr>
              <w:suppressAutoHyphens w:val="0"/>
              <w:spacing w:before="0" w:after="0"/>
              <w:jc w:val="left"/>
              <w:textAlignment w:val="auto"/>
              <w:rPr>
                <w:rFonts w:asciiTheme="minorHAnsi" w:eastAsia="Times New Roman" w:hAnsiTheme="minorHAnsi" w:cstheme="minorHAnsi"/>
                <w:sz w:val="20"/>
                <w:szCs w:val="20"/>
                <w:lang w:val="en-US"/>
              </w:rPr>
            </w:pPr>
          </w:p>
        </w:tc>
        <w:tc>
          <w:tcPr>
            <w:tcW w:w="2550" w:type="dxa"/>
            <w:tcBorders>
              <w:top w:val="single" w:sz="6" w:space="0" w:color="9CC2E5"/>
              <w:left w:val="single" w:sz="6" w:space="0" w:color="9CC2E5"/>
              <w:bottom w:val="single" w:sz="6" w:space="0" w:color="9CC2E5"/>
              <w:right w:val="single" w:sz="6" w:space="0" w:color="9CC2E5"/>
            </w:tcBorders>
            <w:shd w:val="clear" w:color="auto" w:fill="DEEAF6"/>
          </w:tcPr>
          <w:p w14:paraId="7DC69628" w14:textId="77777777" w:rsidR="009B6D93" w:rsidRPr="00AE2C38" w:rsidRDefault="009B6D93" w:rsidP="00AF36E3">
            <w:pPr>
              <w:suppressAutoHyphens w:val="0"/>
              <w:spacing w:before="0" w:after="0"/>
              <w:jc w:val="left"/>
              <w:textAlignment w:val="auto"/>
              <w:rPr>
                <w:rFonts w:asciiTheme="minorHAnsi" w:eastAsia="Times New Roman" w:hAnsiTheme="minorHAnsi" w:cstheme="minorHAnsi"/>
                <w:sz w:val="20"/>
                <w:szCs w:val="20"/>
                <w:lang w:val="en-US"/>
              </w:rPr>
            </w:pPr>
          </w:p>
        </w:tc>
      </w:tr>
    </w:tbl>
    <w:p w14:paraId="07568D8A" w14:textId="77777777" w:rsidR="009B6D93" w:rsidRPr="004167F5" w:rsidRDefault="009B6D93" w:rsidP="009B6D93">
      <w:pPr>
        <w:suppressAutoHyphens w:val="0"/>
        <w:spacing w:before="0" w:after="0"/>
        <w:jc w:val="left"/>
        <w:rPr>
          <w:sz w:val="20"/>
          <w:szCs w:val="20"/>
          <w:lang w:val="es-ES"/>
        </w:rPr>
      </w:pPr>
      <w:r w:rsidRPr="004167F5">
        <w:rPr>
          <w:sz w:val="20"/>
          <w:szCs w:val="20"/>
          <w:lang w:val="es-ES"/>
        </w:rPr>
        <w:t xml:space="preserve">Nota: </w:t>
      </w:r>
      <w:r>
        <w:rPr>
          <w:sz w:val="20"/>
          <w:szCs w:val="20"/>
          <w:lang w:val="es-ES"/>
        </w:rPr>
        <w:t>L</w:t>
      </w:r>
      <w:r w:rsidRPr="004167F5">
        <w:rPr>
          <w:sz w:val="20"/>
          <w:szCs w:val="20"/>
          <w:lang w:val="es-ES"/>
        </w:rPr>
        <w:t>as normas EN son equivalentes a las normas ISO/IEC correspondientes.</w:t>
      </w:r>
    </w:p>
    <w:p w14:paraId="1E80888E" w14:textId="77777777" w:rsidR="009B6D93" w:rsidRPr="004167F5" w:rsidRDefault="009B6D93" w:rsidP="009B6D93">
      <w:pPr>
        <w:suppressAutoHyphens w:val="0"/>
        <w:jc w:val="left"/>
        <w:rPr>
          <w:lang w:val="es-ES"/>
        </w:rPr>
      </w:pPr>
    </w:p>
    <w:p w14:paraId="2E00528E" w14:textId="0DAE56AA" w:rsidR="009B1CC0" w:rsidRPr="002354BD" w:rsidRDefault="009B1CC0">
      <w:pPr>
        <w:suppressAutoHyphens w:val="0"/>
        <w:rPr>
          <w:lang w:val="es-ES"/>
        </w:rPr>
      </w:pPr>
    </w:p>
    <w:p w14:paraId="743F80F6" w14:textId="36FD6107" w:rsidR="009B1CC0" w:rsidRPr="002354BD" w:rsidRDefault="009B1CC0">
      <w:pPr>
        <w:suppressAutoHyphens w:val="0"/>
        <w:rPr>
          <w:lang w:val="es-ES"/>
        </w:rPr>
      </w:pPr>
    </w:p>
    <w:p w14:paraId="31802688" w14:textId="3D034F97" w:rsidR="009B1CC0" w:rsidRPr="002354BD" w:rsidRDefault="009B1CC0">
      <w:pPr>
        <w:suppressAutoHyphens w:val="0"/>
        <w:rPr>
          <w:lang w:val="es-ES"/>
        </w:rPr>
      </w:pPr>
      <w:r w:rsidRPr="002354BD">
        <w:rPr>
          <w:lang w:val="es-ES"/>
        </w:rPr>
        <w:br w:type="page"/>
      </w:r>
    </w:p>
    <w:p w14:paraId="09CBAC4F" w14:textId="0BF67677" w:rsidR="009B1CC0" w:rsidRPr="00316DB7" w:rsidRDefault="009B1CC0" w:rsidP="009B1CC0">
      <w:pPr>
        <w:pStyle w:val="Heading1"/>
        <w:numPr>
          <w:ilvl w:val="0"/>
          <w:numId w:val="0"/>
        </w:numPr>
        <w:rPr>
          <w:lang w:val="es-ES"/>
        </w:rPr>
      </w:pPr>
      <w:bookmarkStart w:id="85" w:name="_Toc516146049"/>
      <w:r w:rsidRPr="00316DB7">
        <w:rPr>
          <w:lang w:val="es-ES"/>
        </w:rPr>
        <w:t xml:space="preserve">Anexo </w:t>
      </w:r>
      <w:r>
        <w:rPr>
          <w:lang w:val="es-ES"/>
        </w:rPr>
        <w:t>1</w:t>
      </w:r>
      <w:r w:rsidR="009B6D93">
        <w:rPr>
          <w:lang w:val="es-ES"/>
        </w:rPr>
        <w:t>3</w:t>
      </w:r>
      <w:r w:rsidRPr="00316DB7">
        <w:rPr>
          <w:lang w:val="es-ES"/>
        </w:rPr>
        <w:t xml:space="preserve"> – </w:t>
      </w:r>
      <w:r w:rsidR="006770F7" w:rsidRPr="006770F7">
        <w:rPr>
          <w:lang w:val="es-ES"/>
        </w:rPr>
        <w:t>N</w:t>
      </w:r>
      <w:r w:rsidR="006770F7">
        <w:rPr>
          <w:lang w:val="es-ES"/>
        </w:rPr>
        <w:t>ormas de medición</w:t>
      </w:r>
      <w:r w:rsidR="006770F7" w:rsidRPr="006770F7">
        <w:rPr>
          <w:lang w:val="es-ES"/>
        </w:rPr>
        <w:t xml:space="preserve"> ISO/IEC </w:t>
      </w:r>
      <w:r w:rsidR="00270E76">
        <w:rPr>
          <w:lang w:val="es-ES"/>
        </w:rPr>
        <w:t>y</w:t>
      </w:r>
      <w:r w:rsidR="006770F7" w:rsidRPr="006770F7">
        <w:rPr>
          <w:lang w:val="es-ES"/>
        </w:rPr>
        <w:t xml:space="preserve"> NMX </w:t>
      </w:r>
      <w:r w:rsidR="0026612B">
        <w:rPr>
          <w:lang w:val="es-ES"/>
        </w:rPr>
        <w:t>para</w:t>
      </w:r>
      <w:r w:rsidR="006770F7" w:rsidRPr="006770F7">
        <w:rPr>
          <w:lang w:val="es-ES"/>
        </w:rPr>
        <w:t xml:space="preserve"> </w:t>
      </w:r>
      <w:r w:rsidR="006770F7">
        <w:rPr>
          <w:lang w:val="es-ES"/>
        </w:rPr>
        <w:t xml:space="preserve">lámparas fluorescentes de doble base </w:t>
      </w:r>
      <w:r w:rsidR="006770F7" w:rsidRPr="006770F7">
        <w:rPr>
          <w:lang w:val="es-ES"/>
        </w:rPr>
        <w:t>–</w:t>
      </w:r>
      <w:r w:rsidR="006770F7">
        <w:rPr>
          <w:lang w:val="es-ES"/>
        </w:rPr>
        <w:t xml:space="preserve"> normas referenciadas</w:t>
      </w:r>
      <w:bookmarkEnd w:id="85"/>
    </w:p>
    <w:p w14:paraId="791041D8" w14:textId="50D0F656" w:rsidR="009D7626" w:rsidRDefault="009D7626" w:rsidP="009D7626">
      <w:pPr>
        <w:suppressAutoHyphens w:val="0"/>
        <w:autoSpaceDN/>
        <w:spacing w:before="0" w:after="140"/>
        <w:jc w:val="center"/>
        <w:textAlignment w:val="auto"/>
        <w:rPr>
          <w:rFonts w:cstheme="minorHAnsi"/>
          <w:color w:val="002B7F"/>
          <w:sz w:val="18"/>
          <w:lang w:val="es-PA"/>
        </w:rPr>
      </w:pPr>
      <w:r>
        <w:rPr>
          <w:rFonts w:cstheme="minorHAnsi"/>
          <w:color w:val="002B7F"/>
          <w:sz w:val="18"/>
          <w:lang w:val="es-PA"/>
        </w:rPr>
        <w:t>Nota: L</w:t>
      </w:r>
      <w:r w:rsidRPr="009D7626">
        <w:rPr>
          <w:rFonts w:cstheme="minorHAnsi"/>
          <w:color w:val="002B7F"/>
          <w:sz w:val="18"/>
          <w:lang w:val="es-PA"/>
        </w:rPr>
        <w:t>a siguiente tabla ha sido compilada con el máximo cuidado</w:t>
      </w:r>
      <w:r>
        <w:rPr>
          <w:rFonts w:cstheme="minorHAnsi"/>
          <w:color w:val="002B7F"/>
          <w:sz w:val="18"/>
          <w:lang w:val="es-PA"/>
        </w:rPr>
        <w:t>. Sin embargo, el autor no puede garantizar la integr</w:t>
      </w:r>
      <w:r w:rsidR="00AE2C38">
        <w:rPr>
          <w:rFonts w:cstheme="minorHAnsi"/>
          <w:color w:val="002B7F"/>
          <w:sz w:val="18"/>
          <w:lang w:val="es-PA"/>
        </w:rPr>
        <w:t>i</w:t>
      </w:r>
      <w:r>
        <w:rPr>
          <w:rFonts w:cstheme="minorHAnsi"/>
          <w:color w:val="002B7F"/>
          <w:sz w:val="18"/>
          <w:lang w:val="es-PA"/>
        </w:rPr>
        <w:t>dad y actuali</w:t>
      </w:r>
      <w:r w:rsidR="00AE2C38">
        <w:rPr>
          <w:rFonts w:cstheme="minorHAnsi"/>
          <w:color w:val="002B7F"/>
          <w:sz w:val="18"/>
          <w:lang w:val="es-PA"/>
        </w:rPr>
        <w:t>dad</w:t>
      </w:r>
      <w:r>
        <w:rPr>
          <w:rFonts w:cstheme="minorHAnsi"/>
          <w:color w:val="002B7F"/>
          <w:sz w:val="18"/>
          <w:lang w:val="es-PA"/>
        </w:rPr>
        <w:t xml:space="preserve"> de la información.</w:t>
      </w:r>
    </w:p>
    <w:p w14:paraId="0D2CCB3D" w14:textId="2D389CC1" w:rsidR="00ED21D3" w:rsidRDefault="00ED21D3" w:rsidP="00ED21D3">
      <w:pPr>
        <w:pStyle w:val="Caption"/>
        <w:spacing w:after="0"/>
        <w:rPr>
          <w:lang w:val="es-ES"/>
        </w:rPr>
      </w:pPr>
      <w:r w:rsidRPr="00387BD7">
        <w:rPr>
          <w:lang w:val="es-ES"/>
        </w:rPr>
        <w:t>Lámparas</w:t>
      </w:r>
      <w:r w:rsidRPr="00F87425">
        <w:rPr>
          <w:lang w:val="es-ES"/>
        </w:rPr>
        <w:t xml:space="preserve"> </w:t>
      </w:r>
      <w:r>
        <w:rPr>
          <w:lang w:val="es-ES"/>
        </w:rPr>
        <w:t>fluorescentes de doble base</w:t>
      </w:r>
    </w:p>
    <w:p w14:paraId="0A7D9D62" w14:textId="77777777" w:rsidR="00ED21D3" w:rsidRPr="00A96F74" w:rsidRDefault="00ED21D3" w:rsidP="00ED21D3">
      <w:pPr>
        <w:spacing w:before="0" w:after="140"/>
        <w:jc w:val="center"/>
        <w:rPr>
          <w:color w:val="002B7F"/>
          <w:lang w:val="es-ES"/>
        </w:rPr>
      </w:pPr>
      <w:r w:rsidRPr="00A96F74">
        <w:rPr>
          <w:i/>
          <w:color w:val="002B7F"/>
          <w:sz w:val="18"/>
          <w:lang w:val="es-ES"/>
        </w:rPr>
        <w:t>Fuente:</w:t>
      </w:r>
      <w:r w:rsidRPr="00E2630F">
        <w:rPr>
          <w:lang w:val="es-ES"/>
        </w:rPr>
        <w:t xml:space="preserve"> </w:t>
      </w:r>
      <w:r w:rsidRPr="00E2630F">
        <w:rPr>
          <w:rFonts w:cstheme="minorHAnsi"/>
          <w:color w:val="002B7F"/>
          <w:sz w:val="18"/>
          <w:lang w:val="es-PA"/>
        </w:rPr>
        <w:t xml:space="preserve">Elaboración propia en base de </w:t>
      </w:r>
      <w:r>
        <w:rPr>
          <w:rFonts w:cstheme="minorHAnsi"/>
          <w:color w:val="002B7F"/>
          <w:sz w:val="18"/>
          <w:lang w:val="es-PA"/>
        </w:rPr>
        <w:t>las normas mencionadas</w:t>
      </w:r>
    </w:p>
    <w:tbl>
      <w:tblPr>
        <w:tblW w:w="5000" w:type="pct"/>
        <w:jc w:val="center"/>
        <w:tblCellMar>
          <w:left w:w="10" w:type="dxa"/>
          <w:right w:w="10" w:type="dxa"/>
        </w:tblCellMar>
        <w:tblLook w:val="0000" w:firstRow="0" w:lastRow="0" w:firstColumn="0" w:lastColumn="0" w:noHBand="0" w:noVBand="0"/>
      </w:tblPr>
      <w:tblGrid>
        <w:gridCol w:w="1410"/>
        <w:gridCol w:w="2835"/>
        <w:gridCol w:w="1701"/>
        <w:gridCol w:w="2550"/>
      </w:tblGrid>
      <w:tr w:rsidR="00ED21D3" w:rsidRPr="00130C34" w14:paraId="7AE395FA" w14:textId="77777777" w:rsidTr="00270E76">
        <w:trPr>
          <w:jc w:val="center"/>
        </w:trPr>
        <w:tc>
          <w:tcPr>
            <w:tcW w:w="4245" w:type="dxa"/>
            <w:gridSpan w:val="2"/>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22046404" w14:textId="77777777" w:rsidR="00ED21D3" w:rsidRPr="00130C34" w:rsidRDefault="00ED21D3" w:rsidP="00270E76">
            <w:pPr>
              <w:suppressAutoHyphens w:val="0"/>
              <w:spacing w:before="0" w:after="0"/>
              <w:jc w:val="center"/>
              <w:textAlignment w:val="auto"/>
              <w:rPr>
                <w:rFonts w:eastAsia="Times New Roman"/>
                <w:color w:val="FFFFFF" w:themeColor="background1"/>
                <w:lang w:val="es-ES"/>
              </w:rPr>
            </w:pPr>
            <w:r w:rsidRPr="003D1869">
              <w:rPr>
                <w:rFonts w:eastAsia="Times New Roman"/>
                <w:b/>
                <w:color w:val="FFFFFF" w:themeColor="background1"/>
                <w:lang w:val="es-ES"/>
              </w:rPr>
              <w:t>EN 60081:1998/A6:2017</w:t>
            </w:r>
          </w:p>
        </w:tc>
        <w:tc>
          <w:tcPr>
            <w:tcW w:w="4251" w:type="dxa"/>
            <w:gridSpan w:val="2"/>
            <w:tcBorders>
              <w:top w:val="single" w:sz="6" w:space="0" w:color="5B9BD5"/>
              <w:bottom w:val="single" w:sz="6" w:space="0" w:color="5B9BD5"/>
            </w:tcBorders>
            <w:shd w:val="clear" w:color="auto" w:fill="5B9BD5"/>
            <w:tcMar>
              <w:top w:w="0" w:type="dxa"/>
              <w:left w:w="108" w:type="dxa"/>
              <w:bottom w:w="0" w:type="dxa"/>
              <w:right w:w="108" w:type="dxa"/>
            </w:tcMar>
          </w:tcPr>
          <w:p w14:paraId="1D7DB709" w14:textId="77777777" w:rsidR="00ED21D3" w:rsidRPr="00130C34" w:rsidRDefault="00ED21D3" w:rsidP="00270E76">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NMX-J-295/2-ANCE-2010</w:t>
            </w:r>
          </w:p>
        </w:tc>
      </w:tr>
      <w:tr w:rsidR="00ED21D3" w:rsidRPr="00914127" w14:paraId="2A73D2BE" w14:textId="77777777" w:rsidTr="00270E76">
        <w:trPr>
          <w:jc w:val="center"/>
        </w:trPr>
        <w:tc>
          <w:tcPr>
            <w:tcW w:w="4245" w:type="dxa"/>
            <w:gridSpan w:val="2"/>
            <w:tcBorders>
              <w:top w:val="single" w:sz="6" w:space="0" w:color="5B9BD5"/>
              <w:left w:val="single" w:sz="6" w:space="0" w:color="5B9BD5"/>
              <w:bottom w:val="single" w:sz="6" w:space="0" w:color="5B9BD5"/>
            </w:tcBorders>
            <w:shd w:val="clear" w:color="auto" w:fill="9CC2E5"/>
            <w:tcMar>
              <w:top w:w="0" w:type="dxa"/>
              <w:left w:w="108" w:type="dxa"/>
              <w:bottom w:w="0" w:type="dxa"/>
              <w:right w:w="108" w:type="dxa"/>
            </w:tcMar>
          </w:tcPr>
          <w:p w14:paraId="07FDA37E" w14:textId="21FBFADB" w:rsidR="00ED21D3" w:rsidRPr="00A211CA" w:rsidRDefault="00A211CA" w:rsidP="00270E76">
            <w:pPr>
              <w:suppressAutoHyphens w:val="0"/>
              <w:spacing w:before="0" w:after="0"/>
              <w:jc w:val="center"/>
              <w:textAlignment w:val="auto"/>
              <w:rPr>
                <w:rFonts w:eastAsia="Times New Roman"/>
                <w:b/>
                <w:color w:val="FFFFFF" w:themeColor="background1"/>
                <w:lang w:val="en-US"/>
              </w:rPr>
            </w:pPr>
            <w:r w:rsidRPr="00A211CA">
              <w:rPr>
                <w:rFonts w:eastAsia="Times New Roman"/>
                <w:b/>
                <w:color w:val="FFFFFF" w:themeColor="background1"/>
                <w:lang w:val="en-US"/>
              </w:rPr>
              <w:t>Double-capped fluorescent lamps</w:t>
            </w:r>
            <w:r w:rsidR="00ED21D3" w:rsidRPr="00A211CA">
              <w:rPr>
                <w:rFonts w:eastAsia="Times New Roman"/>
                <w:b/>
                <w:color w:val="FFFFFF" w:themeColor="background1"/>
                <w:lang w:val="en-US"/>
              </w:rPr>
              <w:t xml:space="preserve"> –</w:t>
            </w:r>
          </w:p>
          <w:p w14:paraId="2875BC11" w14:textId="3188140D" w:rsidR="00ED21D3" w:rsidRPr="00A211CA" w:rsidRDefault="00ED21D3" w:rsidP="00A211CA">
            <w:pPr>
              <w:suppressAutoHyphens w:val="0"/>
              <w:spacing w:before="0" w:after="0"/>
              <w:jc w:val="center"/>
              <w:textAlignment w:val="auto"/>
              <w:rPr>
                <w:rFonts w:eastAsia="Times New Roman"/>
                <w:b/>
                <w:color w:val="FFFFFF" w:themeColor="background1"/>
                <w:lang w:val="en-US"/>
              </w:rPr>
            </w:pPr>
            <w:r w:rsidRPr="00A211CA">
              <w:rPr>
                <w:rFonts w:eastAsia="Times New Roman"/>
                <w:b/>
                <w:color w:val="FFFFFF" w:themeColor="background1"/>
                <w:lang w:val="en-US"/>
              </w:rPr>
              <w:t>P</w:t>
            </w:r>
            <w:r w:rsidR="00A211CA" w:rsidRPr="00A211CA">
              <w:rPr>
                <w:rFonts w:eastAsia="Times New Roman"/>
                <w:b/>
                <w:color w:val="FFFFFF" w:themeColor="background1"/>
                <w:lang w:val="en-US"/>
              </w:rPr>
              <w:t>erformance specifications</w:t>
            </w:r>
          </w:p>
        </w:tc>
        <w:tc>
          <w:tcPr>
            <w:tcW w:w="4251" w:type="dxa"/>
            <w:gridSpan w:val="2"/>
            <w:tcBorders>
              <w:top w:val="single" w:sz="6" w:space="0" w:color="5B9BD5"/>
              <w:bottom w:val="single" w:sz="6" w:space="0" w:color="5B9BD5"/>
            </w:tcBorders>
            <w:shd w:val="clear" w:color="auto" w:fill="9CC2E5"/>
            <w:tcMar>
              <w:top w:w="0" w:type="dxa"/>
              <w:left w:w="108" w:type="dxa"/>
              <w:bottom w:w="0" w:type="dxa"/>
              <w:right w:w="108" w:type="dxa"/>
            </w:tcMar>
          </w:tcPr>
          <w:p w14:paraId="47BCA0DB" w14:textId="77777777" w:rsidR="00ED21D3" w:rsidRDefault="00ED21D3" w:rsidP="00270E76">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 xml:space="preserve">Iluminación </w:t>
            </w:r>
            <w:r w:rsidRPr="00DD7689">
              <w:rPr>
                <w:rFonts w:cs="Calibri"/>
                <w:b/>
                <w:bCs/>
                <w:color w:val="FFFFFF" w:themeColor="background1"/>
                <w:lang w:val="es-PA"/>
              </w:rPr>
              <w:t>–</w:t>
            </w:r>
            <w:r>
              <w:rPr>
                <w:rFonts w:cs="Calibri"/>
                <w:b/>
                <w:bCs/>
                <w:color w:val="FFFFFF" w:themeColor="background1"/>
                <w:lang w:val="es-PA"/>
              </w:rPr>
              <w:t xml:space="preserve"> Lámparas fluorescentes de doble base para alumbrado general </w:t>
            </w:r>
            <w:r w:rsidRPr="00DD7689">
              <w:rPr>
                <w:rFonts w:cs="Calibri"/>
                <w:b/>
                <w:bCs/>
                <w:color w:val="FFFFFF" w:themeColor="background1"/>
                <w:lang w:val="es-PA"/>
              </w:rPr>
              <w:t>–</w:t>
            </w:r>
            <w:r>
              <w:rPr>
                <w:rFonts w:cs="Calibri"/>
                <w:b/>
                <w:bCs/>
                <w:color w:val="FFFFFF" w:themeColor="background1"/>
                <w:lang w:val="es-PA"/>
              </w:rPr>
              <w:t xml:space="preserve"> especificaciones y métodos de prueba  </w:t>
            </w:r>
          </w:p>
        </w:tc>
      </w:tr>
      <w:tr w:rsidR="005D61DD" w:rsidRPr="005F6604" w14:paraId="63D721A7" w14:textId="77777777" w:rsidTr="00186EBE">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FE5894D" w14:textId="77777777" w:rsidR="005D61DD" w:rsidRDefault="005D61DD" w:rsidP="00270E76">
            <w:pPr>
              <w:suppressAutoHyphens w:val="0"/>
              <w:spacing w:before="0" w:after="0"/>
              <w:jc w:val="left"/>
              <w:textAlignment w:val="auto"/>
              <w:rPr>
                <w:rFonts w:asciiTheme="minorHAnsi" w:eastAsia="Times New Roman" w:hAnsiTheme="minorHAnsi" w:cstheme="minorHAnsi"/>
                <w:sz w:val="20"/>
                <w:szCs w:val="20"/>
                <w:lang w:val="es-ES"/>
              </w:rPr>
            </w:pPr>
          </w:p>
        </w:tc>
        <w:tc>
          <w:tcPr>
            <w:tcW w:w="2835"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03D13E3F" w14:textId="77777777" w:rsidR="005D61DD" w:rsidRPr="00270E76" w:rsidRDefault="005D61DD" w:rsidP="00270E76">
            <w:pPr>
              <w:suppressAutoHyphens w:val="0"/>
              <w:spacing w:before="0" w:after="0"/>
              <w:jc w:val="left"/>
              <w:textAlignment w:val="auto"/>
              <w:rPr>
                <w:rFonts w:asciiTheme="minorHAnsi" w:eastAsia="Times New Roman" w:hAnsiTheme="minorHAnsi" w:cstheme="minorHAnsi"/>
                <w:sz w:val="20"/>
                <w:szCs w:val="20"/>
                <w:lang w:val="es-ES"/>
              </w:rPr>
            </w:pP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D4DA040" w14:textId="50EAB95A" w:rsidR="005D61DD" w:rsidRPr="00186EBE" w:rsidRDefault="005D61DD" w:rsidP="00270E76">
            <w:pPr>
              <w:suppressAutoHyphens w:val="0"/>
              <w:spacing w:before="0" w:after="0"/>
              <w:jc w:val="left"/>
              <w:textAlignment w:val="auto"/>
              <w:rPr>
                <w:rFonts w:asciiTheme="minorHAnsi" w:eastAsia="Times New Roman" w:hAnsiTheme="minorHAnsi" w:cstheme="minorHAnsi"/>
                <w:sz w:val="20"/>
                <w:szCs w:val="20"/>
              </w:rPr>
            </w:pPr>
            <w:r w:rsidRPr="00186EBE">
              <w:rPr>
                <w:rFonts w:asciiTheme="minorHAnsi" w:eastAsia="Times New Roman" w:hAnsiTheme="minorHAnsi" w:cstheme="minorHAnsi"/>
                <w:sz w:val="20"/>
                <w:szCs w:val="20"/>
              </w:rPr>
              <w:t>IEC 60081 ed. 5.1 2002</w:t>
            </w:r>
          </w:p>
        </w:tc>
        <w:tc>
          <w:tcPr>
            <w:tcW w:w="2550" w:type="dxa"/>
            <w:tcBorders>
              <w:top w:val="single" w:sz="6" w:space="0" w:color="9CC2E5"/>
              <w:left w:val="single" w:sz="6" w:space="0" w:color="9CC2E5"/>
              <w:bottom w:val="single" w:sz="6" w:space="0" w:color="9CC2E5"/>
              <w:right w:val="single" w:sz="6" w:space="0" w:color="9CC2E5"/>
            </w:tcBorders>
            <w:shd w:val="clear" w:color="auto" w:fill="auto"/>
          </w:tcPr>
          <w:p w14:paraId="760974EA" w14:textId="748187E9" w:rsidR="005D61DD" w:rsidRPr="00186EBE" w:rsidRDefault="005D61DD" w:rsidP="00270E76">
            <w:pPr>
              <w:suppressAutoHyphens w:val="0"/>
              <w:spacing w:before="0" w:after="0"/>
              <w:jc w:val="left"/>
              <w:textAlignment w:val="auto"/>
              <w:rPr>
                <w:rFonts w:asciiTheme="minorHAnsi" w:eastAsia="Times New Roman" w:hAnsiTheme="minorHAnsi" w:cstheme="minorHAnsi"/>
                <w:sz w:val="20"/>
                <w:szCs w:val="20"/>
              </w:rPr>
            </w:pPr>
            <w:r w:rsidRPr="00186EBE">
              <w:rPr>
                <w:rFonts w:asciiTheme="minorHAnsi" w:eastAsia="Times New Roman" w:hAnsiTheme="minorHAnsi" w:cstheme="minorHAnsi"/>
                <w:sz w:val="20"/>
                <w:szCs w:val="20"/>
              </w:rPr>
              <w:t>Double-capped fluorescent lamps – Performance specifications</w:t>
            </w:r>
          </w:p>
        </w:tc>
      </w:tr>
      <w:tr w:rsidR="005D61DD" w:rsidRPr="00914127" w14:paraId="1D92D649" w14:textId="77777777" w:rsidTr="00186EBE">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DCF5572" w14:textId="77777777" w:rsidR="005D61DD" w:rsidRPr="00270E76" w:rsidRDefault="005D61DD" w:rsidP="00270E76">
            <w:pPr>
              <w:suppressAutoHyphens w:val="0"/>
              <w:spacing w:before="0" w:after="0"/>
              <w:jc w:val="left"/>
              <w:textAlignment w:val="auto"/>
              <w:rPr>
                <w:rFonts w:asciiTheme="minorHAnsi" w:eastAsia="Times New Roman" w:hAnsiTheme="minorHAnsi" w:cstheme="minorHAnsi"/>
                <w:sz w:val="20"/>
                <w:szCs w:val="20"/>
                <w:lang w:val="en-US"/>
              </w:rPr>
            </w:pP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60DD8F2" w14:textId="77777777" w:rsidR="005D61DD" w:rsidRPr="00A211CA" w:rsidRDefault="005D61DD" w:rsidP="00270E76">
            <w:pPr>
              <w:suppressAutoHyphens w:val="0"/>
              <w:spacing w:before="0" w:after="0"/>
              <w:jc w:val="left"/>
              <w:textAlignment w:val="auto"/>
              <w:rPr>
                <w:rFonts w:asciiTheme="minorHAnsi" w:eastAsia="Times New Roman" w:hAnsiTheme="minorHAnsi" w:cstheme="minorHAnsi"/>
                <w:sz w:val="20"/>
                <w:szCs w:val="20"/>
                <w:lang w:val="en-US"/>
              </w:rPr>
            </w:pP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C48905C" w14:textId="45344D73" w:rsidR="005D61DD" w:rsidRDefault="005D61DD" w:rsidP="00A0427E">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NMX-Z-013</w:t>
            </w:r>
            <w:r w:rsidR="00A0427E">
              <w:rPr>
                <w:rFonts w:asciiTheme="minorHAnsi" w:eastAsia="Times New Roman" w:hAnsiTheme="minorHAnsi" w:cstheme="minorHAnsi"/>
                <w:sz w:val="20"/>
                <w:szCs w:val="20"/>
              </w:rPr>
              <w:t>-</w:t>
            </w:r>
            <w:r>
              <w:rPr>
                <w:rFonts w:asciiTheme="minorHAnsi" w:eastAsia="Times New Roman" w:hAnsiTheme="minorHAnsi" w:cstheme="minorHAnsi"/>
                <w:sz w:val="20"/>
                <w:szCs w:val="20"/>
              </w:rPr>
              <w:t>1</w:t>
            </w:r>
          </w:p>
        </w:tc>
        <w:tc>
          <w:tcPr>
            <w:tcW w:w="2550" w:type="dxa"/>
            <w:tcBorders>
              <w:top w:val="single" w:sz="6" w:space="0" w:color="9CC2E5"/>
              <w:left w:val="single" w:sz="6" w:space="0" w:color="9CC2E5"/>
              <w:bottom w:val="single" w:sz="6" w:space="0" w:color="9CC2E5"/>
              <w:right w:val="single" w:sz="6" w:space="0" w:color="9CC2E5"/>
            </w:tcBorders>
            <w:shd w:val="clear" w:color="auto" w:fill="DEEAF6"/>
          </w:tcPr>
          <w:p w14:paraId="7C2F71DF" w14:textId="77777777" w:rsidR="005D61DD" w:rsidRPr="00A0427E" w:rsidRDefault="00A0427E" w:rsidP="00A0427E">
            <w:pPr>
              <w:suppressAutoHyphens w:val="0"/>
              <w:spacing w:before="0" w:after="0"/>
              <w:jc w:val="left"/>
              <w:textAlignment w:val="auto"/>
              <w:rPr>
                <w:rFonts w:asciiTheme="minorHAnsi" w:eastAsia="Times New Roman" w:hAnsiTheme="minorHAnsi" w:cstheme="minorHAnsi"/>
                <w:sz w:val="20"/>
                <w:szCs w:val="20"/>
                <w:lang w:val="es-ES"/>
              </w:rPr>
            </w:pPr>
            <w:r w:rsidRPr="00A0427E">
              <w:rPr>
                <w:rFonts w:asciiTheme="minorHAnsi" w:eastAsia="Times New Roman" w:hAnsiTheme="minorHAnsi" w:cstheme="minorHAnsi"/>
                <w:sz w:val="20"/>
                <w:szCs w:val="20"/>
                <w:lang w:val="es-ES"/>
              </w:rPr>
              <w:t>Guía para la estructuración y redacción de</w:t>
            </w:r>
            <w:r>
              <w:rPr>
                <w:rFonts w:asciiTheme="minorHAnsi" w:eastAsia="Times New Roman" w:hAnsiTheme="minorHAnsi" w:cstheme="minorHAnsi"/>
                <w:sz w:val="20"/>
                <w:szCs w:val="20"/>
                <w:lang w:val="es-ES"/>
              </w:rPr>
              <w:t xml:space="preserve"> </w:t>
            </w:r>
            <w:r w:rsidRPr="00A0427E">
              <w:rPr>
                <w:rFonts w:asciiTheme="minorHAnsi" w:eastAsia="Times New Roman" w:hAnsiTheme="minorHAnsi" w:cstheme="minorHAnsi"/>
                <w:sz w:val="20"/>
                <w:szCs w:val="20"/>
                <w:lang w:val="es-ES"/>
              </w:rPr>
              <w:t>Normas</w:t>
            </w:r>
          </w:p>
          <w:p w14:paraId="26D6E819" w14:textId="69D251CC" w:rsidR="00A0427E" w:rsidRPr="00A0427E" w:rsidRDefault="00A0427E" w:rsidP="00A0427E">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(reemplazada por </w:t>
            </w:r>
            <w:r w:rsidRPr="00A0427E">
              <w:rPr>
                <w:rFonts w:asciiTheme="minorHAnsi" w:eastAsia="Times New Roman" w:hAnsiTheme="minorHAnsi" w:cstheme="minorHAnsi"/>
                <w:sz w:val="20"/>
                <w:szCs w:val="20"/>
                <w:lang w:val="es-ES"/>
              </w:rPr>
              <w:t>NMX-Z-013-SCFI-2015</w:t>
            </w:r>
            <w:r>
              <w:rPr>
                <w:rFonts w:asciiTheme="minorHAnsi" w:eastAsia="Times New Roman" w:hAnsiTheme="minorHAnsi" w:cstheme="minorHAnsi"/>
                <w:sz w:val="20"/>
                <w:szCs w:val="20"/>
                <w:lang w:val="es-ES"/>
              </w:rPr>
              <w:t>)</w:t>
            </w:r>
          </w:p>
        </w:tc>
      </w:tr>
      <w:tr w:rsidR="00ED21D3" w:rsidRPr="00914127" w14:paraId="1067C745" w14:textId="77777777" w:rsidTr="00270E76">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8688D0E" w14:textId="77777777" w:rsidR="00ED21D3" w:rsidRPr="00F12B62" w:rsidRDefault="00ED21D3" w:rsidP="00270E76">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IEC 60921</w:t>
            </w:r>
          </w:p>
        </w:tc>
        <w:tc>
          <w:tcPr>
            <w:tcW w:w="2835" w:type="dxa"/>
            <w:tcBorders>
              <w:top w:val="single" w:sz="6" w:space="0" w:color="9CC2E5"/>
              <w:left w:val="single" w:sz="6" w:space="0" w:color="9CC2E5"/>
              <w:bottom w:val="single" w:sz="6" w:space="0" w:color="9CC2E5"/>
              <w:right w:val="single" w:sz="6" w:space="0" w:color="9CC2E5"/>
            </w:tcBorders>
            <w:tcMar>
              <w:top w:w="0" w:type="dxa"/>
              <w:left w:w="108" w:type="dxa"/>
              <w:bottom w:w="0" w:type="dxa"/>
              <w:right w:w="108" w:type="dxa"/>
            </w:tcMar>
          </w:tcPr>
          <w:p w14:paraId="1DF8173F" w14:textId="65B658E3" w:rsidR="00ED21D3" w:rsidRPr="00A211CA" w:rsidRDefault="00A211CA" w:rsidP="00270E76">
            <w:pPr>
              <w:suppressAutoHyphens w:val="0"/>
              <w:spacing w:before="0" w:after="0"/>
              <w:jc w:val="left"/>
              <w:textAlignment w:val="auto"/>
              <w:rPr>
                <w:rFonts w:asciiTheme="minorHAnsi" w:eastAsia="Times New Roman" w:hAnsiTheme="minorHAnsi" w:cstheme="minorHAnsi"/>
                <w:sz w:val="20"/>
                <w:szCs w:val="20"/>
                <w:lang w:val="en-US"/>
              </w:rPr>
            </w:pPr>
            <w:r w:rsidRPr="00A211CA">
              <w:rPr>
                <w:rFonts w:asciiTheme="minorHAnsi" w:eastAsia="Times New Roman" w:hAnsiTheme="minorHAnsi" w:cstheme="minorHAnsi"/>
                <w:sz w:val="20"/>
                <w:szCs w:val="20"/>
                <w:lang w:val="en-US"/>
              </w:rPr>
              <w:t>Ballasts for tubular fluorescent lamps –</w:t>
            </w:r>
            <w:r>
              <w:rPr>
                <w:rFonts w:asciiTheme="minorHAnsi" w:eastAsia="Times New Roman" w:hAnsiTheme="minorHAnsi" w:cstheme="minorHAnsi"/>
                <w:sz w:val="20"/>
                <w:szCs w:val="20"/>
                <w:lang w:val="en-US"/>
              </w:rPr>
              <w:t xml:space="preserve"> Performance requirements</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1A09876" w14:textId="65DB4A6F" w:rsidR="00ED21D3" w:rsidRPr="00F12B62" w:rsidRDefault="00ED21D3" w:rsidP="00270E76">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NMX-J-156-ANCE</w:t>
            </w:r>
          </w:p>
        </w:tc>
        <w:tc>
          <w:tcPr>
            <w:tcW w:w="2550" w:type="dxa"/>
            <w:tcBorders>
              <w:top w:val="single" w:sz="6" w:space="0" w:color="9CC2E5"/>
              <w:left w:val="single" w:sz="6" w:space="0" w:color="9CC2E5"/>
              <w:bottom w:val="single" w:sz="6" w:space="0" w:color="9CC2E5"/>
              <w:right w:val="single" w:sz="6" w:space="0" w:color="9CC2E5"/>
            </w:tcBorders>
          </w:tcPr>
          <w:p w14:paraId="1905D923" w14:textId="0EBD80A5" w:rsidR="00ED21D3" w:rsidRPr="00EB5068" w:rsidRDefault="00EB5068" w:rsidP="00EB5068">
            <w:pPr>
              <w:suppressAutoHyphens w:val="0"/>
              <w:spacing w:before="0" w:after="0"/>
              <w:jc w:val="left"/>
              <w:textAlignment w:val="auto"/>
              <w:rPr>
                <w:rFonts w:asciiTheme="minorHAnsi" w:eastAsia="Times New Roman" w:hAnsiTheme="minorHAnsi" w:cstheme="minorHAnsi"/>
                <w:sz w:val="20"/>
                <w:szCs w:val="20"/>
                <w:lang w:val="es-ES"/>
              </w:rPr>
            </w:pPr>
            <w:r w:rsidRPr="00EB5068">
              <w:rPr>
                <w:rFonts w:asciiTheme="minorHAnsi" w:eastAsia="Times New Roman" w:hAnsiTheme="minorHAnsi" w:cstheme="minorHAnsi"/>
                <w:sz w:val="20"/>
                <w:szCs w:val="20"/>
                <w:lang w:val="es-ES"/>
              </w:rPr>
              <w:t>Iluminación – Balastros electromagnéticos para l</w:t>
            </w:r>
            <w:r>
              <w:rPr>
                <w:rFonts w:asciiTheme="minorHAnsi" w:eastAsia="Times New Roman" w:hAnsiTheme="minorHAnsi" w:cstheme="minorHAnsi"/>
                <w:sz w:val="20"/>
                <w:szCs w:val="20"/>
                <w:lang w:val="es-ES"/>
              </w:rPr>
              <w:t xml:space="preserve">ámparas fluorescentes </w:t>
            </w:r>
            <w:r w:rsidRPr="00EB5068">
              <w:rPr>
                <w:rFonts w:asciiTheme="minorHAnsi" w:eastAsia="Times New Roman" w:hAnsiTheme="minorHAnsi" w:cstheme="minorHAnsi"/>
                <w:sz w:val="20"/>
                <w:szCs w:val="20"/>
                <w:lang w:val="es-ES"/>
              </w:rPr>
              <w:t>–</w:t>
            </w:r>
            <w:r>
              <w:rPr>
                <w:rFonts w:asciiTheme="minorHAnsi" w:eastAsia="Times New Roman" w:hAnsiTheme="minorHAnsi" w:cstheme="minorHAnsi"/>
                <w:sz w:val="20"/>
                <w:szCs w:val="20"/>
                <w:lang w:val="es-ES"/>
              </w:rPr>
              <w:t xml:space="preserve"> Especificaciones</w:t>
            </w:r>
          </w:p>
        </w:tc>
      </w:tr>
      <w:tr w:rsidR="00ED21D3" w:rsidRPr="00914127" w14:paraId="3CF8700E" w14:textId="77777777" w:rsidTr="00270E76">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8545457" w14:textId="77777777" w:rsidR="00ED21D3" w:rsidRPr="00992D03" w:rsidRDefault="00ED21D3" w:rsidP="00270E76">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IEC 60929</w:t>
            </w: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634893C" w14:textId="554F67D6" w:rsidR="00ED21D3" w:rsidRPr="00F12B62" w:rsidRDefault="00A211CA" w:rsidP="00270E76">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AC supplied electronic ballasts for tubular fluores</w:t>
            </w:r>
            <w:r w:rsidR="001462CF">
              <w:rPr>
                <w:rFonts w:asciiTheme="minorHAnsi" w:eastAsia="Times New Roman" w:hAnsiTheme="minorHAnsi" w:cstheme="minorHAnsi"/>
                <w:sz w:val="20"/>
                <w:szCs w:val="20"/>
              </w:rPr>
              <w:t>c</w:t>
            </w:r>
            <w:r>
              <w:rPr>
                <w:rFonts w:asciiTheme="minorHAnsi" w:eastAsia="Times New Roman" w:hAnsiTheme="minorHAnsi" w:cstheme="minorHAnsi"/>
                <w:sz w:val="20"/>
                <w:szCs w:val="20"/>
              </w:rPr>
              <w:t xml:space="preserve">ent lamps  </w:t>
            </w:r>
            <w:r w:rsidRPr="00A211CA">
              <w:rPr>
                <w:rFonts w:asciiTheme="minorHAnsi" w:eastAsia="Times New Roman" w:hAnsiTheme="minorHAnsi" w:cstheme="minorHAnsi"/>
                <w:sz w:val="20"/>
                <w:szCs w:val="20"/>
              </w:rPr>
              <w:t>–</w:t>
            </w:r>
            <w:r>
              <w:rPr>
                <w:rFonts w:asciiTheme="minorHAnsi" w:eastAsia="Times New Roman" w:hAnsiTheme="minorHAnsi" w:cstheme="minorHAnsi"/>
                <w:sz w:val="20"/>
                <w:szCs w:val="20"/>
              </w:rPr>
              <w:t>Performance requirements</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881B7E9" w14:textId="540D434F" w:rsidR="00ED21D3" w:rsidRPr="00992D03" w:rsidRDefault="00ED21D3" w:rsidP="00270E76">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NMX-J-197-ANCE</w:t>
            </w:r>
          </w:p>
        </w:tc>
        <w:tc>
          <w:tcPr>
            <w:tcW w:w="2550" w:type="dxa"/>
            <w:tcBorders>
              <w:top w:val="single" w:sz="6" w:space="0" w:color="9CC2E5"/>
              <w:left w:val="single" w:sz="6" w:space="0" w:color="9CC2E5"/>
              <w:bottom w:val="single" w:sz="6" w:space="0" w:color="9CC2E5"/>
              <w:right w:val="single" w:sz="6" w:space="0" w:color="9CC2E5"/>
            </w:tcBorders>
            <w:shd w:val="clear" w:color="auto" w:fill="DEEAF6"/>
          </w:tcPr>
          <w:p w14:paraId="63793BCF" w14:textId="1270DEDD" w:rsidR="00ED21D3" w:rsidRPr="00EB5068" w:rsidRDefault="00EB5068" w:rsidP="00EB5068">
            <w:pPr>
              <w:suppressAutoHyphens w:val="0"/>
              <w:spacing w:before="0" w:after="0"/>
              <w:jc w:val="left"/>
              <w:textAlignment w:val="auto"/>
              <w:rPr>
                <w:rFonts w:asciiTheme="minorHAnsi" w:eastAsia="Times New Roman" w:hAnsiTheme="minorHAnsi" w:cstheme="minorHAnsi"/>
                <w:sz w:val="20"/>
                <w:szCs w:val="20"/>
                <w:lang w:val="es-ES"/>
              </w:rPr>
            </w:pPr>
            <w:r w:rsidRPr="00EB5068">
              <w:rPr>
                <w:rFonts w:asciiTheme="minorHAnsi" w:eastAsia="Times New Roman" w:hAnsiTheme="minorHAnsi" w:cstheme="minorHAnsi"/>
                <w:sz w:val="20"/>
                <w:szCs w:val="20"/>
                <w:lang w:val="es-ES"/>
              </w:rPr>
              <w:t>Iluminación –</w:t>
            </w:r>
            <w:r>
              <w:rPr>
                <w:rFonts w:asciiTheme="minorHAnsi" w:eastAsia="Times New Roman" w:hAnsiTheme="minorHAnsi" w:cstheme="minorHAnsi"/>
                <w:sz w:val="20"/>
                <w:szCs w:val="20"/>
                <w:lang w:val="es-ES"/>
              </w:rPr>
              <w:t xml:space="preserve"> </w:t>
            </w:r>
            <w:r w:rsidRPr="00EB5068">
              <w:rPr>
                <w:rFonts w:asciiTheme="minorHAnsi" w:eastAsia="Times New Roman" w:hAnsiTheme="minorHAnsi" w:cstheme="minorHAnsi"/>
                <w:sz w:val="20"/>
                <w:szCs w:val="20"/>
                <w:lang w:val="es-ES"/>
              </w:rPr>
              <w:t>Balastros de impedancia lineal para l</w:t>
            </w:r>
            <w:r>
              <w:rPr>
                <w:rFonts w:asciiTheme="minorHAnsi" w:eastAsia="Times New Roman" w:hAnsiTheme="minorHAnsi" w:cstheme="minorHAnsi"/>
                <w:sz w:val="20"/>
                <w:szCs w:val="20"/>
                <w:lang w:val="es-ES"/>
              </w:rPr>
              <w:t xml:space="preserve">ámparas fluorescentes </w:t>
            </w:r>
            <w:r w:rsidRPr="00EB5068">
              <w:rPr>
                <w:rFonts w:asciiTheme="minorHAnsi" w:eastAsia="Times New Roman" w:hAnsiTheme="minorHAnsi" w:cstheme="minorHAnsi"/>
                <w:sz w:val="20"/>
                <w:szCs w:val="20"/>
                <w:lang w:val="es-ES"/>
              </w:rPr>
              <w:t>–</w:t>
            </w:r>
            <w:r>
              <w:rPr>
                <w:rFonts w:asciiTheme="minorHAnsi" w:eastAsia="Times New Roman" w:hAnsiTheme="minorHAnsi" w:cstheme="minorHAnsi"/>
                <w:sz w:val="20"/>
                <w:szCs w:val="20"/>
                <w:lang w:val="es-ES"/>
              </w:rPr>
              <w:t xml:space="preserve"> Especificaciones</w:t>
            </w:r>
          </w:p>
        </w:tc>
      </w:tr>
      <w:tr w:rsidR="00ED21D3" w:rsidRPr="00914127" w14:paraId="57B291A9" w14:textId="77777777" w:rsidTr="00ED21D3">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4E30DA1" w14:textId="16CA4538" w:rsidR="00ED21D3" w:rsidRDefault="00ED21D3" w:rsidP="00270E76">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IEC 60155</w:t>
            </w: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58EA397" w14:textId="60B4A28C" w:rsidR="00ED21D3" w:rsidRPr="00F12B62" w:rsidRDefault="00A211CA" w:rsidP="00270E76">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Glow starters for fluorescent lamps</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C26CA59" w14:textId="2B4AA1B1" w:rsidR="00ED21D3" w:rsidRPr="00992D03" w:rsidRDefault="00A0427E" w:rsidP="00270E76">
            <w:pPr>
              <w:suppressAutoHyphens w:val="0"/>
              <w:spacing w:before="0" w:after="0"/>
              <w:jc w:val="left"/>
              <w:textAlignment w:val="auto"/>
              <w:rPr>
                <w:rFonts w:asciiTheme="minorHAnsi" w:eastAsia="Times New Roman" w:hAnsiTheme="minorHAnsi" w:cstheme="minorHAnsi"/>
                <w:sz w:val="20"/>
                <w:szCs w:val="20"/>
              </w:rPr>
            </w:pPr>
            <w:r w:rsidRPr="00A0427E">
              <w:rPr>
                <w:rFonts w:asciiTheme="minorHAnsi" w:eastAsia="Times New Roman" w:hAnsiTheme="minorHAnsi" w:cstheme="minorHAnsi"/>
                <w:sz w:val="20"/>
                <w:szCs w:val="20"/>
              </w:rPr>
              <w:t>NMX-J-513-ANCE</w:t>
            </w:r>
          </w:p>
        </w:tc>
        <w:tc>
          <w:tcPr>
            <w:tcW w:w="2550" w:type="dxa"/>
            <w:tcBorders>
              <w:top w:val="single" w:sz="6" w:space="0" w:color="9CC2E5"/>
              <w:left w:val="single" w:sz="6" w:space="0" w:color="9CC2E5"/>
              <w:bottom w:val="single" w:sz="6" w:space="0" w:color="9CC2E5"/>
              <w:right w:val="single" w:sz="6" w:space="0" w:color="9CC2E5"/>
            </w:tcBorders>
            <w:shd w:val="clear" w:color="auto" w:fill="auto"/>
          </w:tcPr>
          <w:p w14:paraId="672D80C9" w14:textId="04668582" w:rsidR="00ED21D3" w:rsidRPr="00EB5068" w:rsidRDefault="00A0427E" w:rsidP="00270E76">
            <w:pPr>
              <w:suppressAutoHyphens w:val="0"/>
              <w:spacing w:before="0" w:after="0"/>
              <w:jc w:val="left"/>
              <w:textAlignment w:val="auto"/>
              <w:rPr>
                <w:rFonts w:asciiTheme="minorHAnsi" w:eastAsia="Times New Roman" w:hAnsiTheme="minorHAnsi" w:cstheme="minorHAnsi"/>
                <w:sz w:val="20"/>
                <w:szCs w:val="20"/>
                <w:lang w:val="es-ES"/>
              </w:rPr>
            </w:pPr>
            <w:r w:rsidRPr="00A0427E">
              <w:rPr>
                <w:rFonts w:asciiTheme="minorHAnsi" w:eastAsia="Times New Roman" w:hAnsiTheme="minorHAnsi" w:cstheme="minorHAnsi"/>
                <w:sz w:val="20"/>
                <w:szCs w:val="20"/>
                <w:lang w:val="es-ES"/>
              </w:rPr>
              <w:t>Iluminación – Balastros de alta frecuencia para lámparas fluorescentes – Especificaciones</w:t>
            </w:r>
          </w:p>
        </w:tc>
      </w:tr>
      <w:tr w:rsidR="00ED21D3" w:rsidRPr="001F1C6F" w14:paraId="2F3E593C" w14:textId="77777777" w:rsidTr="00270E76">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3D7B6C8" w14:textId="0E007BF7" w:rsidR="00ED21D3" w:rsidRDefault="00ED21D3" w:rsidP="00270E76">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IEC 60927</w:t>
            </w: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58C1523" w14:textId="2FAA9962" w:rsidR="00ED21D3" w:rsidRPr="00F12B62" w:rsidRDefault="00A211CA" w:rsidP="00270E76">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Auxiliaries for lamps </w:t>
            </w:r>
            <w:r w:rsidRPr="00A211CA">
              <w:rPr>
                <w:rFonts w:asciiTheme="minorHAnsi" w:eastAsia="Times New Roman" w:hAnsiTheme="minorHAnsi" w:cstheme="minorHAnsi"/>
                <w:sz w:val="20"/>
                <w:szCs w:val="20"/>
              </w:rPr>
              <w:t>–</w:t>
            </w:r>
            <w:r>
              <w:rPr>
                <w:rFonts w:asciiTheme="minorHAnsi" w:eastAsia="Times New Roman" w:hAnsiTheme="minorHAnsi" w:cstheme="minorHAnsi"/>
                <w:sz w:val="20"/>
                <w:szCs w:val="20"/>
              </w:rPr>
              <w:t xml:space="preserve"> Starting devices (other than glow starters) </w:t>
            </w:r>
            <w:r w:rsidRPr="00A211CA">
              <w:rPr>
                <w:rFonts w:asciiTheme="minorHAnsi" w:eastAsia="Times New Roman" w:hAnsiTheme="minorHAnsi" w:cstheme="minorHAnsi"/>
                <w:sz w:val="20"/>
                <w:szCs w:val="20"/>
              </w:rPr>
              <w:t>–</w:t>
            </w:r>
            <w:r>
              <w:rPr>
                <w:rFonts w:asciiTheme="minorHAnsi" w:eastAsia="Times New Roman" w:hAnsiTheme="minorHAnsi" w:cstheme="minorHAnsi"/>
                <w:sz w:val="20"/>
                <w:szCs w:val="20"/>
              </w:rPr>
              <w:t xml:space="preserve"> Performance requirements</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A13AA91" w14:textId="77777777" w:rsidR="00ED21D3" w:rsidRPr="00992D03" w:rsidRDefault="00ED21D3" w:rsidP="00270E76">
            <w:pPr>
              <w:suppressAutoHyphens w:val="0"/>
              <w:spacing w:before="0" w:after="0"/>
              <w:jc w:val="left"/>
              <w:textAlignment w:val="auto"/>
              <w:rPr>
                <w:rFonts w:asciiTheme="minorHAnsi" w:eastAsia="Times New Roman" w:hAnsiTheme="minorHAnsi" w:cstheme="minorHAnsi"/>
                <w:sz w:val="20"/>
                <w:szCs w:val="20"/>
              </w:rPr>
            </w:pPr>
          </w:p>
        </w:tc>
        <w:tc>
          <w:tcPr>
            <w:tcW w:w="2550" w:type="dxa"/>
            <w:tcBorders>
              <w:top w:val="single" w:sz="6" w:space="0" w:color="9CC2E5"/>
              <w:left w:val="single" w:sz="6" w:space="0" w:color="9CC2E5"/>
              <w:bottom w:val="single" w:sz="6" w:space="0" w:color="9CC2E5"/>
              <w:right w:val="single" w:sz="6" w:space="0" w:color="9CC2E5"/>
            </w:tcBorders>
            <w:shd w:val="clear" w:color="auto" w:fill="DEEAF6"/>
          </w:tcPr>
          <w:p w14:paraId="3F836820" w14:textId="77777777" w:rsidR="00ED21D3" w:rsidRPr="00F12B62" w:rsidRDefault="00ED21D3" w:rsidP="00270E76">
            <w:pPr>
              <w:suppressAutoHyphens w:val="0"/>
              <w:spacing w:before="0" w:after="0"/>
              <w:jc w:val="left"/>
              <w:textAlignment w:val="auto"/>
              <w:rPr>
                <w:rFonts w:asciiTheme="minorHAnsi" w:eastAsia="Times New Roman" w:hAnsiTheme="minorHAnsi" w:cstheme="minorHAnsi"/>
                <w:sz w:val="20"/>
                <w:szCs w:val="20"/>
              </w:rPr>
            </w:pPr>
          </w:p>
        </w:tc>
      </w:tr>
      <w:tr w:rsidR="00186EBE" w:rsidRPr="001F1C6F" w14:paraId="30B43C09" w14:textId="77777777" w:rsidTr="00186EBE">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9E1DF76" w14:textId="28595AB8" w:rsidR="00186EBE" w:rsidRDefault="00186EBE" w:rsidP="00270E76">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IEC 61049</w:t>
            </w: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9467348" w14:textId="737537B2" w:rsidR="00186EBE" w:rsidRDefault="00186EBE" w:rsidP="00270E76">
            <w:pPr>
              <w:suppressAutoHyphens w:val="0"/>
              <w:spacing w:before="0" w:after="0"/>
              <w:jc w:val="left"/>
              <w:textAlignment w:val="auto"/>
              <w:rPr>
                <w:rFonts w:asciiTheme="minorHAnsi" w:eastAsia="Times New Roman" w:hAnsiTheme="minorHAnsi" w:cstheme="minorHAnsi"/>
                <w:sz w:val="20"/>
                <w:szCs w:val="20"/>
              </w:rPr>
            </w:pPr>
            <w:r w:rsidRPr="00186EBE">
              <w:rPr>
                <w:rFonts w:asciiTheme="minorHAnsi" w:eastAsia="Times New Roman" w:hAnsiTheme="minorHAnsi" w:cstheme="minorHAnsi"/>
                <w:sz w:val="20"/>
                <w:szCs w:val="20"/>
              </w:rPr>
              <w:t>Capacitors for use in tubular fluorescent and other discharge lamp circuits. Performance requirements</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EC15A97" w14:textId="77777777" w:rsidR="00186EBE" w:rsidRPr="00992D03" w:rsidRDefault="00186EBE" w:rsidP="00270E76">
            <w:pPr>
              <w:suppressAutoHyphens w:val="0"/>
              <w:spacing w:before="0" w:after="0"/>
              <w:jc w:val="left"/>
              <w:textAlignment w:val="auto"/>
              <w:rPr>
                <w:rFonts w:asciiTheme="minorHAnsi" w:eastAsia="Times New Roman" w:hAnsiTheme="minorHAnsi" w:cstheme="minorHAnsi"/>
                <w:sz w:val="20"/>
                <w:szCs w:val="20"/>
              </w:rPr>
            </w:pPr>
          </w:p>
        </w:tc>
        <w:tc>
          <w:tcPr>
            <w:tcW w:w="2550" w:type="dxa"/>
            <w:tcBorders>
              <w:top w:val="single" w:sz="6" w:space="0" w:color="9CC2E5"/>
              <w:left w:val="single" w:sz="6" w:space="0" w:color="9CC2E5"/>
              <w:bottom w:val="single" w:sz="6" w:space="0" w:color="9CC2E5"/>
              <w:right w:val="single" w:sz="6" w:space="0" w:color="9CC2E5"/>
            </w:tcBorders>
            <w:shd w:val="clear" w:color="auto" w:fill="auto"/>
          </w:tcPr>
          <w:p w14:paraId="2ABD06A2" w14:textId="77777777" w:rsidR="00186EBE" w:rsidRPr="00F12B62" w:rsidRDefault="00186EBE" w:rsidP="00270E76">
            <w:pPr>
              <w:suppressAutoHyphens w:val="0"/>
              <w:spacing w:before="0" w:after="0"/>
              <w:jc w:val="left"/>
              <w:textAlignment w:val="auto"/>
              <w:rPr>
                <w:rFonts w:asciiTheme="minorHAnsi" w:eastAsia="Times New Roman" w:hAnsiTheme="minorHAnsi" w:cstheme="minorHAnsi"/>
                <w:sz w:val="20"/>
                <w:szCs w:val="20"/>
              </w:rPr>
            </w:pPr>
          </w:p>
        </w:tc>
      </w:tr>
      <w:tr w:rsidR="00ED21D3" w:rsidRPr="00914127" w14:paraId="6CE85645" w14:textId="77777777" w:rsidTr="00186EBE">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0BCE4F9" w14:textId="509C0F9E" w:rsidR="00ED21D3" w:rsidRPr="00A0427E" w:rsidRDefault="00ED21D3" w:rsidP="00270E76">
            <w:pPr>
              <w:suppressAutoHyphens w:val="0"/>
              <w:spacing w:before="0" w:after="0"/>
              <w:jc w:val="left"/>
              <w:textAlignment w:val="auto"/>
              <w:rPr>
                <w:rFonts w:asciiTheme="minorHAnsi" w:eastAsia="Times New Roman" w:hAnsiTheme="minorHAnsi" w:cstheme="minorHAnsi"/>
                <w:sz w:val="20"/>
                <w:szCs w:val="20"/>
              </w:rPr>
            </w:pPr>
            <w:r w:rsidRPr="00A0427E">
              <w:rPr>
                <w:rFonts w:asciiTheme="minorHAnsi" w:eastAsia="Times New Roman" w:hAnsiTheme="minorHAnsi" w:cstheme="minorHAnsi"/>
                <w:sz w:val="20"/>
                <w:szCs w:val="20"/>
              </w:rPr>
              <w:t>IEC 60598</w:t>
            </w:r>
            <w:r w:rsidR="005D61DD" w:rsidRPr="00A0427E">
              <w:rPr>
                <w:rFonts w:asciiTheme="minorHAnsi" w:eastAsia="Times New Roman" w:hAnsiTheme="minorHAnsi" w:cstheme="minorHAnsi"/>
                <w:sz w:val="20"/>
                <w:szCs w:val="20"/>
              </w:rPr>
              <w:t>-1</w:t>
            </w: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9A8EDBC" w14:textId="70F8C3DF" w:rsidR="00ED21D3" w:rsidRPr="00A0427E" w:rsidRDefault="005D61DD" w:rsidP="00270E76">
            <w:pPr>
              <w:suppressAutoHyphens w:val="0"/>
              <w:spacing w:before="0" w:after="0"/>
              <w:jc w:val="left"/>
              <w:textAlignment w:val="auto"/>
              <w:rPr>
                <w:rFonts w:asciiTheme="minorHAnsi" w:eastAsia="Times New Roman" w:hAnsiTheme="minorHAnsi" w:cstheme="minorHAnsi"/>
                <w:sz w:val="20"/>
                <w:szCs w:val="20"/>
              </w:rPr>
            </w:pPr>
            <w:r w:rsidRPr="00A0427E">
              <w:rPr>
                <w:rFonts w:asciiTheme="minorHAnsi" w:eastAsia="Times New Roman" w:hAnsiTheme="minorHAnsi" w:cstheme="minorHAnsi"/>
                <w:sz w:val="20"/>
                <w:szCs w:val="20"/>
              </w:rPr>
              <w:t>Luminaires – Part 1: General requirements and tests</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0B537DD" w14:textId="0CFB2FE9" w:rsidR="00ED21D3" w:rsidRPr="00992D03" w:rsidRDefault="00A0427E" w:rsidP="00270E76">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NMX-J-307-ANCE</w:t>
            </w:r>
          </w:p>
        </w:tc>
        <w:tc>
          <w:tcPr>
            <w:tcW w:w="2550" w:type="dxa"/>
            <w:tcBorders>
              <w:top w:val="single" w:sz="6" w:space="0" w:color="9CC2E5"/>
              <w:left w:val="single" w:sz="6" w:space="0" w:color="9CC2E5"/>
              <w:bottom w:val="single" w:sz="6" w:space="0" w:color="9CC2E5"/>
              <w:right w:val="single" w:sz="6" w:space="0" w:color="9CC2E5"/>
            </w:tcBorders>
            <w:shd w:val="clear" w:color="auto" w:fill="DEEAF6"/>
          </w:tcPr>
          <w:p w14:paraId="032CE8B7" w14:textId="0FC82AB1" w:rsidR="00ED21D3" w:rsidRPr="00A0427E" w:rsidRDefault="00A0427E" w:rsidP="00270E76">
            <w:pPr>
              <w:suppressAutoHyphens w:val="0"/>
              <w:spacing w:before="0" w:after="0"/>
              <w:jc w:val="left"/>
              <w:textAlignment w:val="auto"/>
              <w:rPr>
                <w:rFonts w:asciiTheme="minorHAnsi" w:eastAsia="Times New Roman" w:hAnsiTheme="minorHAnsi" w:cstheme="minorHAnsi"/>
                <w:sz w:val="20"/>
                <w:szCs w:val="20"/>
                <w:lang w:val="es-ES"/>
              </w:rPr>
            </w:pPr>
            <w:r w:rsidRPr="00A0427E">
              <w:rPr>
                <w:rFonts w:asciiTheme="minorHAnsi" w:eastAsia="Times New Roman" w:hAnsiTheme="minorHAnsi" w:cstheme="minorHAnsi"/>
                <w:sz w:val="20"/>
                <w:szCs w:val="20"/>
                <w:lang w:val="es-ES"/>
              </w:rPr>
              <w:t>Luminarios de uso general para interiores y exteriores</w:t>
            </w:r>
          </w:p>
        </w:tc>
      </w:tr>
      <w:tr w:rsidR="00ED21D3" w:rsidRPr="00914127" w14:paraId="4910849F" w14:textId="77777777" w:rsidTr="00186EBE">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3C44B12" w14:textId="374139E4" w:rsidR="00ED21D3" w:rsidRPr="00186EBE" w:rsidRDefault="00ED21D3" w:rsidP="00270E76">
            <w:pPr>
              <w:suppressAutoHyphens w:val="0"/>
              <w:spacing w:before="0" w:after="0"/>
              <w:jc w:val="left"/>
              <w:textAlignment w:val="auto"/>
              <w:rPr>
                <w:rFonts w:asciiTheme="minorHAnsi" w:eastAsia="Times New Roman" w:hAnsiTheme="minorHAnsi" w:cstheme="minorHAnsi"/>
                <w:sz w:val="20"/>
                <w:szCs w:val="20"/>
              </w:rPr>
            </w:pPr>
            <w:r w:rsidRPr="00186EBE">
              <w:rPr>
                <w:rFonts w:asciiTheme="minorHAnsi" w:eastAsia="Times New Roman" w:hAnsiTheme="minorHAnsi" w:cstheme="minorHAnsi"/>
                <w:sz w:val="20"/>
                <w:szCs w:val="20"/>
              </w:rPr>
              <w:t>IEC 60410</w:t>
            </w: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C80E137" w14:textId="581AC800" w:rsidR="00ED21D3" w:rsidRPr="00186EBE" w:rsidRDefault="00A0427E" w:rsidP="00270E76">
            <w:pPr>
              <w:suppressAutoHyphens w:val="0"/>
              <w:spacing w:before="0" w:after="0"/>
              <w:jc w:val="left"/>
              <w:textAlignment w:val="auto"/>
              <w:rPr>
                <w:rFonts w:asciiTheme="minorHAnsi" w:eastAsia="Times New Roman" w:hAnsiTheme="minorHAnsi" w:cstheme="minorHAnsi"/>
                <w:sz w:val="20"/>
                <w:szCs w:val="20"/>
              </w:rPr>
            </w:pPr>
            <w:r w:rsidRPr="00186EBE">
              <w:rPr>
                <w:rFonts w:asciiTheme="minorHAnsi" w:eastAsia="Times New Roman" w:hAnsiTheme="minorHAnsi" w:cstheme="minorHAnsi"/>
                <w:sz w:val="20"/>
                <w:szCs w:val="20"/>
              </w:rPr>
              <w:t>Sampling plans and procedures for inspection by attributes</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74D043F" w14:textId="14A3962A" w:rsidR="00ED21D3" w:rsidRPr="00186EBE" w:rsidRDefault="00ED21D3" w:rsidP="00EB5068">
            <w:pPr>
              <w:suppressAutoHyphens w:val="0"/>
              <w:spacing w:before="0" w:after="0"/>
              <w:jc w:val="left"/>
              <w:textAlignment w:val="auto"/>
              <w:rPr>
                <w:rFonts w:asciiTheme="minorHAnsi" w:eastAsia="Times New Roman" w:hAnsiTheme="minorHAnsi" w:cstheme="minorHAnsi"/>
                <w:sz w:val="20"/>
                <w:szCs w:val="20"/>
              </w:rPr>
            </w:pPr>
            <w:r w:rsidRPr="00186EBE">
              <w:rPr>
                <w:rFonts w:asciiTheme="minorHAnsi" w:eastAsia="Times New Roman" w:hAnsiTheme="minorHAnsi" w:cstheme="minorHAnsi"/>
                <w:sz w:val="20"/>
                <w:szCs w:val="20"/>
              </w:rPr>
              <w:t>NMX-Z-12</w:t>
            </w:r>
            <w:r w:rsidR="00EB5068" w:rsidRPr="00186EBE">
              <w:rPr>
                <w:rFonts w:asciiTheme="minorHAnsi" w:eastAsia="Times New Roman" w:hAnsiTheme="minorHAnsi" w:cstheme="minorHAnsi"/>
                <w:sz w:val="20"/>
                <w:szCs w:val="20"/>
              </w:rPr>
              <w:t>-</w:t>
            </w:r>
            <w:r w:rsidRPr="00186EBE">
              <w:rPr>
                <w:rFonts w:asciiTheme="minorHAnsi" w:eastAsia="Times New Roman" w:hAnsiTheme="minorHAnsi" w:cstheme="minorHAnsi"/>
                <w:sz w:val="20"/>
                <w:szCs w:val="20"/>
              </w:rPr>
              <w:t>2</w:t>
            </w:r>
          </w:p>
        </w:tc>
        <w:tc>
          <w:tcPr>
            <w:tcW w:w="2550" w:type="dxa"/>
            <w:tcBorders>
              <w:top w:val="single" w:sz="6" w:space="0" w:color="9CC2E5"/>
              <w:left w:val="single" w:sz="6" w:space="0" w:color="9CC2E5"/>
              <w:bottom w:val="single" w:sz="6" w:space="0" w:color="9CC2E5"/>
              <w:right w:val="single" w:sz="6" w:space="0" w:color="9CC2E5"/>
            </w:tcBorders>
            <w:shd w:val="clear" w:color="auto" w:fill="auto"/>
          </w:tcPr>
          <w:p w14:paraId="60A8DC19" w14:textId="36F3DFB5" w:rsidR="00ED21D3" w:rsidRPr="00186EBE" w:rsidRDefault="005D61DD" w:rsidP="00270E76">
            <w:pPr>
              <w:suppressAutoHyphens w:val="0"/>
              <w:spacing w:before="0" w:after="0"/>
              <w:jc w:val="left"/>
              <w:textAlignment w:val="auto"/>
              <w:rPr>
                <w:rFonts w:asciiTheme="minorHAnsi" w:eastAsia="Times New Roman" w:hAnsiTheme="minorHAnsi" w:cstheme="minorHAnsi"/>
                <w:sz w:val="20"/>
                <w:szCs w:val="20"/>
                <w:lang w:val="es-ES"/>
              </w:rPr>
            </w:pPr>
            <w:r w:rsidRPr="00186EBE">
              <w:rPr>
                <w:rFonts w:asciiTheme="minorHAnsi" w:eastAsia="Times New Roman" w:hAnsiTheme="minorHAnsi" w:cstheme="minorHAnsi"/>
                <w:sz w:val="20"/>
                <w:szCs w:val="20"/>
                <w:lang w:val="es-ES"/>
              </w:rPr>
              <w:t>Muestreo para la inspección por atributos – Parte 2: Métodos de muestreo, tablas y gráficas</w:t>
            </w:r>
          </w:p>
        </w:tc>
      </w:tr>
      <w:tr w:rsidR="00ED21D3" w:rsidRPr="001F1C6F" w14:paraId="461347DD" w14:textId="77777777" w:rsidTr="00186EBE">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9BCA3ED" w14:textId="52E64329" w:rsidR="00ED21D3" w:rsidRDefault="00ED21D3" w:rsidP="00270E76">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IEC 61195</w:t>
            </w: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4E97E9B" w14:textId="6B7D9C88" w:rsidR="00ED21D3" w:rsidRPr="00F12B62" w:rsidRDefault="00A0427E" w:rsidP="00270E76">
            <w:pPr>
              <w:suppressAutoHyphens w:val="0"/>
              <w:spacing w:before="0" w:after="0"/>
              <w:jc w:val="left"/>
              <w:textAlignment w:val="auto"/>
              <w:rPr>
                <w:rFonts w:asciiTheme="minorHAnsi" w:eastAsia="Times New Roman" w:hAnsiTheme="minorHAnsi" w:cstheme="minorHAnsi"/>
                <w:sz w:val="20"/>
                <w:szCs w:val="20"/>
              </w:rPr>
            </w:pPr>
            <w:r w:rsidRPr="00A0427E">
              <w:rPr>
                <w:rFonts w:asciiTheme="minorHAnsi" w:eastAsia="Times New Roman" w:hAnsiTheme="minorHAnsi" w:cstheme="minorHAnsi"/>
                <w:sz w:val="20"/>
                <w:szCs w:val="20"/>
              </w:rPr>
              <w:t>Double-capped fluorescent lamps - Safety specifications</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CAAF366" w14:textId="77777777" w:rsidR="00ED21D3" w:rsidRPr="00992D03" w:rsidRDefault="00ED21D3" w:rsidP="00270E76">
            <w:pPr>
              <w:suppressAutoHyphens w:val="0"/>
              <w:spacing w:before="0" w:after="0"/>
              <w:jc w:val="left"/>
              <w:textAlignment w:val="auto"/>
              <w:rPr>
                <w:rFonts w:asciiTheme="minorHAnsi" w:eastAsia="Times New Roman" w:hAnsiTheme="minorHAnsi" w:cstheme="minorHAnsi"/>
                <w:sz w:val="20"/>
                <w:szCs w:val="20"/>
              </w:rPr>
            </w:pPr>
          </w:p>
        </w:tc>
        <w:tc>
          <w:tcPr>
            <w:tcW w:w="2550" w:type="dxa"/>
            <w:tcBorders>
              <w:top w:val="single" w:sz="6" w:space="0" w:color="9CC2E5"/>
              <w:left w:val="single" w:sz="6" w:space="0" w:color="9CC2E5"/>
              <w:bottom w:val="single" w:sz="6" w:space="0" w:color="9CC2E5"/>
              <w:right w:val="single" w:sz="6" w:space="0" w:color="9CC2E5"/>
            </w:tcBorders>
            <w:shd w:val="clear" w:color="auto" w:fill="DEEAF6"/>
          </w:tcPr>
          <w:p w14:paraId="054869E6" w14:textId="77777777" w:rsidR="00ED21D3" w:rsidRPr="00F12B62" w:rsidRDefault="00ED21D3" w:rsidP="00270E76">
            <w:pPr>
              <w:suppressAutoHyphens w:val="0"/>
              <w:spacing w:before="0" w:after="0"/>
              <w:jc w:val="left"/>
              <w:textAlignment w:val="auto"/>
              <w:rPr>
                <w:rFonts w:asciiTheme="minorHAnsi" w:eastAsia="Times New Roman" w:hAnsiTheme="minorHAnsi" w:cstheme="minorHAnsi"/>
                <w:sz w:val="20"/>
                <w:szCs w:val="20"/>
              </w:rPr>
            </w:pPr>
          </w:p>
        </w:tc>
      </w:tr>
      <w:tr w:rsidR="00ED21D3" w:rsidRPr="00914127" w14:paraId="05E86F9D" w14:textId="77777777" w:rsidTr="00186EBE">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CB8C2AC" w14:textId="6F401C53" w:rsidR="00ED21D3" w:rsidRDefault="00ED21D3" w:rsidP="00270E76">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IEC 60061-1</w:t>
            </w: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7113514" w14:textId="4A1C86BD" w:rsidR="00ED21D3" w:rsidRPr="00F12B62" w:rsidRDefault="00A211CA" w:rsidP="00270E76">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Lamp caps and holders together with gauges for the control of interchangeability and safety </w:t>
            </w:r>
            <w:r w:rsidRPr="00A211CA">
              <w:rPr>
                <w:rFonts w:asciiTheme="minorHAnsi" w:eastAsia="Times New Roman" w:hAnsiTheme="minorHAnsi" w:cstheme="minorHAnsi"/>
                <w:sz w:val="20"/>
                <w:szCs w:val="20"/>
              </w:rPr>
              <w:t>–</w:t>
            </w:r>
            <w:r>
              <w:rPr>
                <w:rFonts w:asciiTheme="minorHAnsi" w:eastAsia="Times New Roman" w:hAnsiTheme="minorHAnsi" w:cstheme="minorHAnsi"/>
                <w:sz w:val="20"/>
                <w:szCs w:val="20"/>
              </w:rPr>
              <w:t>Part 1: Lamp caps</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A2DE5A8" w14:textId="5B31FD79" w:rsidR="00ED21D3" w:rsidRPr="00992D03" w:rsidRDefault="00ED21D3" w:rsidP="00270E76">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NMX-J-352-ANCE</w:t>
            </w:r>
          </w:p>
        </w:tc>
        <w:tc>
          <w:tcPr>
            <w:tcW w:w="2550" w:type="dxa"/>
            <w:tcBorders>
              <w:top w:val="single" w:sz="6" w:space="0" w:color="9CC2E5"/>
              <w:left w:val="single" w:sz="6" w:space="0" w:color="9CC2E5"/>
              <w:bottom w:val="single" w:sz="6" w:space="0" w:color="9CC2E5"/>
              <w:right w:val="single" w:sz="6" w:space="0" w:color="9CC2E5"/>
            </w:tcBorders>
            <w:shd w:val="clear" w:color="auto" w:fill="auto"/>
          </w:tcPr>
          <w:p w14:paraId="0DD02A03" w14:textId="4BD12E41" w:rsidR="00ED21D3" w:rsidRPr="00186EBE" w:rsidRDefault="00186EBE" w:rsidP="00186EBE">
            <w:pPr>
              <w:suppressAutoHyphens w:val="0"/>
              <w:spacing w:before="0" w:after="0"/>
              <w:jc w:val="left"/>
              <w:textAlignment w:val="auto"/>
              <w:rPr>
                <w:rFonts w:asciiTheme="minorHAnsi" w:eastAsia="Times New Roman" w:hAnsiTheme="minorHAnsi" w:cstheme="minorHAnsi"/>
                <w:sz w:val="20"/>
                <w:szCs w:val="20"/>
                <w:lang w:val="es-ES"/>
              </w:rPr>
            </w:pPr>
            <w:r w:rsidRPr="00186EBE">
              <w:rPr>
                <w:rFonts w:asciiTheme="minorHAnsi" w:eastAsia="Times New Roman" w:hAnsiTheme="minorHAnsi" w:cstheme="minorHAnsi"/>
                <w:sz w:val="20"/>
                <w:szCs w:val="20"/>
                <w:lang w:val="es-ES"/>
              </w:rPr>
              <w:t>Ilumi</w:t>
            </w:r>
            <w:r w:rsidR="001462CF">
              <w:rPr>
                <w:rFonts w:asciiTheme="minorHAnsi" w:eastAsia="Times New Roman" w:hAnsiTheme="minorHAnsi" w:cstheme="minorHAnsi"/>
                <w:sz w:val="20"/>
                <w:szCs w:val="20"/>
                <w:lang w:val="es-ES"/>
              </w:rPr>
              <w:t>n</w:t>
            </w:r>
            <w:r w:rsidRPr="00186EBE">
              <w:rPr>
                <w:rFonts w:asciiTheme="minorHAnsi" w:eastAsia="Times New Roman" w:hAnsiTheme="minorHAnsi" w:cstheme="minorHAnsi"/>
                <w:sz w:val="20"/>
                <w:szCs w:val="20"/>
                <w:lang w:val="es-ES"/>
              </w:rPr>
              <w:t>aci</w:t>
            </w:r>
            <w:r>
              <w:rPr>
                <w:rFonts w:asciiTheme="minorHAnsi" w:eastAsia="Times New Roman" w:hAnsiTheme="minorHAnsi" w:cstheme="minorHAnsi"/>
                <w:sz w:val="20"/>
                <w:szCs w:val="20"/>
                <w:lang w:val="es-ES"/>
              </w:rPr>
              <w:t xml:space="preserve">ón – </w:t>
            </w:r>
            <w:r w:rsidRPr="00186EBE">
              <w:rPr>
                <w:rFonts w:asciiTheme="minorHAnsi" w:eastAsia="Times New Roman" w:hAnsiTheme="minorHAnsi" w:cstheme="minorHAnsi"/>
                <w:sz w:val="20"/>
                <w:szCs w:val="20"/>
                <w:lang w:val="es-ES"/>
              </w:rPr>
              <w:t>B</w:t>
            </w:r>
            <w:r>
              <w:rPr>
                <w:rFonts w:asciiTheme="minorHAnsi" w:eastAsia="Times New Roman" w:hAnsiTheme="minorHAnsi" w:cstheme="minorHAnsi"/>
                <w:sz w:val="20"/>
                <w:szCs w:val="20"/>
                <w:lang w:val="es-ES"/>
              </w:rPr>
              <w:t xml:space="preserve">ases roscadas tipo Edison y sus verificadores  </w:t>
            </w:r>
            <w:r w:rsidRPr="00186EBE">
              <w:rPr>
                <w:rFonts w:asciiTheme="minorHAnsi" w:eastAsia="Times New Roman" w:hAnsiTheme="minorHAnsi" w:cstheme="minorHAnsi"/>
                <w:sz w:val="20"/>
                <w:szCs w:val="20"/>
                <w:lang w:val="es-ES"/>
              </w:rPr>
              <w:t>–</w:t>
            </w:r>
            <w:r>
              <w:rPr>
                <w:rFonts w:asciiTheme="minorHAnsi" w:eastAsia="Times New Roman" w:hAnsiTheme="minorHAnsi" w:cstheme="minorHAnsi"/>
                <w:sz w:val="20"/>
                <w:szCs w:val="20"/>
                <w:lang w:val="es-ES"/>
              </w:rPr>
              <w:t xml:space="preserve"> Especificaciones</w:t>
            </w:r>
          </w:p>
        </w:tc>
      </w:tr>
      <w:tr w:rsidR="00ED21D3" w:rsidRPr="001F1C6F" w14:paraId="0BF26CFD" w14:textId="77777777" w:rsidTr="00270E76">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80D4AA5" w14:textId="111DD0F8" w:rsidR="00ED21D3" w:rsidRPr="0026688D" w:rsidRDefault="00A211CA" w:rsidP="00270E76">
            <w:pPr>
              <w:suppressAutoHyphens w:val="0"/>
              <w:spacing w:before="0" w:after="0"/>
              <w:jc w:val="left"/>
              <w:textAlignment w:val="auto"/>
              <w:rPr>
                <w:rFonts w:asciiTheme="minorHAnsi" w:eastAsia="Times New Roman" w:hAnsiTheme="minorHAnsi" w:cstheme="minorHAnsi"/>
                <w:sz w:val="20"/>
                <w:szCs w:val="20"/>
              </w:rPr>
            </w:pPr>
            <w:r w:rsidRPr="0026688D">
              <w:rPr>
                <w:rFonts w:asciiTheme="minorHAnsi" w:eastAsia="Times New Roman" w:hAnsiTheme="minorHAnsi" w:cstheme="minorHAnsi"/>
                <w:sz w:val="20"/>
                <w:szCs w:val="20"/>
              </w:rPr>
              <w:t>IEC60050(845)</w:t>
            </w: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0F555A4" w14:textId="219B0A8C" w:rsidR="00ED21D3" w:rsidRPr="0026688D" w:rsidRDefault="00A211CA" w:rsidP="00270E76">
            <w:pPr>
              <w:suppressAutoHyphens w:val="0"/>
              <w:spacing w:before="0" w:after="0"/>
              <w:jc w:val="left"/>
              <w:textAlignment w:val="auto"/>
              <w:rPr>
                <w:rFonts w:asciiTheme="minorHAnsi" w:eastAsia="Times New Roman" w:hAnsiTheme="minorHAnsi" w:cstheme="minorHAnsi"/>
                <w:sz w:val="20"/>
                <w:szCs w:val="20"/>
              </w:rPr>
            </w:pPr>
            <w:r w:rsidRPr="0026688D">
              <w:rPr>
                <w:rFonts w:asciiTheme="minorHAnsi" w:eastAsia="Times New Roman" w:hAnsiTheme="minorHAnsi" w:cstheme="minorHAnsi"/>
                <w:sz w:val="20"/>
                <w:szCs w:val="20"/>
              </w:rPr>
              <w:t>International Electrotechnical Vocabulary (IEV) – Chapter 845: Lighting</w:t>
            </w: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EE322CF" w14:textId="32555F99" w:rsidR="00ED21D3" w:rsidRPr="00992D03" w:rsidRDefault="005D61DD" w:rsidP="00270E76">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NMX-J-619-ANCE</w:t>
            </w:r>
          </w:p>
        </w:tc>
        <w:tc>
          <w:tcPr>
            <w:tcW w:w="2550" w:type="dxa"/>
            <w:tcBorders>
              <w:top w:val="single" w:sz="6" w:space="0" w:color="9CC2E5"/>
              <w:left w:val="single" w:sz="6" w:space="0" w:color="9CC2E5"/>
              <w:bottom w:val="single" w:sz="6" w:space="0" w:color="9CC2E5"/>
              <w:right w:val="single" w:sz="6" w:space="0" w:color="9CC2E5"/>
            </w:tcBorders>
            <w:shd w:val="clear" w:color="auto" w:fill="DEEAF6"/>
          </w:tcPr>
          <w:p w14:paraId="4ABB3BD0" w14:textId="6AFA3B70" w:rsidR="00ED21D3" w:rsidRPr="00F12B62" w:rsidRDefault="00EB5068" w:rsidP="001462CF">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Iluminación – Definiciones y terminolog</w:t>
            </w:r>
            <w:r w:rsidR="001462CF">
              <w:rPr>
                <w:rFonts w:asciiTheme="minorHAnsi" w:eastAsia="Times New Roman" w:hAnsiTheme="minorHAnsi" w:cstheme="minorHAnsi"/>
                <w:sz w:val="20"/>
                <w:szCs w:val="20"/>
              </w:rPr>
              <w:t>í</w:t>
            </w:r>
            <w:r>
              <w:rPr>
                <w:rFonts w:asciiTheme="minorHAnsi" w:eastAsia="Times New Roman" w:hAnsiTheme="minorHAnsi" w:cstheme="minorHAnsi"/>
                <w:sz w:val="20"/>
                <w:szCs w:val="20"/>
              </w:rPr>
              <w:t>a</w:t>
            </w:r>
          </w:p>
        </w:tc>
      </w:tr>
      <w:tr w:rsidR="00186EBE" w:rsidRPr="00914127" w14:paraId="529A46B0" w14:textId="77777777" w:rsidTr="00186EBE">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71DAB59" w14:textId="28B17D72" w:rsidR="00186EBE" w:rsidRPr="0026688D" w:rsidRDefault="00186EBE" w:rsidP="00270E76">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CIE</w:t>
            </w: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84370F7" w14:textId="4551EDF1" w:rsidR="00186EBE" w:rsidRPr="00186EBE" w:rsidRDefault="00186EBE" w:rsidP="00270E76">
            <w:pPr>
              <w:suppressAutoHyphens w:val="0"/>
              <w:spacing w:before="0" w:after="0"/>
              <w:jc w:val="left"/>
              <w:textAlignment w:val="auto"/>
              <w:rPr>
                <w:rFonts w:asciiTheme="minorHAnsi" w:eastAsia="Times New Roman" w:hAnsiTheme="minorHAnsi" w:cstheme="minorHAnsi"/>
                <w:sz w:val="20"/>
                <w:szCs w:val="20"/>
                <w:lang w:val="es-ES"/>
              </w:rPr>
            </w:pPr>
            <w:r w:rsidRPr="00186EBE">
              <w:rPr>
                <w:rFonts w:asciiTheme="minorHAnsi" w:eastAsia="Times New Roman" w:hAnsiTheme="minorHAnsi" w:cstheme="minorHAnsi"/>
                <w:sz w:val="20"/>
                <w:szCs w:val="20"/>
                <w:lang w:val="es-ES"/>
              </w:rPr>
              <w:t>Recomendaciones para medir las caracter</w:t>
            </w:r>
            <w:r>
              <w:rPr>
                <w:rFonts w:asciiTheme="minorHAnsi" w:eastAsia="Times New Roman" w:hAnsiTheme="minorHAnsi" w:cstheme="minorHAnsi"/>
                <w:sz w:val="20"/>
                <w:szCs w:val="20"/>
                <w:lang w:val="es-ES"/>
              </w:rPr>
              <w:t>ísticas fotométricas</w:t>
            </w: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E51827B" w14:textId="77777777" w:rsidR="00186EBE" w:rsidRPr="00186EBE" w:rsidRDefault="00186EBE" w:rsidP="00270E76">
            <w:pPr>
              <w:suppressAutoHyphens w:val="0"/>
              <w:spacing w:before="0" w:after="0"/>
              <w:jc w:val="left"/>
              <w:textAlignment w:val="auto"/>
              <w:rPr>
                <w:rFonts w:asciiTheme="minorHAnsi" w:eastAsia="Times New Roman" w:hAnsiTheme="minorHAnsi" w:cstheme="minorHAnsi"/>
                <w:sz w:val="20"/>
                <w:szCs w:val="20"/>
                <w:lang w:val="es-ES"/>
              </w:rPr>
            </w:pPr>
          </w:p>
        </w:tc>
        <w:tc>
          <w:tcPr>
            <w:tcW w:w="2550" w:type="dxa"/>
            <w:tcBorders>
              <w:top w:val="single" w:sz="6" w:space="0" w:color="9CC2E5"/>
              <w:left w:val="single" w:sz="6" w:space="0" w:color="9CC2E5"/>
              <w:bottom w:val="single" w:sz="6" w:space="0" w:color="9CC2E5"/>
              <w:right w:val="single" w:sz="6" w:space="0" w:color="9CC2E5"/>
            </w:tcBorders>
            <w:shd w:val="clear" w:color="auto" w:fill="auto"/>
          </w:tcPr>
          <w:p w14:paraId="78077ED9" w14:textId="77777777" w:rsidR="00186EBE" w:rsidRPr="00186EBE" w:rsidRDefault="00186EBE" w:rsidP="00270E76">
            <w:pPr>
              <w:suppressAutoHyphens w:val="0"/>
              <w:spacing w:before="0" w:after="0"/>
              <w:jc w:val="left"/>
              <w:textAlignment w:val="auto"/>
              <w:rPr>
                <w:rFonts w:asciiTheme="minorHAnsi" w:eastAsia="Times New Roman" w:hAnsiTheme="minorHAnsi" w:cstheme="minorHAnsi"/>
                <w:sz w:val="20"/>
                <w:szCs w:val="20"/>
                <w:lang w:val="es-ES"/>
              </w:rPr>
            </w:pPr>
          </w:p>
        </w:tc>
      </w:tr>
    </w:tbl>
    <w:p w14:paraId="21D43DF4" w14:textId="77777777" w:rsidR="00C132E7" w:rsidRPr="00270E76" w:rsidRDefault="00C132E7" w:rsidP="00C132E7">
      <w:pPr>
        <w:spacing w:before="0" w:after="0"/>
        <w:rPr>
          <w:lang w:val="es-ES"/>
        </w:rPr>
      </w:pPr>
    </w:p>
    <w:tbl>
      <w:tblPr>
        <w:tblW w:w="5005" w:type="pct"/>
        <w:jc w:val="center"/>
        <w:tblCellMar>
          <w:left w:w="10" w:type="dxa"/>
          <w:right w:w="10" w:type="dxa"/>
        </w:tblCellMar>
        <w:tblLook w:val="0000" w:firstRow="0" w:lastRow="0" w:firstColumn="0" w:lastColumn="0" w:noHBand="0" w:noVBand="0"/>
      </w:tblPr>
      <w:tblGrid>
        <w:gridCol w:w="1410"/>
        <w:gridCol w:w="2835"/>
        <w:gridCol w:w="1701"/>
        <w:gridCol w:w="2550"/>
      </w:tblGrid>
      <w:tr w:rsidR="00186EBE" w:rsidRPr="001F1C6F" w14:paraId="7937CF8F" w14:textId="77777777" w:rsidTr="007C2C95">
        <w:trPr>
          <w:jc w:val="center"/>
        </w:trPr>
        <w:tc>
          <w:tcPr>
            <w:tcW w:w="4245" w:type="dxa"/>
            <w:gridSpan w:val="2"/>
            <w:tcBorders>
              <w:top w:val="single" w:sz="6" w:space="0" w:color="9CC2E5"/>
              <w:left w:val="single" w:sz="6" w:space="0" w:color="9CC2E5"/>
              <w:bottom w:val="single" w:sz="6" w:space="0" w:color="9CC2E5"/>
              <w:right w:val="single" w:sz="6" w:space="0" w:color="9CC2E5"/>
            </w:tcBorders>
            <w:shd w:val="clear" w:color="auto" w:fill="9CC2E5"/>
            <w:tcMar>
              <w:top w:w="0" w:type="dxa"/>
              <w:left w:w="108" w:type="dxa"/>
              <w:bottom w:w="0" w:type="dxa"/>
              <w:right w:w="108" w:type="dxa"/>
            </w:tcMar>
          </w:tcPr>
          <w:p w14:paraId="7C4D1192" w14:textId="77777777" w:rsidR="00186EBE" w:rsidRPr="00186EBE" w:rsidRDefault="00186EBE" w:rsidP="00270E76">
            <w:pPr>
              <w:suppressAutoHyphens w:val="0"/>
              <w:spacing w:before="0" w:after="0"/>
              <w:jc w:val="left"/>
              <w:textAlignment w:val="auto"/>
              <w:rPr>
                <w:rFonts w:asciiTheme="minorHAnsi" w:eastAsia="Times New Roman" w:hAnsiTheme="minorHAnsi" w:cstheme="minorHAnsi"/>
                <w:sz w:val="20"/>
                <w:szCs w:val="20"/>
                <w:lang w:val="es-ES"/>
              </w:rPr>
            </w:pPr>
          </w:p>
        </w:tc>
        <w:tc>
          <w:tcPr>
            <w:tcW w:w="4251" w:type="dxa"/>
            <w:gridSpan w:val="2"/>
            <w:tcBorders>
              <w:top w:val="single" w:sz="6" w:space="0" w:color="9CC2E5"/>
              <w:left w:val="single" w:sz="6" w:space="0" w:color="9CC2E5"/>
              <w:bottom w:val="single" w:sz="6" w:space="0" w:color="9CC2E5"/>
              <w:right w:val="single" w:sz="6" w:space="0" w:color="9CC2E5"/>
            </w:tcBorders>
            <w:shd w:val="clear" w:color="auto" w:fill="9CC2E5"/>
            <w:tcMar>
              <w:top w:w="0" w:type="dxa"/>
              <w:left w:w="108" w:type="dxa"/>
              <w:bottom w:w="0" w:type="dxa"/>
              <w:right w:w="108" w:type="dxa"/>
            </w:tcMar>
          </w:tcPr>
          <w:p w14:paraId="4F2929DC" w14:textId="05AA4F95" w:rsidR="00186EBE" w:rsidRPr="00186EBE" w:rsidRDefault="00186EBE" w:rsidP="00B13999">
            <w:pPr>
              <w:suppressAutoHyphens w:val="0"/>
              <w:spacing w:before="0" w:after="0"/>
              <w:jc w:val="center"/>
              <w:textAlignment w:val="auto"/>
              <w:rPr>
                <w:rFonts w:asciiTheme="minorHAnsi" w:eastAsia="Times New Roman" w:hAnsiTheme="minorHAnsi" w:cstheme="minorHAnsi"/>
                <w:b/>
              </w:rPr>
            </w:pPr>
            <w:r w:rsidRPr="00186EBE">
              <w:rPr>
                <w:rFonts w:asciiTheme="minorHAnsi" w:eastAsia="Times New Roman" w:hAnsiTheme="minorHAnsi" w:cstheme="minorHAnsi"/>
                <w:b/>
                <w:color w:val="FFFFFF" w:themeColor="background1"/>
              </w:rPr>
              <w:t>Normas para consulta</w:t>
            </w:r>
          </w:p>
        </w:tc>
      </w:tr>
      <w:tr w:rsidR="009F167B" w:rsidRPr="001F1C6F" w14:paraId="50224898" w14:textId="77777777" w:rsidTr="007C2C95">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9F31ACF" w14:textId="77777777" w:rsidR="009F167B" w:rsidRDefault="009F167B" w:rsidP="00270E76">
            <w:pPr>
              <w:suppressAutoHyphens w:val="0"/>
              <w:spacing w:before="0" w:after="0"/>
              <w:jc w:val="left"/>
              <w:textAlignment w:val="auto"/>
              <w:rPr>
                <w:rFonts w:asciiTheme="minorHAnsi" w:eastAsia="Times New Roman" w:hAnsiTheme="minorHAnsi" w:cstheme="minorHAnsi"/>
                <w:sz w:val="20"/>
                <w:szCs w:val="20"/>
              </w:rPr>
            </w:pP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E584222" w14:textId="77777777" w:rsidR="009F167B" w:rsidRPr="00F12B62" w:rsidRDefault="009F167B" w:rsidP="00270E76">
            <w:pPr>
              <w:suppressAutoHyphens w:val="0"/>
              <w:spacing w:before="0" w:after="0"/>
              <w:jc w:val="left"/>
              <w:textAlignment w:val="auto"/>
              <w:rPr>
                <w:rFonts w:asciiTheme="minorHAnsi" w:eastAsia="Times New Roman" w:hAnsiTheme="minorHAnsi" w:cstheme="minorHAnsi"/>
                <w:sz w:val="20"/>
                <w:szCs w:val="20"/>
              </w:rPr>
            </w:pP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AEDB80A" w14:textId="1F7B184B" w:rsidR="009F167B" w:rsidRPr="009F167B" w:rsidRDefault="009F167B" w:rsidP="00270E76">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IEC 61195</w:t>
            </w:r>
          </w:p>
        </w:tc>
        <w:tc>
          <w:tcPr>
            <w:tcW w:w="2550" w:type="dxa"/>
            <w:tcBorders>
              <w:top w:val="single" w:sz="6" w:space="0" w:color="9CC2E5"/>
              <w:left w:val="single" w:sz="6" w:space="0" w:color="9CC2E5"/>
              <w:bottom w:val="single" w:sz="6" w:space="0" w:color="9CC2E5"/>
              <w:right w:val="single" w:sz="6" w:space="0" w:color="9CC2E5"/>
            </w:tcBorders>
            <w:shd w:val="clear" w:color="auto" w:fill="auto"/>
          </w:tcPr>
          <w:p w14:paraId="3CBA3F7C" w14:textId="1F439FF7" w:rsidR="009F167B" w:rsidRPr="009F167B" w:rsidRDefault="00186EBE" w:rsidP="00270E76">
            <w:pPr>
              <w:suppressAutoHyphens w:val="0"/>
              <w:spacing w:before="0" w:after="0"/>
              <w:jc w:val="left"/>
              <w:textAlignment w:val="auto"/>
              <w:rPr>
                <w:rFonts w:asciiTheme="minorHAnsi" w:eastAsia="Times New Roman" w:hAnsiTheme="minorHAnsi" w:cstheme="minorHAnsi"/>
                <w:sz w:val="20"/>
                <w:szCs w:val="20"/>
              </w:rPr>
            </w:pPr>
            <w:r w:rsidRPr="00186EBE">
              <w:rPr>
                <w:rFonts w:asciiTheme="minorHAnsi" w:eastAsia="Times New Roman" w:hAnsiTheme="minorHAnsi" w:cstheme="minorHAnsi"/>
                <w:sz w:val="20"/>
                <w:szCs w:val="20"/>
              </w:rPr>
              <w:t>Double-capped fluorescent lamps - Safety specifications</w:t>
            </w:r>
          </w:p>
        </w:tc>
      </w:tr>
      <w:tr w:rsidR="009F167B" w:rsidRPr="001F1C6F" w14:paraId="6B05EFE5" w14:textId="77777777" w:rsidTr="007C2C95">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4033321" w14:textId="77777777" w:rsidR="009F167B" w:rsidRDefault="009F167B" w:rsidP="00270E76">
            <w:pPr>
              <w:suppressAutoHyphens w:val="0"/>
              <w:spacing w:before="0" w:after="0"/>
              <w:jc w:val="left"/>
              <w:textAlignment w:val="auto"/>
              <w:rPr>
                <w:rFonts w:asciiTheme="minorHAnsi" w:eastAsia="Times New Roman" w:hAnsiTheme="minorHAnsi" w:cstheme="minorHAnsi"/>
                <w:sz w:val="20"/>
                <w:szCs w:val="20"/>
              </w:rPr>
            </w:pP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9CD2BB8" w14:textId="77777777" w:rsidR="009F167B" w:rsidRPr="00F12B62" w:rsidRDefault="009F167B" w:rsidP="00270E76">
            <w:pPr>
              <w:suppressAutoHyphens w:val="0"/>
              <w:spacing w:before="0" w:after="0"/>
              <w:jc w:val="left"/>
              <w:textAlignment w:val="auto"/>
              <w:rPr>
                <w:rFonts w:asciiTheme="minorHAnsi" w:eastAsia="Times New Roman" w:hAnsiTheme="minorHAnsi" w:cstheme="minorHAnsi"/>
                <w:sz w:val="20"/>
                <w:szCs w:val="20"/>
              </w:rPr>
            </w:pP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F12E433" w14:textId="1290E377" w:rsidR="009F167B" w:rsidRDefault="009F167B" w:rsidP="00270E76">
            <w:pPr>
              <w:suppressAutoHyphens w:val="0"/>
              <w:spacing w:before="0" w:after="0"/>
              <w:jc w:val="left"/>
              <w:textAlignment w:val="auto"/>
              <w:rPr>
                <w:rFonts w:asciiTheme="minorHAnsi" w:eastAsia="Times New Roman" w:hAnsiTheme="minorHAnsi" w:cstheme="minorHAnsi"/>
                <w:sz w:val="20"/>
                <w:szCs w:val="20"/>
              </w:rPr>
            </w:pPr>
            <w:r w:rsidRPr="009F167B">
              <w:rPr>
                <w:rFonts w:asciiTheme="minorHAnsi" w:eastAsia="Times New Roman" w:hAnsiTheme="minorHAnsi" w:cstheme="minorHAnsi"/>
                <w:sz w:val="20"/>
                <w:szCs w:val="20"/>
              </w:rPr>
              <w:t>IEC 60061-1</w:t>
            </w:r>
          </w:p>
        </w:tc>
        <w:tc>
          <w:tcPr>
            <w:tcW w:w="2550" w:type="dxa"/>
            <w:tcBorders>
              <w:top w:val="single" w:sz="6" w:space="0" w:color="9CC2E5"/>
              <w:left w:val="single" w:sz="6" w:space="0" w:color="9CC2E5"/>
              <w:bottom w:val="single" w:sz="6" w:space="0" w:color="9CC2E5"/>
              <w:right w:val="single" w:sz="6" w:space="0" w:color="9CC2E5"/>
            </w:tcBorders>
            <w:shd w:val="clear" w:color="auto" w:fill="DEEAF6"/>
          </w:tcPr>
          <w:p w14:paraId="32C92E67" w14:textId="2B7BC526" w:rsidR="009F167B" w:rsidRPr="00F12B62" w:rsidRDefault="009F167B" w:rsidP="00270E76">
            <w:pPr>
              <w:suppressAutoHyphens w:val="0"/>
              <w:spacing w:before="0" w:after="0"/>
              <w:jc w:val="left"/>
              <w:textAlignment w:val="auto"/>
              <w:rPr>
                <w:rFonts w:asciiTheme="minorHAnsi" w:eastAsia="Times New Roman" w:hAnsiTheme="minorHAnsi" w:cstheme="minorHAnsi"/>
                <w:sz w:val="20"/>
                <w:szCs w:val="20"/>
              </w:rPr>
            </w:pPr>
            <w:r w:rsidRPr="009F167B">
              <w:rPr>
                <w:rFonts w:asciiTheme="minorHAnsi" w:eastAsia="Times New Roman" w:hAnsiTheme="minorHAnsi" w:cstheme="minorHAnsi"/>
                <w:sz w:val="20"/>
                <w:szCs w:val="20"/>
              </w:rPr>
              <w:t>Lamp caps and holders together with gauges for the control of interchangeability and safety –Part 1: Lamp caps</w:t>
            </w:r>
          </w:p>
        </w:tc>
      </w:tr>
      <w:tr w:rsidR="00ED21D3" w:rsidRPr="001F1C6F" w14:paraId="1C53305A" w14:textId="77777777" w:rsidTr="007C2C95">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E4BD1E4" w14:textId="77777777" w:rsidR="00ED21D3" w:rsidRDefault="00ED21D3" w:rsidP="00270E76">
            <w:pPr>
              <w:suppressAutoHyphens w:val="0"/>
              <w:spacing w:before="0" w:after="0"/>
              <w:jc w:val="left"/>
              <w:textAlignment w:val="auto"/>
              <w:rPr>
                <w:rFonts w:asciiTheme="minorHAnsi" w:eastAsia="Times New Roman" w:hAnsiTheme="minorHAnsi" w:cstheme="minorHAnsi"/>
                <w:sz w:val="20"/>
                <w:szCs w:val="20"/>
              </w:rPr>
            </w:pP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DC00991" w14:textId="77777777" w:rsidR="00ED21D3" w:rsidRPr="00F12B62" w:rsidRDefault="00ED21D3" w:rsidP="00270E76">
            <w:pPr>
              <w:suppressAutoHyphens w:val="0"/>
              <w:spacing w:before="0" w:after="0"/>
              <w:jc w:val="left"/>
              <w:textAlignment w:val="auto"/>
              <w:rPr>
                <w:rFonts w:asciiTheme="minorHAnsi" w:eastAsia="Times New Roman" w:hAnsiTheme="minorHAnsi" w:cstheme="minorHAnsi"/>
                <w:sz w:val="20"/>
                <w:szCs w:val="20"/>
              </w:rPr>
            </w:pP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B3BF5AF" w14:textId="4BF36B82" w:rsidR="00ED21D3" w:rsidRPr="00992D03" w:rsidRDefault="009F167B" w:rsidP="00270E76">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IEC 61049</w:t>
            </w:r>
          </w:p>
        </w:tc>
        <w:tc>
          <w:tcPr>
            <w:tcW w:w="2550" w:type="dxa"/>
            <w:tcBorders>
              <w:top w:val="single" w:sz="6" w:space="0" w:color="9CC2E5"/>
              <w:left w:val="single" w:sz="6" w:space="0" w:color="9CC2E5"/>
              <w:bottom w:val="single" w:sz="6" w:space="0" w:color="9CC2E5"/>
              <w:right w:val="single" w:sz="6" w:space="0" w:color="9CC2E5"/>
            </w:tcBorders>
            <w:shd w:val="clear" w:color="auto" w:fill="auto"/>
          </w:tcPr>
          <w:p w14:paraId="464D3E13" w14:textId="724C3B0E" w:rsidR="00ED21D3" w:rsidRPr="00F12B62" w:rsidRDefault="00186EBE" w:rsidP="00270E76">
            <w:pPr>
              <w:suppressAutoHyphens w:val="0"/>
              <w:spacing w:before="0" w:after="0"/>
              <w:jc w:val="left"/>
              <w:textAlignment w:val="auto"/>
              <w:rPr>
                <w:rFonts w:asciiTheme="minorHAnsi" w:eastAsia="Times New Roman" w:hAnsiTheme="minorHAnsi" w:cstheme="minorHAnsi"/>
                <w:sz w:val="20"/>
                <w:szCs w:val="20"/>
              </w:rPr>
            </w:pPr>
            <w:r w:rsidRPr="00186EBE">
              <w:rPr>
                <w:rFonts w:asciiTheme="minorHAnsi" w:eastAsia="Times New Roman" w:hAnsiTheme="minorHAnsi" w:cstheme="minorHAnsi"/>
                <w:sz w:val="20"/>
                <w:szCs w:val="20"/>
              </w:rPr>
              <w:t>Capacitors for use in tubular fluorescent and other discharge lamp circuits. Performance requirements</w:t>
            </w:r>
          </w:p>
        </w:tc>
      </w:tr>
      <w:tr w:rsidR="00ED21D3" w:rsidRPr="001F1C6F" w14:paraId="7527ACBA" w14:textId="77777777" w:rsidTr="007C2C95">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D17FB58" w14:textId="77777777" w:rsidR="00ED21D3" w:rsidRDefault="00ED21D3" w:rsidP="00270E76">
            <w:pPr>
              <w:suppressAutoHyphens w:val="0"/>
              <w:spacing w:before="0" w:after="0"/>
              <w:jc w:val="left"/>
              <w:textAlignment w:val="auto"/>
              <w:rPr>
                <w:rFonts w:asciiTheme="minorHAnsi" w:eastAsia="Times New Roman" w:hAnsiTheme="minorHAnsi" w:cstheme="minorHAnsi"/>
                <w:sz w:val="20"/>
                <w:szCs w:val="20"/>
              </w:rPr>
            </w:pPr>
          </w:p>
        </w:tc>
        <w:tc>
          <w:tcPr>
            <w:tcW w:w="2835"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C122014" w14:textId="77777777" w:rsidR="00ED21D3" w:rsidRPr="00F12B62" w:rsidRDefault="00ED21D3" w:rsidP="00270E76">
            <w:pPr>
              <w:suppressAutoHyphens w:val="0"/>
              <w:spacing w:before="0" w:after="0"/>
              <w:jc w:val="left"/>
              <w:textAlignment w:val="auto"/>
              <w:rPr>
                <w:rFonts w:asciiTheme="minorHAnsi" w:eastAsia="Times New Roman" w:hAnsiTheme="minorHAnsi" w:cstheme="minorHAnsi"/>
                <w:sz w:val="20"/>
                <w:szCs w:val="20"/>
              </w:rPr>
            </w:pPr>
          </w:p>
        </w:tc>
        <w:tc>
          <w:tcPr>
            <w:tcW w:w="170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E65998D" w14:textId="15B03EC2" w:rsidR="00ED21D3" w:rsidRPr="00992D03" w:rsidRDefault="009F167B" w:rsidP="00270E76">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IEC 60155</w:t>
            </w:r>
          </w:p>
        </w:tc>
        <w:tc>
          <w:tcPr>
            <w:tcW w:w="2550" w:type="dxa"/>
            <w:tcBorders>
              <w:top w:val="single" w:sz="6" w:space="0" w:color="9CC2E5"/>
              <w:left w:val="single" w:sz="6" w:space="0" w:color="9CC2E5"/>
              <w:bottom w:val="single" w:sz="6" w:space="0" w:color="9CC2E5"/>
              <w:right w:val="single" w:sz="6" w:space="0" w:color="9CC2E5"/>
            </w:tcBorders>
            <w:shd w:val="clear" w:color="auto" w:fill="DEEAF6"/>
          </w:tcPr>
          <w:p w14:paraId="6AC07A7B" w14:textId="5E75EDED" w:rsidR="00ED21D3" w:rsidRPr="00F12B62" w:rsidRDefault="00186EBE" w:rsidP="00270E76">
            <w:pPr>
              <w:suppressAutoHyphens w:val="0"/>
              <w:spacing w:before="0" w:after="0"/>
              <w:jc w:val="left"/>
              <w:textAlignment w:val="auto"/>
              <w:rPr>
                <w:rFonts w:asciiTheme="minorHAnsi" w:eastAsia="Times New Roman" w:hAnsiTheme="minorHAnsi" w:cstheme="minorHAnsi"/>
                <w:sz w:val="20"/>
                <w:szCs w:val="20"/>
              </w:rPr>
            </w:pPr>
            <w:r w:rsidRPr="00186EBE">
              <w:rPr>
                <w:rFonts w:asciiTheme="minorHAnsi" w:eastAsia="Times New Roman" w:hAnsiTheme="minorHAnsi" w:cstheme="minorHAnsi"/>
                <w:sz w:val="20"/>
                <w:szCs w:val="20"/>
              </w:rPr>
              <w:t>Glow starters for fluorescent lamps</w:t>
            </w:r>
          </w:p>
        </w:tc>
      </w:tr>
      <w:tr w:rsidR="00ED21D3" w:rsidRPr="00914127" w14:paraId="5679BF61" w14:textId="77777777" w:rsidTr="007C2C95">
        <w:trPr>
          <w:jc w:val="center"/>
        </w:trPr>
        <w:tc>
          <w:tcPr>
            <w:tcW w:w="14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E72B12E" w14:textId="421CAAB4" w:rsidR="00ED21D3" w:rsidRDefault="00ED21D3" w:rsidP="00270E76">
            <w:pPr>
              <w:suppressAutoHyphens w:val="0"/>
              <w:spacing w:before="0" w:after="0"/>
              <w:jc w:val="left"/>
              <w:textAlignment w:val="auto"/>
              <w:rPr>
                <w:rFonts w:asciiTheme="minorHAnsi" w:eastAsia="Times New Roman" w:hAnsiTheme="minorHAnsi" w:cstheme="minorHAnsi"/>
                <w:sz w:val="20"/>
                <w:szCs w:val="20"/>
              </w:rPr>
            </w:pPr>
          </w:p>
        </w:tc>
        <w:tc>
          <w:tcPr>
            <w:tcW w:w="2835"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1040C4C" w14:textId="710E0682" w:rsidR="00ED21D3" w:rsidRPr="00270E76" w:rsidRDefault="00ED21D3" w:rsidP="00270E76">
            <w:pPr>
              <w:suppressAutoHyphens w:val="0"/>
              <w:spacing w:before="0" w:after="0"/>
              <w:jc w:val="left"/>
              <w:textAlignment w:val="auto"/>
              <w:rPr>
                <w:rFonts w:asciiTheme="minorHAnsi" w:eastAsia="Times New Roman" w:hAnsiTheme="minorHAnsi" w:cstheme="minorHAnsi"/>
                <w:sz w:val="20"/>
                <w:szCs w:val="20"/>
                <w:lang w:val="en-US"/>
              </w:rPr>
            </w:pPr>
          </w:p>
        </w:tc>
        <w:tc>
          <w:tcPr>
            <w:tcW w:w="170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358B09A" w14:textId="15D86E63" w:rsidR="00ED21D3" w:rsidRPr="005D61DD" w:rsidRDefault="009F167B" w:rsidP="00270E76">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CIE</w:t>
            </w:r>
          </w:p>
        </w:tc>
        <w:tc>
          <w:tcPr>
            <w:tcW w:w="2550" w:type="dxa"/>
            <w:tcBorders>
              <w:top w:val="single" w:sz="6" w:space="0" w:color="9CC2E5"/>
              <w:left w:val="single" w:sz="6" w:space="0" w:color="9CC2E5"/>
              <w:bottom w:val="single" w:sz="6" w:space="0" w:color="9CC2E5"/>
              <w:right w:val="single" w:sz="6" w:space="0" w:color="9CC2E5"/>
            </w:tcBorders>
            <w:shd w:val="clear" w:color="auto" w:fill="auto"/>
          </w:tcPr>
          <w:p w14:paraId="1C7BDA7D" w14:textId="57CC7275" w:rsidR="00ED21D3" w:rsidRPr="005D61DD" w:rsidRDefault="009F167B" w:rsidP="00270E76">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Recomendaciones para medir las características fotométricas</w:t>
            </w:r>
          </w:p>
        </w:tc>
      </w:tr>
    </w:tbl>
    <w:p w14:paraId="03585FD2" w14:textId="77777777" w:rsidR="00C132E7" w:rsidRPr="00C132E7" w:rsidRDefault="00C132E7" w:rsidP="00C132E7">
      <w:pPr>
        <w:spacing w:before="0" w:after="0"/>
        <w:rPr>
          <w:sz w:val="20"/>
          <w:szCs w:val="20"/>
          <w:lang w:val="es-ES"/>
        </w:rPr>
      </w:pPr>
      <w:r w:rsidRPr="00C132E7">
        <w:rPr>
          <w:sz w:val="20"/>
          <w:szCs w:val="20"/>
          <w:lang w:val="es-ES"/>
        </w:rPr>
        <w:t>Nota: Las normas EN son equivalentes a las normas ISO/IEC correspondientes.</w:t>
      </w:r>
    </w:p>
    <w:p w14:paraId="659E19E1" w14:textId="5BB809AF" w:rsidR="009B1CC0" w:rsidRDefault="009B1CC0" w:rsidP="009B1CC0">
      <w:pPr>
        <w:suppressAutoHyphens w:val="0"/>
        <w:rPr>
          <w:lang w:val="es-ES"/>
        </w:rPr>
      </w:pPr>
    </w:p>
    <w:p w14:paraId="3E586574" w14:textId="74B84D20" w:rsidR="006770F7" w:rsidRDefault="006770F7" w:rsidP="009B1CC0">
      <w:pPr>
        <w:suppressAutoHyphens w:val="0"/>
        <w:rPr>
          <w:lang w:val="es-ES"/>
        </w:rPr>
      </w:pPr>
    </w:p>
    <w:p w14:paraId="06A1A5AF" w14:textId="77777777" w:rsidR="006B3E87" w:rsidRDefault="006B3E87">
      <w:pPr>
        <w:suppressAutoHyphens w:val="0"/>
        <w:rPr>
          <w:lang w:val="es-ES"/>
        </w:rPr>
        <w:sectPr w:rsidR="006B3E87" w:rsidSect="009B1CC0">
          <w:pgSz w:w="11906" w:h="16838"/>
          <w:pgMar w:top="1418" w:right="1701" w:bottom="993" w:left="1701" w:header="708" w:footer="708" w:gutter="0"/>
          <w:cols w:space="720"/>
          <w:docGrid w:linePitch="299"/>
        </w:sectPr>
      </w:pPr>
    </w:p>
    <w:p w14:paraId="5BF8C1D8" w14:textId="3C92C59A" w:rsidR="006770F7" w:rsidRPr="006770F7" w:rsidRDefault="006770F7" w:rsidP="006770F7">
      <w:pPr>
        <w:keepNext/>
        <w:keepLines/>
        <w:pageBreakBefore/>
        <w:spacing w:before="440" w:after="200"/>
        <w:outlineLvl w:val="0"/>
        <w:rPr>
          <w:rFonts w:eastAsia="Times New Roman"/>
          <w:smallCaps/>
          <w:color w:val="002B7F"/>
          <w:sz w:val="34"/>
          <w:szCs w:val="32"/>
          <w:lang w:val="es-ES"/>
        </w:rPr>
      </w:pPr>
      <w:bookmarkStart w:id="86" w:name="_Toc516146050"/>
      <w:r w:rsidRPr="006770F7">
        <w:rPr>
          <w:rFonts w:eastAsia="Times New Roman"/>
          <w:smallCaps/>
          <w:color w:val="002B7F"/>
          <w:sz w:val="34"/>
          <w:szCs w:val="32"/>
          <w:lang w:val="es-ES"/>
        </w:rPr>
        <w:t>Anexo 1</w:t>
      </w:r>
      <w:r w:rsidR="009B6D93">
        <w:rPr>
          <w:rFonts w:eastAsia="Times New Roman"/>
          <w:smallCaps/>
          <w:color w:val="002B7F"/>
          <w:sz w:val="34"/>
          <w:szCs w:val="32"/>
          <w:lang w:val="es-ES"/>
        </w:rPr>
        <w:t>4</w:t>
      </w:r>
      <w:r w:rsidRPr="006770F7">
        <w:rPr>
          <w:rFonts w:eastAsia="Times New Roman"/>
          <w:smallCaps/>
          <w:color w:val="002B7F"/>
          <w:sz w:val="34"/>
          <w:szCs w:val="32"/>
          <w:lang w:val="es-ES"/>
        </w:rPr>
        <w:t xml:space="preserve"> – Normas de medición ISO/IEC </w:t>
      </w:r>
      <w:r w:rsidR="0026612B">
        <w:rPr>
          <w:rFonts w:eastAsia="Times New Roman"/>
          <w:smallCaps/>
          <w:color w:val="002B7F"/>
          <w:sz w:val="34"/>
          <w:szCs w:val="32"/>
          <w:lang w:val="es-ES"/>
        </w:rPr>
        <w:t>para</w:t>
      </w:r>
      <w:r w:rsidRPr="006770F7">
        <w:rPr>
          <w:rFonts w:eastAsia="Times New Roman"/>
          <w:smallCaps/>
          <w:color w:val="002B7F"/>
          <w:sz w:val="34"/>
          <w:szCs w:val="32"/>
          <w:lang w:val="es-ES"/>
        </w:rPr>
        <w:t xml:space="preserve"> lámparas </w:t>
      </w:r>
      <w:r>
        <w:rPr>
          <w:rFonts w:eastAsia="Times New Roman"/>
          <w:smallCaps/>
          <w:color w:val="002B7F"/>
          <w:sz w:val="34"/>
          <w:szCs w:val="32"/>
          <w:lang w:val="es-ES"/>
        </w:rPr>
        <w:t>LED integradas</w:t>
      </w:r>
      <w:r w:rsidR="004875FB">
        <w:rPr>
          <w:rFonts w:eastAsia="Times New Roman"/>
          <w:smallCaps/>
          <w:color w:val="002B7F"/>
          <w:sz w:val="34"/>
          <w:szCs w:val="32"/>
          <w:lang w:val="es-ES"/>
        </w:rPr>
        <w:t xml:space="preserve">, </w:t>
      </w:r>
      <w:r w:rsidR="004875FB" w:rsidRPr="004875FB">
        <w:rPr>
          <w:rFonts w:eastAsia="Times New Roman"/>
          <w:smallCaps/>
          <w:color w:val="FF0000"/>
          <w:sz w:val="34"/>
          <w:szCs w:val="32"/>
          <w:lang w:val="es-ES"/>
        </w:rPr>
        <w:t>módulos LED y luminarias de</w:t>
      </w:r>
      <w:r w:rsidR="00D60C89" w:rsidRPr="004875FB">
        <w:rPr>
          <w:rFonts w:eastAsia="Times New Roman"/>
          <w:smallCaps/>
          <w:color w:val="FF0000"/>
          <w:sz w:val="34"/>
          <w:szCs w:val="32"/>
          <w:lang w:val="es-ES"/>
        </w:rPr>
        <w:t xml:space="preserve"> LED</w:t>
      </w:r>
      <w:r w:rsidR="00ED3D0A" w:rsidRPr="004875FB">
        <w:rPr>
          <w:rFonts w:eastAsia="Times New Roman"/>
          <w:smallCaps/>
          <w:color w:val="FF0000"/>
          <w:sz w:val="34"/>
          <w:szCs w:val="32"/>
          <w:lang w:val="es-ES"/>
        </w:rPr>
        <w:t xml:space="preserve"> </w:t>
      </w:r>
      <w:r w:rsidR="00ED3D0A" w:rsidRPr="00ED3D0A">
        <w:rPr>
          <w:rFonts w:eastAsia="Times New Roman"/>
          <w:smallCaps/>
          <w:color w:val="002B7F"/>
          <w:sz w:val="34"/>
          <w:szCs w:val="32"/>
          <w:lang w:val="es-ES"/>
        </w:rPr>
        <w:t>– normas referenciadas</w:t>
      </w:r>
      <w:bookmarkEnd w:id="86"/>
    </w:p>
    <w:p w14:paraId="5445A858" w14:textId="1F5A6BB3" w:rsidR="009D7626" w:rsidRDefault="009D7626" w:rsidP="00270E76">
      <w:pPr>
        <w:pStyle w:val="Caption"/>
        <w:spacing w:after="0"/>
        <w:rPr>
          <w:lang w:val="es-ES"/>
        </w:rPr>
      </w:pPr>
      <w:r>
        <w:rPr>
          <w:rFonts w:cstheme="minorHAnsi"/>
          <w:sz w:val="18"/>
          <w:lang w:val="es-PA"/>
        </w:rPr>
        <w:t>Nota: L</w:t>
      </w:r>
      <w:r w:rsidRPr="009D7626">
        <w:rPr>
          <w:rFonts w:cstheme="minorHAnsi"/>
          <w:sz w:val="18"/>
          <w:lang w:val="es-PA"/>
        </w:rPr>
        <w:t>a siguiente tabla ha sido compilada con el máximo cuidado</w:t>
      </w:r>
      <w:r>
        <w:rPr>
          <w:rFonts w:cstheme="minorHAnsi"/>
          <w:sz w:val="18"/>
          <w:lang w:val="es-PA"/>
        </w:rPr>
        <w:t>. Sin embargo, el autor no puede garantizar la integr</w:t>
      </w:r>
      <w:r w:rsidR="00AE2C38">
        <w:rPr>
          <w:rFonts w:cstheme="minorHAnsi"/>
          <w:sz w:val="18"/>
          <w:lang w:val="es-PA"/>
        </w:rPr>
        <w:t>i</w:t>
      </w:r>
      <w:r>
        <w:rPr>
          <w:rFonts w:cstheme="minorHAnsi"/>
          <w:sz w:val="18"/>
          <w:lang w:val="es-PA"/>
        </w:rPr>
        <w:t>dad y actuali</w:t>
      </w:r>
      <w:r w:rsidR="00AE2C38">
        <w:rPr>
          <w:rFonts w:cstheme="minorHAnsi"/>
          <w:sz w:val="18"/>
          <w:lang w:val="es-PA"/>
        </w:rPr>
        <w:t>dad</w:t>
      </w:r>
      <w:r>
        <w:rPr>
          <w:rFonts w:cstheme="minorHAnsi"/>
          <w:sz w:val="18"/>
          <w:lang w:val="es-PA"/>
        </w:rPr>
        <w:t xml:space="preserve"> de la información.</w:t>
      </w:r>
    </w:p>
    <w:p w14:paraId="44A4C068" w14:textId="77777777" w:rsidR="009D7626" w:rsidRDefault="009D7626" w:rsidP="00270E76">
      <w:pPr>
        <w:pStyle w:val="Caption"/>
        <w:spacing w:after="0"/>
        <w:rPr>
          <w:lang w:val="es-ES"/>
        </w:rPr>
      </w:pPr>
    </w:p>
    <w:p w14:paraId="09F19337" w14:textId="2E2FAC48" w:rsidR="00270E76" w:rsidRDefault="00270E76" w:rsidP="00270E76">
      <w:pPr>
        <w:pStyle w:val="Caption"/>
        <w:spacing w:after="0"/>
        <w:rPr>
          <w:lang w:val="es-ES"/>
        </w:rPr>
      </w:pPr>
      <w:r w:rsidRPr="00387BD7">
        <w:rPr>
          <w:lang w:val="es-ES"/>
        </w:rPr>
        <w:t>Lámparas</w:t>
      </w:r>
      <w:r w:rsidRPr="00F87425">
        <w:rPr>
          <w:lang w:val="es-ES"/>
        </w:rPr>
        <w:t xml:space="preserve"> </w:t>
      </w:r>
      <w:r>
        <w:rPr>
          <w:lang w:val="es-ES"/>
        </w:rPr>
        <w:t>LED integradas</w:t>
      </w:r>
      <w:r w:rsidR="004875FB">
        <w:rPr>
          <w:lang w:val="es-ES"/>
        </w:rPr>
        <w:t>,</w:t>
      </w:r>
      <w:r w:rsidR="00D60C89">
        <w:rPr>
          <w:lang w:val="es-ES"/>
        </w:rPr>
        <w:t xml:space="preserve"> </w:t>
      </w:r>
      <w:r w:rsidR="00D60C89" w:rsidRPr="004875FB">
        <w:rPr>
          <w:color w:val="FF0000"/>
          <w:lang w:val="es-ES"/>
        </w:rPr>
        <w:t>módulos LED</w:t>
      </w:r>
      <w:r w:rsidR="004875FB" w:rsidRPr="004875FB">
        <w:rPr>
          <w:color w:val="FF0000"/>
          <w:lang w:val="es-ES"/>
        </w:rPr>
        <w:t xml:space="preserve"> y luminarias de LED</w:t>
      </w:r>
    </w:p>
    <w:p w14:paraId="13A94B46" w14:textId="77777777" w:rsidR="00270E76" w:rsidRPr="00A96F74" w:rsidRDefault="00270E76" w:rsidP="00270E76">
      <w:pPr>
        <w:spacing w:before="0" w:after="140"/>
        <w:jc w:val="center"/>
        <w:rPr>
          <w:color w:val="002B7F"/>
          <w:lang w:val="es-ES"/>
        </w:rPr>
      </w:pPr>
      <w:r w:rsidRPr="00A96F74">
        <w:rPr>
          <w:i/>
          <w:color w:val="002B7F"/>
          <w:sz w:val="18"/>
          <w:lang w:val="es-ES"/>
        </w:rPr>
        <w:t>Fuente:</w:t>
      </w:r>
      <w:r w:rsidRPr="00E2630F">
        <w:rPr>
          <w:lang w:val="es-ES"/>
        </w:rPr>
        <w:t xml:space="preserve"> </w:t>
      </w:r>
      <w:r w:rsidRPr="00E2630F">
        <w:rPr>
          <w:rFonts w:cstheme="minorHAnsi"/>
          <w:color w:val="002B7F"/>
          <w:sz w:val="18"/>
          <w:lang w:val="es-PA"/>
        </w:rPr>
        <w:t xml:space="preserve">Elaboración propia en base de </w:t>
      </w:r>
      <w:r>
        <w:rPr>
          <w:rFonts w:cstheme="minorHAnsi"/>
          <w:color w:val="002B7F"/>
          <w:sz w:val="18"/>
          <w:lang w:val="es-PA"/>
        </w:rPr>
        <w:t>las normas mencionadas</w:t>
      </w:r>
    </w:p>
    <w:tbl>
      <w:tblPr>
        <w:tblW w:w="5000" w:type="pct"/>
        <w:jc w:val="center"/>
        <w:tblCellMar>
          <w:left w:w="10" w:type="dxa"/>
          <w:right w:w="10" w:type="dxa"/>
        </w:tblCellMar>
        <w:tblLook w:val="0000" w:firstRow="0" w:lastRow="0" w:firstColumn="0" w:lastColumn="0" w:noHBand="0" w:noVBand="0"/>
      </w:tblPr>
      <w:tblGrid>
        <w:gridCol w:w="1693"/>
        <w:gridCol w:w="3127"/>
        <w:gridCol w:w="1551"/>
        <w:gridCol w:w="3260"/>
        <w:gridCol w:w="1418"/>
        <w:gridCol w:w="3370"/>
      </w:tblGrid>
      <w:tr w:rsidR="004875FB" w:rsidRPr="00D60C89" w14:paraId="227E4161" w14:textId="77777777" w:rsidTr="00B1771D">
        <w:trPr>
          <w:jc w:val="center"/>
        </w:trPr>
        <w:tc>
          <w:tcPr>
            <w:tcW w:w="4820" w:type="dxa"/>
            <w:gridSpan w:val="2"/>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663882C7" w14:textId="77777777" w:rsidR="004875FB" w:rsidRPr="00130C34" w:rsidRDefault="004875FB" w:rsidP="00B1771D">
            <w:pPr>
              <w:suppressAutoHyphens w:val="0"/>
              <w:spacing w:before="0" w:after="0"/>
              <w:jc w:val="center"/>
              <w:textAlignment w:val="auto"/>
              <w:rPr>
                <w:rFonts w:eastAsia="Times New Roman"/>
                <w:color w:val="FFFFFF" w:themeColor="background1"/>
                <w:lang w:val="es-ES"/>
              </w:rPr>
            </w:pPr>
            <w:r w:rsidRPr="00A211CA">
              <w:rPr>
                <w:rFonts w:eastAsia="Times New Roman"/>
                <w:b/>
                <w:color w:val="FFFFFF" w:themeColor="background1"/>
                <w:lang w:val="es-ES"/>
              </w:rPr>
              <w:t>EN 6</w:t>
            </w:r>
            <w:r>
              <w:rPr>
                <w:rFonts w:eastAsia="Times New Roman"/>
                <w:b/>
                <w:color w:val="FFFFFF" w:themeColor="background1"/>
                <w:lang w:val="es-ES"/>
              </w:rPr>
              <w:t>2612:2</w:t>
            </w:r>
            <w:r w:rsidRPr="00A211CA">
              <w:rPr>
                <w:rFonts w:eastAsia="Times New Roman"/>
                <w:b/>
                <w:color w:val="FFFFFF" w:themeColor="background1"/>
                <w:lang w:val="es-ES"/>
              </w:rPr>
              <w:t>01</w:t>
            </w:r>
            <w:r>
              <w:rPr>
                <w:rFonts w:eastAsia="Times New Roman"/>
                <w:b/>
                <w:color w:val="FFFFFF" w:themeColor="background1"/>
                <w:lang w:val="es-ES"/>
              </w:rPr>
              <w:t>3</w:t>
            </w:r>
          </w:p>
        </w:tc>
        <w:tc>
          <w:tcPr>
            <w:tcW w:w="4811" w:type="dxa"/>
            <w:gridSpan w:val="2"/>
            <w:tcBorders>
              <w:top w:val="single" w:sz="6" w:space="0" w:color="5B9BD5"/>
              <w:bottom w:val="single" w:sz="6" w:space="0" w:color="5B9BD5"/>
            </w:tcBorders>
            <w:shd w:val="clear" w:color="auto" w:fill="5B9BD5"/>
            <w:tcMar>
              <w:top w:w="0" w:type="dxa"/>
              <w:left w:w="108" w:type="dxa"/>
              <w:bottom w:w="0" w:type="dxa"/>
              <w:right w:w="108" w:type="dxa"/>
            </w:tcMar>
          </w:tcPr>
          <w:p w14:paraId="20FDFEEF" w14:textId="77777777" w:rsidR="004875FB" w:rsidRPr="00130C34" w:rsidRDefault="004875FB" w:rsidP="00B1771D">
            <w:pPr>
              <w:suppressAutoHyphens w:val="0"/>
              <w:spacing w:before="0" w:after="0"/>
              <w:jc w:val="center"/>
              <w:textAlignment w:val="auto"/>
              <w:rPr>
                <w:rFonts w:cs="Calibri"/>
                <w:b/>
                <w:bCs/>
                <w:color w:val="FFFFFF" w:themeColor="background1"/>
                <w:lang w:val="es-PA"/>
              </w:rPr>
            </w:pPr>
            <w:r>
              <w:rPr>
                <w:rFonts w:cs="Calibri"/>
                <w:b/>
                <w:bCs/>
                <w:color w:val="FFFFFF" w:themeColor="background1"/>
                <w:lang w:val="es-PA"/>
              </w:rPr>
              <w:t>EN 62717 ed. 1.0/A1:2015</w:t>
            </w:r>
          </w:p>
        </w:tc>
        <w:tc>
          <w:tcPr>
            <w:tcW w:w="4788" w:type="dxa"/>
            <w:gridSpan w:val="2"/>
            <w:tcBorders>
              <w:top w:val="single" w:sz="6" w:space="0" w:color="5B9BD5"/>
              <w:bottom w:val="single" w:sz="6" w:space="0" w:color="5B9BD5"/>
            </w:tcBorders>
            <w:shd w:val="clear" w:color="auto" w:fill="5B9BD5"/>
          </w:tcPr>
          <w:p w14:paraId="4B29ED37" w14:textId="77777777" w:rsidR="004875FB" w:rsidRPr="00781A29" w:rsidRDefault="004875FB" w:rsidP="00B1771D">
            <w:pPr>
              <w:suppressAutoHyphens w:val="0"/>
              <w:spacing w:before="0" w:after="0"/>
              <w:jc w:val="center"/>
              <w:textAlignment w:val="auto"/>
              <w:rPr>
                <w:rFonts w:cs="Calibri"/>
                <w:b/>
                <w:bCs/>
                <w:color w:val="FF0000"/>
                <w:lang w:val="es-PA"/>
              </w:rPr>
            </w:pPr>
            <w:r w:rsidRPr="00781A29">
              <w:rPr>
                <w:rFonts w:cs="Calibri"/>
                <w:b/>
                <w:bCs/>
                <w:color w:val="FF0000"/>
                <w:lang w:val="es-PA"/>
              </w:rPr>
              <w:t>EN 62722-2-1:2016</w:t>
            </w:r>
          </w:p>
        </w:tc>
      </w:tr>
      <w:tr w:rsidR="004875FB" w:rsidRPr="00914127" w14:paraId="7B1894B0" w14:textId="77777777" w:rsidTr="00B1771D">
        <w:trPr>
          <w:jc w:val="center"/>
        </w:trPr>
        <w:tc>
          <w:tcPr>
            <w:tcW w:w="4820" w:type="dxa"/>
            <w:gridSpan w:val="2"/>
            <w:tcBorders>
              <w:top w:val="single" w:sz="6" w:space="0" w:color="5B9BD5"/>
              <w:left w:val="single" w:sz="6" w:space="0" w:color="5B9BD5"/>
              <w:bottom w:val="single" w:sz="6" w:space="0" w:color="5B9BD5"/>
            </w:tcBorders>
            <w:shd w:val="clear" w:color="auto" w:fill="9CC2E5"/>
            <w:tcMar>
              <w:top w:w="0" w:type="dxa"/>
              <w:left w:w="108" w:type="dxa"/>
              <w:bottom w:w="0" w:type="dxa"/>
              <w:right w:w="108" w:type="dxa"/>
            </w:tcMar>
          </w:tcPr>
          <w:p w14:paraId="609EFD61" w14:textId="77777777" w:rsidR="004875FB" w:rsidRPr="00B13999" w:rsidRDefault="004875FB" w:rsidP="00B1771D">
            <w:pPr>
              <w:suppressAutoHyphens w:val="0"/>
              <w:spacing w:before="0" w:after="0"/>
              <w:jc w:val="center"/>
              <w:textAlignment w:val="auto"/>
              <w:rPr>
                <w:rFonts w:eastAsia="Times New Roman"/>
                <w:b/>
                <w:color w:val="FFFFFF" w:themeColor="background1"/>
                <w:lang w:val="es-ES"/>
              </w:rPr>
            </w:pPr>
            <w:r w:rsidRPr="00B13999">
              <w:rPr>
                <w:rFonts w:eastAsia="Times New Roman"/>
                <w:b/>
                <w:color w:val="FFFFFF" w:themeColor="background1"/>
                <w:lang w:val="es-ES"/>
              </w:rPr>
              <w:t>Lámparas de LED con balasto propio para servicios de iluminaci</w:t>
            </w:r>
            <w:r>
              <w:rPr>
                <w:rFonts w:eastAsia="Times New Roman"/>
                <w:b/>
                <w:color w:val="FFFFFF" w:themeColor="background1"/>
                <w:lang w:val="es-ES"/>
              </w:rPr>
              <w:t xml:space="preserve">ón general con tensión de alimentación &gt; 50V </w:t>
            </w:r>
            <w:r w:rsidRPr="00D60C89">
              <w:rPr>
                <w:rFonts w:eastAsia="Times New Roman"/>
                <w:b/>
                <w:color w:val="FFFFFF" w:themeColor="background1"/>
                <w:lang w:val="es-ES"/>
              </w:rPr>
              <w:t>–</w:t>
            </w:r>
            <w:r>
              <w:rPr>
                <w:rFonts w:eastAsia="Times New Roman"/>
                <w:b/>
                <w:color w:val="FFFFFF" w:themeColor="background1"/>
                <w:lang w:val="es-ES"/>
              </w:rPr>
              <w:t xml:space="preserve"> Requisitos de funcionamiento</w:t>
            </w:r>
          </w:p>
        </w:tc>
        <w:tc>
          <w:tcPr>
            <w:tcW w:w="4811" w:type="dxa"/>
            <w:gridSpan w:val="2"/>
            <w:tcBorders>
              <w:top w:val="single" w:sz="6" w:space="0" w:color="5B9BD5"/>
              <w:bottom w:val="single" w:sz="6" w:space="0" w:color="5B9BD5"/>
            </w:tcBorders>
            <w:shd w:val="clear" w:color="auto" w:fill="9CC2E5"/>
            <w:tcMar>
              <w:top w:w="0" w:type="dxa"/>
              <w:left w:w="108" w:type="dxa"/>
              <w:bottom w:w="0" w:type="dxa"/>
              <w:right w:w="108" w:type="dxa"/>
            </w:tcMar>
          </w:tcPr>
          <w:p w14:paraId="4E6B5598" w14:textId="77777777" w:rsidR="004875FB" w:rsidRPr="00D60C89" w:rsidRDefault="004875FB" w:rsidP="00B1771D">
            <w:pPr>
              <w:suppressAutoHyphens w:val="0"/>
              <w:spacing w:before="0" w:after="0"/>
              <w:jc w:val="center"/>
              <w:textAlignment w:val="auto"/>
              <w:rPr>
                <w:rFonts w:cs="Calibri"/>
                <w:b/>
                <w:bCs/>
                <w:color w:val="FFFFFF" w:themeColor="background1"/>
                <w:lang w:val="en-US"/>
              </w:rPr>
            </w:pPr>
            <w:r w:rsidRPr="00D60C89">
              <w:rPr>
                <w:rFonts w:cs="Calibri"/>
                <w:b/>
                <w:bCs/>
                <w:color w:val="FFFFFF" w:themeColor="background1"/>
                <w:lang w:val="en-US"/>
              </w:rPr>
              <w:t xml:space="preserve">LED modules for general lighting – Performance requirements  </w:t>
            </w:r>
          </w:p>
        </w:tc>
        <w:tc>
          <w:tcPr>
            <w:tcW w:w="4788" w:type="dxa"/>
            <w:gridSpan w:val="2"/>
            <w:tcBorders>
              <w:top w:val="single" w:sz="6" w:space="0" w:color="5B9BD5"/>
              <w:bottom w:val="single" w:sz="6" w:space="0" w:color="5B9BD5"/>
            </w:tcBorders>
            <w:shd w:val="clear" w:color="auto" w:fill="9CC2E5"/>
          </w:tcPr>
          <w:p w14:paraId="06BF7C84" w14:textId="20B766FB" w:rsidR="004875FB" w:rsidRPr="00724C4D" w:rsidRDefault="004875FB" w:rsidP="00B9611F">
            <w:pPr>
              <w:suppressAutoHyphens w:val="0"/>
              <w:spacing w:before="0" w:after="0"/>
              <w:jc w:val="center"/>
              <w:textAlignment w:val="auto"/>
              <w:rPr>
                <w:rFonts w:cs="Calibri"/>
                <w:b/>
                <w:bCs/>
                <w:color w:val="FF0000"/>
                <w:lang w:val="es-ES"/>
              </w:rPr>
            </w:pPr>
            <w:r w:rsidRPr="00724C4D">
              <w:rPr>
                <w:rFonts w:cs="Calibri"/>
                <w:b/>
                <w:bCs/>
                <w:color w:val="FF0000"/>
                <w:lang w:val="es-ES"/>
              </w:rPr>
              <w:t>Prestaciones de la</w:t>
            </w:r>
            <w:r w:rsidR="00B9611F">
              <w:rPr>
                <w:rFonts w:cs="Calibri"/>
                <w:b/>
                <w:bCs/>
                <w:color w:val="FF0000"/>
                <w:lang w:val="es-ES"/>
              </w:rPr>
              <w:t>s</w:t>
            </w:r>
            <w:r w:rsidRPr="00724C4D">
              <w:rPr>
                <w:rFonts w:cs="Calibri"/>
                <w:b/>
                <w:bCs/>
                <w:color w:val="FF0000"/>
                <w:lang w:val="es-ES"/>
              </w:rPr>
              <w:t xml:space="preserve"> luminarias – Parte 2-1: </w:t>
            </w:r>
            <w:r>
              <w:rPr>
                <w:rFonts w:cs="Calibri"/>
                <w:b/>
                <w:bCs/>
                <w:color w:val="FF0000"/>
                <w:lang w:val="es-ES"/>
              </w:rPr>
              <w:t>Requisitos particulares para luminarias de LED</w:t>
            </w:r>
          </w:p>
        </w:tc>
      </w:tr>
      <w:tr w:rsidR="004875FB" w:rsidRPr="00781A29" w14:paraId="6B2B98BE"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90D21BD"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312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7D44EF8"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15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6E62495" w14:textId="77777777" w:rsidR="004875FB" w:rsidRPr="00724C4D"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3260" w:type="dxa"/>
            <w:tcBorders>
              <w:top w:val="single" w:sz="6" w:space="0" w:color="9CC2E5"/>
              <w:left w:val="single" w:sz="6" w:space="0" w:color="9CC2E5"/>
              <w:bottom w:val="single" w:sz="6" w:space="0" w:color="9CC2E5"/>
              <w:right w:val="single" w:sz="6" w:space="0" w:color="9CC2E5"/>
            </w:tcBorders>
            <w:shd w:val="clear" w:color="auto" w:fill="auto"/>
          </w:tcPr>
          <w:p w14:paraId="76165393" w14:textId="77777777" w:rsidR="004875FB" w:rsidRPr="00724C4D"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1418" w:type="dxa"/>
            <w:tcBorders>
              <w:top w:val="single" w:sz="6" w:space="0" w:color="9CC2E5"/>
              <w:left w:val="single" w:sz="6" w:space="0" w:color="9CC2E5"/>
              <w:bottom w:val="single" w:sz="6" w:space="0" w:color="9CC2E5"/>
              <w:right w:val="single" w:sz="6" w:space="0" w:color="9CC2E5"/>
            </w:tcBorders>
          </w:tcPr>
          <w:p w14:paraId="51911A86" w14:textId="77777777" w:rsidR="004875FB" w:rsidRPr="00781A29" w:rsidRDefault="004875FB" w:rsidP="00B1771D">
            <w:pPr>
              <w:suppressAutoHyphens w:val="0"/>
              <w:spacing w:before="0" w:after="0"/>
              <w:jc w:val="left"/>
              <w:textAlignment w:val="auto"/>
              <w:rPr>
                <w:rFonts w:asciiTheme="minorHAnsi" w:eastAsia="Times New Roman" w:hAnsiTheme="minorHAnsi" w:cstheme="minorHAnsi"/>
                <w:color w:val="FF0000"/>
                <w:sz w:val="20"/>
                <w:szCs w:val="20"/>
              </w:rPr>
            </w:pPr>
            <w:r>
              <w:rPr>
                <w:rFonts w:asciiTheme="minorHAnsi" w:eastAsia="Times New Roman" w:hAnsiTheme="minorHAnsi" w:cstheme="minorHAnsi"/>
                <w:color w:val="FF0000"/>
                <w:sz w:val="20"/>
                <w:szCs w:val="20"/>
              </w:rPr>
              <w:t>IEC 62717</w:t>
            </w:r>
          </w:p>
        </w:tc>
        <w:tc>
          <w:tcPr>
            <w:tcW w:w="3370" w:type="dxa"/>
            <w:tcBorders>
              <w:top w:val="single" w:sz="6" w:space="0" w:color="9CC2E5"/>
              <w:left w:val="single" w:sz="6" w:space="0" w:color="9CC2E5"/>
              <w:bottom w:val="single" w:sz="6" w:space="0" w:color="9CC2E5"/>
              <w:right w:val="single" w:sz="6" w:space="0" w:color="9CC2E5"/>
            </w:tcBorders>
          </w:tcPr>
          <w:p w14:paraId="46B364B7" w14:textId="77777777" w:rsidR="004875FB" w:rsidRPr="00781A29" w:rsidRDefault="004875FB" w:rsidP="00B1771D">
            <w:pPr>
              <w:suppressAutoHyphens w:val="0"/>
              <w:spacing w:before="0" w:after="0"/>
              <w:jc w:val="left"/>
              <w:textAlignment w:val="auto"/>
              <w:rPr>
                <w:rFonts w:asciiTheme="minorHAnsi" w:eastAsia="Times New Roman" w:hAnsiTheme="minorHAnsi" w:cstheme="minorHAnsi"/>
                <w:color w:val="FF0000"/>
                <w:sz w:val="20"/>
                <w:szCs w:val="20"/>
                <w:lang w:val="es-ES"/>
              </w:rPr>
            </w:pPr>
            <w:r w:rsidRPr="006312A8">
              <w:rPr>
                <w:rFonts w:asciiTheme="minorHAnsi" w:eastAsia="Times New Roman" w:hAnsiTheme="minorHAnsi" w:cstheme="minorHAnsi"/>
                <w:color w:val="FF0000"/>
                <w:sz w:val="20"/>
                <w:szCs w:val="20"/>
                <w:lang w:val="en-US"/>
              </w:rPr>
              <w:t xml:space="preserve">LED modules for general lighting. </w:t>
            </w:r>
            <w:r>
              <w:rPr>
                <w:rFonts w:asciiTheme="minorHAnsi" w:eastAsia="Times New Roman" w:hAnsiTheme="minorHAnsi" w:cstheme="minorHAnsi"/>
                <w:color w:val="FF0000"/>
                <w:sz w:val="20"/>
                <w:szCs w:val="20"/>
                <w:lang w:val="es-ES"/>
              </w:rPr>
              <w:t>Performance requirements.</w:t>
            </w:r>
          </w:p>
        </w:tc>
      </w:tr>
      <w:tr w:rsidR="004875FB" w:rsidRPr="00781A29" w14:paraId="78C465E6" w14:textId="77777777" w:rsidTr="00E03BC0">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28FB02E"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312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D6691A0" w14:textId="77777777" w:rsidR="004875FB" w:rsidRPr="00270E76"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15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2ED9AD1" w14:textId="77777777" w:rsidR="004875FB" w:rsidRPr="00186EBE" w:rsidRDefault="004875FB" w:rsidP="00B1771D">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IEC 62031:2008 </w:t>
            </w:r>
          </w:p>
        </w:tc>
        <w:tc>
          <w:tcPr>
            <w:tcW w:w="3260" w:type="dxa"/>
            <w:tcBorders>
              <w:top w:val="single" w:sz="6" w:space="0" w:color="9CC2E5"/>
              <w:left w:val="single" w:sz="6" w:space="0" w:color="9CC2E5"/>
              <w:bottom w:val="single" w:sz="6" w:space="0" w:color="9CC2E5"/>
              <w:right w:val="single" w:sz="6" w:space="0" w:color="9CC2E5"/>
            </w:tcBorders>
            <w:shd w:val="clear" w:color="auto" w:fill="DEEAF6"/>
          </w:tcPr>
          <w:p w14:paraId="30591FCA" w14:textId="77777777" w:rsidR="004875FB" w:rsidRPr="00186EBE" w:rsidRDefault="004875FB" w:rsidP="00B1771D">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LED modules for general lighting – Safety specifications</w:t>
            </w:r>
          </w:p>
        </w:tc>
        <w:tc>
          <w:tcPr>
            <w:tcW w:w="1418" w:type="dxa"/>
            <w:tcBorders>
              <w:top w:val="single" w:sz="6" w:space="0" w:color="9CC2E5"/>
              <w:left w:val="single" w:sz="6" w:space="0" w:color="9CC2E5"/>
              <w:bottom w:val="single" w:sz="6" w:space="0" w:color="9CC2E5"/>
              <w:right w:val="single" w:sz="6" w:space="0" w:color="9CC2E5"/>
            </w:tcBorders>
            <w:shd w:val="clear" w:color="auto" w:fill="DEEAF6"/>
          </w:tcPr>
          <w:p w14:paraId="66255662" w14:textId="77777777" w:rsidR="004875FB" w:rsidRPr="00781A29" w:rsidRDefault="004875FB" w:rsidP="00B1771D">
            <w:pPr>
              <w:suppressAutoHyphens w:val="0"/>
              <w:spacing w:before="0" w:after="0"/>
              <w:jc w:val="left"/>
              <w:textAlignment w:val="auto"/>
              <w:rPr>
                <w:rFonts w:asciiTheme="minorHAnsi" w:eastAsia="Times New Roman" w:hAnsiTheme="minorHAnsi" w:cstheme="minorHAnsi"/>
                <w:color w:val="FF0000"/>
                <w:sz w:val="20"/>
                <w:szCs w:val="20"/>
              </w:rPr>
            </w:pPr>
            <w:r w:rsidRPr="00781A29">
              <w:rPr>
                <w:rFonts w:asciiTheme="minorHAnsi" w:eastAsia="Times New Roman" w:hAnsiTheme="minorHAnsi" w:cstheme="minorHAnsi"/>
                <w:color w:val="FF0000"/>
                <w:sz w:val="20"/>
                <w:szCs w:val="20"/>
              </w:rPr>
              <w:t>IEC 62031</w:t>
            </w:r>
          </w:p>
        </w:tc>
        <w:tc>
          <w:tcPr>
            <w:tcW w:w="3370" w:type="dxa"/>
            <w:tcBorders>
              <w:top w:val="single" w:sz="6" w:space="0" w:color="9CC2E5"/>
              <w:left w:val="single" w:sz="6" w:space="0" w:color="9CC2E5"/>
              <w:bottom w:val="single" w:sz="6" w:space="0" w:color="9CC2E5"/>
              <w:right w:val="single" w:sz="6" w:space="0" w:color="9CC2E5"/>
            </w:tcBorders>
            <w:shd w:val="clear" w:color="auto" w:fill="DEEAF6"/>
          </w:tcPr>
          <w:p w14:paraId="416FCAD0" w14:textId="77777777" w:rsidR="004875FB" w:rsidRPr="00781A29" w:rsidRDefault="004875FB" w:rsidP="00B1771D">
            <w:pPr>
              <w:suppressAutoHyphens w:val="0"/>
              <w:spacing w:before="0" w:after="0"/>
              <w:jc w:val="left"/>
              <w:textAlignment w:val="auto"/>
              <w:rPr>
                <w:rFonts w:asciiTheme="minorHAnsi" w:eastAsia="Times New Roman" w:hAnsiTheme="minorHAnsi" w:cstheme="minorHAnsi"/>
                <w:color w:val="FF0000"/>
                <w:sz w:val="20"/>
                <w:szCs w:val="20"/>
                <w:lang w:val="es-ES"/>
              </w:rPr>
            </w:pPr>
            <w:r w:rsidRPr="00781A29">
              <w:rPr>
                <w:rFonts w:asciiTheme="minorHAnsi" w:eastAsia="Times New Roman" w:hAnsiTheme="minorHAnsi" w:cstheme="minorHAnsi"/>
                <w:color w:val="FF0000"/>
                <w:sz w:val="20"/>
                <w:szCs w:val="20"/>
                <w:lang w:val="es-ES"/>
              </w:rPr>
              <w:t>Módulos LED para alumbrado general. Requistos de seguridad.</w:t>
            </w:r>
          </w:p>
        </w:tc>
      </w:tr>
      <w:tr w:rsidR="004875FB" w:rsidRPr="00724C4D" w14:paraId="324EDF19"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1862EAE"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sidRPr="00724C4D">
              <w:rPr>
                <w:rFonts w:asciiTheme="minorHAnsi" w:eastAsia="Times New Roman" w:hAnsiTheme="minorHAnsi" w:cstheme="minorHAnsi"/>
                <w:sz w:val="20"/>
                <w:szCs w:val="20"/>
                <w:lang w:val="es-ES"/>
              </w:rPr>
              <w:t>IEC 62560</w:t>
            </w:r>
          </w:p>
        </w:tc>
        <w:tc>
          <w:tcPr>
            <w:tcW w:w="312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3B98215"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sidRPr="00724C4D">
              <w:rPr>
                <w:rFonts w:asciiTheme="minorHAnsi" w:eastAsia="Times New Roman" w:hAnsiTheme="minorHAnsi" w:cstheme="minorHAnsi"/>
                <w:sz w:val="20"/>
                <w:szCs w:val="20"/>
                <w:lang w:val="es-ES"/>
              </w:rPr>
              <w:t>Lámparas LED con balasto incorporado para servicios de iluminación general con tensión &gt; 50 V. Especificaciones de seguridad.</w:t>
            </w:r>
          </w:p>
        </w:tc>
        <w:tc>
          <w:tcPr>
            <w:tcW w:w="15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EC0344C" w14:textId="77777777" w:rsidR="004875FB" w:rsidRPr="00724C4D"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3260" w:type="dxa"/>
            <w:tcBorders>
              <w:top w:val="single" w:sz="6" w:space="0" w:color="9CC2E5"/>
              <w:left w:val="single" w:sz="6" w:space="0" w:color="9CC2E5"/>
              <w:bottom w:val="single" w:sz="6" w:space="0" w:color="9CC2E5"/>
              <w:right w:val="single" w:sz="6" w:space="0" w:color="9CC2E5"/>
            </w:tcBorders>
            <w:shd w:val="clear" w:color="auto" w:fill="auto"/>
          </w:tcPr>
          <w:p w14:paraId="5EA32B30" w14:textId="77777777" w:rsidR="004875FB" w:rsidRPr="00724C4D"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1418" w:type="dxa"/>
            <w:tcBorders>
              <w:top w:val="single" w:sz="6" w:space="0" w:color="9CC2E5"/>
              <w:left w:val="single" w:sz="6" w:space="0" w:color="9CC2E5"/>
              <w:bottom w:val="single" w:sz="6" w:space="0" w:color="9CC2E5"/>
              <w:right w:val="single" w:sz="6" w:space="0" w:color="9CC2E5"/>
            </w:tcBorders>
          </w:tcPr>
          <w:p w14:paraId="34BCB9B6" w14:textId="77777777" w:rsidR="004875FB" w:rsidRPr="00724C4D" w:rsidRDefault="004875FB" w:rsidP="00B1771D">
            <w:pPr>
              <w:suppressAutoHyphens w:val="0"/>
              <w:spacing w:before="0" w:after="0"/>
              <w:jc w:val="left"/>
              <w:textAlignment w:val="auto"/>
              <w:rPr>
                <w:rFonts w:asciiTheme="minorHAnsi" w:eastAsia="Times New Roman" w:hAnsiTheme="minorHAnsi" w:cstheme="minorHAnsi"/>
                <w:color w:val="FF0000"/>
                <w:sz w:val="20"/>
                <w:szCs w:val="20"/>
                <w:lang w:val="es-ES"/>
              </w:rPr>
            </w:pPr>
            <w:r>
              <w:rPr>
                <w:rFonts w:asciiTheme="minorHAnsi" w:eastAsia="Times New Roman" w:hAnsiTheme="minorHAnsi" w:cstheme="minorHAnsi"/>
                <w:color w:val="FF0000"/>
                <w:sz w:val="20"/>
                <w:szCs w:val="20"/>
                <w:lang w:val="es-ES"/>
              </w:rPr>
              <w:t>IEC 62560</w:t>
            </w:r>
          </w:p>
        </w:tc>
        <w:tc>
          <w:tcPr>
            <w:tcW w:w="3370" w:type="dxa"/>
            <w:tcBorders>
              <w:top w:val="single" w:sz="6" w:space="0" w:color="9CC2E5"/>
              <w:left w:val="single" w:sz="6" w:space="0" w:color="9CC2E5"/>
              <w:bottom w:val="single" w:sz="6" w:space="0" w:color="9CC2E5"/>
              <w:right w:val="single" w:sz="6" w:space="0" w:color="9CC2E5"/>
            </w:tcBorders>
          </w:tcPr>
          <w:p w14:paraId="472D5CD3" w14:textId="77777777" w:rsidR="004875FB" w:rsidRPr="00724C4D" w:rsidRDefault="004875FB" w:rsidP="00B1771D">
            <w:pPr>
              <w:suppressAutoHyphens w:val="0"/>
              <w:spacing w:before="0" w:after="0"/>
              <w:jc w:val="left"/>
              <w:textAlignment w:val="auto"/>
              <w:rPr>
                <w:rFonts w:asciiTheme="minorHAnsi" w:eastAsia="Times New Roman" w:hAnsiTheme="minorHAnsi" w:cstheme="minorHAnsi"/>
                <w:color w:val="FF0000"/>
                <w:sz w:val="20"/>
                <w:szCs w:val="20"/>
                <w:lang w:val="en-US"/>
              </w:rPr>
            </w:pPr>
            <w:r w:rsidRPr="00724C4D">
              <w:rPr>
                <w:rFonts w:asciiTheme="minorHAnsi" w:eastAsia="Times New Roman" w:hAnsiTheme="minorHAnsi" w:cstheme="minorHAnsi"/>
                <w:color w:val="FF0000"/>
                <w:sz w:val="20"/>
                <w:szCs w:val="20"/>
                <w:lang w:val="en-US"/>
              </w:rPr>
              <w:t xml:space="preserve">Self-ballasted LED lamps for general lighting services by voltage &gt; 50 V. </w:t>
            </w:r>
            <w:r>
              <w:rPr>
                <w:rFonts w:asciiTheme="minorHAnsi" w:eastAsia="Times New Roman" w:hAnsiTheme="minorHAnsi" w:cstheme="minorHAnsi"/>
                <w:color w:val="FF0000"/>
                <w:sz w:val="20"/>
                <w:szCs w:val="20"/>
                <w:lang w:val="en-US"/>
              </w:rPr>
              <w:t>Safety specifications.</w:t>
            </w:r>
          </w:p>
        </w:tc>
      </w:tr>
      <w:tr w:rsidR="004875FB" w:rsidRPr="00781A29" w14:paraId="0B98748E"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6D190C2" w14:textId="77777777" w:rsidR="004875FB" w:rsidRPr="00724C4D"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sidRPr="00724C4D">
              <w:rPr>
                <w:rFonts w:asciiTheme="minorHAnsi" w:eastAsia="Times New Roman" w:hAnsiTheme="minorHAnsi" w:cstheme="minorHAnsi"/>
                <w:sz w:val="20"/>
                <w:szCs w:val="20"/>
                <w:lang w:val="en-US"/>
              </w:rPr>
              <w:t>IEC/TS 62504</w:t>
            </w:r>
          </w:p>
        </w:tc>
        <w:tc>
          <w:tcPr>
            <w:tcW w:w="312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0AB31AE" w14:textId="77777777" w:rsidR="004875FB" w:rsidRPr="00A211CA"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sidRPr="006312A8">
              <w:rPr>
                <w:rFonts w:asciiTheme="minorHAnsi" w:eastAsia="Times New Roman" w:hAnsiTheme="minorHAnsi" w:cstheme="minorHAnsi"/>
                <w:sz w:val="20"/>
                <w:szCs w:val="20"/>
                <w:lang w:val="es-ES"/>
              </w:rPr>
              <w:t xml:space="preserve">Iluminación general. Productos de diodo </w:t>
            </w:r>
            <w:r>
              <w:rPr>
                <w:rFonts w:asciiTheme="minorHAnsi" w:eastAsia="Times New Roman" w:hAnsiTheme="minorHAnsi" w:cstheme="minorHAnsi"/>
                <w:sz w:val="20"/>
                <w:szCs w:val="20"/>
                <w:lang w:val="es-ES"/>
              </w:rPr>
              <w:t>emisor de luz (LED) y equipos relacionados. Términos y definiciones.</w:t>
            </w:r>
          </w:p>
        </w:tc>
        <w:tc>
          <w:tcPr>
            <w:tcW w:w="15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29D9376"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rPr>
              <w:t>IEC 62504</w:t>
            </w:r>
          </w:p>
        </w:tc>
        <w:tc>
          <w:tcPr>
            <w:tcW w:w="3260" w:type="dxa"/>
            <w:tcBorders>
              <w:top w:val="single" w:sz="6" w:space="0" w:color="9CC2E5"/>
              <w:left w:val="single" w:sz="6" w:space="0" w:color="9CC2E5"/>
              <w:bottom w:val="single" w:sz="6" w:space="0" w:color="9CC2E5"/>
              <w:right w:val="single" w:sz="6" w:space="0" w:color="9CC2E5"/>
            </w:tcBorders>
            <w:shd w:val="clear" w:color="auto" w:fill="DEEAF6"/>
          </w:tcPr>
          <w:p w14:paraId="322EF900" w14:textId="77777777" w:rsidR="004875FB" w:rsidRPr="005C06A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sidRPr="005C06A9">
              <w:rPr>
                <w:rFonts w:asciiTheme="minorHAnsi" w:eastAsia="Times New Roman" w:hAnsiTheme="minorHAnsi" w:cstheme="minorHAnsi"/>
                <w:sz w:val="20"/>
                <w:szCs w:val="20"/>
                <w:lang w:val="en-US"/>
              </w:rPr>
              <w:t xml:space="preserve">General lighting – Light emitting diode (LED) products and related equipment – Terms and definitions </w:t>
            </w:r>
          </w:p>
        </w:tc>
        <w:tc>
          <w:tcPr>
            <w:tcW w:w="1418" w:type="dxa"/>
            <w:tcBorders>
              <w:top w:val="single" w:sz="6" w:space="0" w:color="9CC2E5"/>
              <w:left w:val="single" w:sz="6" w:space="0" w:color="9CC2E5"/>
              <w:bottom w:val="single" w:sz="6" w:space="0" w:color="9CC2E5"/>
              <w:right w:val="single" w:sz="6" w:space="0" w:color="9CC2E5"/>
            </w:tcBorders>
            <w:shd w:val="clear" w:color="auto" w:fill="DEEAF6"/>
          </w:tcPr>
          <w:p w14:paraId="4F133FDA" w14:textId="77777777" w:rsidR="004875FB" w:rsidRPr="006A0277" w:rsidRDefault="004875FB" w:rsidP="00B1771D">
            <w:pPr>
              <w:suppressAutoHyphens w:val="0"/>
              <w:spacing w:before="0" w:after="0"/>
              <w:jc w:val="left"/>
              <w:textAlignment w:val="auto"/>
              <w:rPr>
                <w:rFonts w:asciiTheme="minorHAnsi" w:eastAsia="Times New Roman" w:hAnsiTheme="minorHAnsi" w:cstheme="minorHAnsi"/>
                <w:color w:val="FF0000"/>
                <w:sz w:val="20"/>
                <w:szCs w:val="20"/>
                <w:lang w:val="en-US"/>
              </w:rPr>
            </w:pPr>
            <w:r w:rsidRPr="006A0277">
              <w:rPr>
                <w:rFonts w:asciiTheme="minorHAnsi" w:eastAsia="Times New Roman" w:hAnsiTheme="minorHAnsi" w:cstheme="minorHAnsi"/>
                <w:color w:val="FF0000"/>
                <w:sz w:val="20"/>
                <w:szCs w:val="20"/>
                <w:lang w:val="en-US"/>
              </w:rPr>
              <w:t>IEC 62504</w:t>
            </w:r>
          </w:p>
        </w:tc>
        <w:tc>
          <w:tcPr>
            <w:tcW w:w="3370" w:type="dxa"/>
            <w:tcBorders>
              <w:top w:val="single" w:sz="6" w:space="0" w:color="9CC2E5"/>
              <w:left w:val="single" w:sz="6" w:space="0" w:color="9CC2E5"/>
              <w:bottom w:val="single" w:sz="6" w:space="0" w:color="9CC2E5"/>
              <w:right w:val="single" w:sz="6" w:space="0" w:color="9CC2E5"/>
            </w:tcBorders>
            <w:shd w:val="clear" w:color="auto" w:fill="DEEAF6"/>
          </w:tcPr>
          <w:p w14:paraId="308579A5" w14:textId="77777777" w:rsidR="004875FB" w:rsidRPr="006A0277" w:rsidRDefault="004875FB" w:rsidP="00B1771D">
            <w:pPr>
              <w:suppressAutoHyphens w:val="0"/>
              <w:spacing w:before="0" w:after="0"/>
              <w:jc w:val="left"/>
              <w:textAlignment w:val="auto"/>
              <w:rPr>
                <w:rFonts w:asciiTheme="minorHAnsi" w:eastAsia="Times New Roman" w:hAnsiTheme="minorHAnsi" w:cstheme="minorHAnsi"/>
                <w:color w:val="FF0000"/>
                <w:sz w:val="20"/>
                <w:szCs w:val="20"/>
                <w:lang w:val="es-ES"/>
              </w:rPr>
            </w:pPr>
            <w:r w:rsidRPr="006A0277">
              <w:rPr>
                <w:rFonts w:asciiTheme="minorHAnsi" w:eastAsia="Times New Roman" w:hAnsiTheme="minorHAnsi" w:cstheme="minorHAnsi"/>
                <w:color w:val="FF0000"/>
                <w:sz w:val="20"/>
                <w:szCs w:val="20"/>
                <w:lang w:val="es-ES"/>
              </w:rPr>
              <w:t>Iluminación general. Productos de diodos electroluminiscentes (LED) y equipos relacionados. Términos y definiciones.</w:t>
            </w:r>
          </w:p>
        </w:tc>
      </w:tr>
      <w:tr w:rsidR="004875FB" w:rsidRPr="00781A29" w14:paraId="27C193F2"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2BC153E" w14:textId="77777777" w:rsidR="004875FB" w:rsidRPr="00F12B62"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sidRPr="00781A29">
              <w:rPr>
                <w:rFonts w:asciiTheme="minorHAnsi" w:eastAsia="Times New Roman" w:hAnsiTheme="minorHAnsi" w:cstheme="minorHAnsi"/>
                <w:sz w:val="20"/>
                <w:szCs w:val="20"/>
                <w:lang w:val="es-ES"/>
              </w:rPr>
              <w:t>IEC 60050</w:t>
            </w:r>
          </w:p>
        </w:tc>
        <w:tc>
          <w:tcPr>
            <w:tcW w:w="312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487EB6D" w14:textId="77777777" w:rsidR="004875FB" w:rsidRPr="00781A29"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sidRPr="00781A29">
              <w:rPr>
                <w:rFonts w:asciiTheme="minorHAnsi" w:eastAsia="Times New Roman" w:hAnsiTheme="minorHAnsi" w:cstheme="minorHAnsi"/>
                <w:sz w:val="20"/>
                <w:szCs w:val="20"/>
                <w:lang w:val="es-ES"/>
              </w:rPr>
              <w:t>Vocabulario electrotécnico internacional</w:t>
            </w:r>
          </w:p>
        </w:tc>
        <w:tc>
          <w:tcPr>
            <w:tcW w:w="15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D5F90D5" w14:textId="77777777" w:rsidR="004875FB" w:rsidRPr="00781A29"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sidRPr="00781A29">
              <w:rPr>
                <w:rFonts w:asciiTheme="minorHAnsi" w:eastAsia="Times New Roman" w:hAnsiTheme="minorHAnsi" w:cstheme="minorHAnsi"/>
                <w:sz w:val="20"/>
                <w:szCs w:val="20"/>
                <w:lang w:val="es-ES"/>
              </w:rPr>
              <w:t>IEC 60050</w:t>
            </w:r>
          </w:p>
        </w:tc>
        <w:tc>
          <w:tcPr>
            <w:tcW w:w="3260" w:type="dxa"/>
            <w:tcBorders>
              <w:top w:val="single" w:sz="6" w:space="0" w:color="9CC2E5"/>
              <w:left w:val="single" w:sz="6" w:space="0" w:color="9CC2E5"/>
              <w:bottom w:val="single" w:sz="6" w:space="0" w:color="9CC2E5"/>
              <w:right w:val="single" w:sz="6" w:space="0" w:color="9CC2E5"/>
            </w:tcBorders>
          </w:tcPr>
          <w:p w14:paraId="36442C39" w14:textId="77777777" w:rsidR="004875FB" w:rsidRPr="00EB5068"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International Electrotechnical Vocabulary</w:t>
            </w:r>
          </w:p>
        </w:tc>
        <w:tc>
          <w:tcPr>
            <w:tcW w:w="1418" w:type="dxa"/>
            <w:tcBorders>
              <w:top w:val="single" w:sz="6" w:space="0" w:color="9CC2E5"/>
              <w:left w:val="single" w:sz="6" w:space="0" w:color="9CC2E5"/>
              <w:bottom w:val="single" w:sz="6" w:space="0" w:color="9CC2E5"/>
              <w:right w:val="single" w:sz="6" w:space="0" w:color="9CC2E5"/>
            </w:tcBorders>
          </w:tcPr>
          <w:p w14:paraId="70614F4F" w14:textId="77777777" w:rsidR="004875FB" w:rsidRPr="00724C4D" w:rsidRDefault="004875FB" w:rsidP="00B1771D">
            <w:pPr>
              <w:suppressAutoHyphens w:val="0"/>
              <w:spacing w:before="0" w:after="0"/>
              <w:jc w:val="left"/>
              <w:textAlignment w:val="auto"/>
              <w:rPr>
                <w:rFonts w:asciiTheme="minorHAnsi" w:eastAsia="Times New Roman" w:hAnsiTheme="minorHAnsi" w:cstheme="minorHAnsi"/>
                <w:color w:val="FF0000"/>
                <w:sz w:val="20"/>
                <w:szCs w:val="20"/>
                <w:lang w:val="es-ES"/>
              </w:rPr>
            </w:pPr>
            <w:r w:rsidRPr="00724C4D">
              <w:rPr>
                <w:rFonts w:asciiTheme="minorHAnsi" w:eastAsia="Times New Roman" w:hAnsiTheme="minorHAnsi" w:cstheme="minorHAnsi"/>
                <w:color w:val="FF0000"/>
                <w:sz w:val="20"/>
                <w:szCs w:val="20"/>
                <w:lang w:val="es-ES"/>
              </w:rPr>
              <w:t>IEC 60050</w:t>
            </w:r>
          </w:p>
        </w:tc>
        <w:tc>
          <w:tcPr>
            <w:tcW w:w="3370" w:type="dxa"/>
            <w:tcBorders>
              <w:top w:val="single" w:sz="6" w:space="0" w:color="9CC2E5"/>
              <w:left w:val="single" w:sz="6" w:space="0" w:color="9CC2E5"/>
              <w:bottom w:val="single" w:sz="6" w:space="0" w:color="9CC2E5"/>
              <w:right w:val="single" w:sz="6" w:space="0" w:color="9CC2E5"/>
            </w:tcBorders>
          </w:tcPr>
          <w:p w14:paraId="602C8A46" w14:textId="77777777" w:rsidR="004875FB" w:rsidRPr="00724C4D" w:rsidRDefault="004875FB" w:rsidP="00B1771D">
            <w:pPr>
              <w:suppressAutoHyphens w:val="0"/>
              <w:spacing w:before="0" w:after="0"/>
              <w:jc w:val="left"/>
              <w:textAlignment w:val="auto"/>
              <w:rPr>
                <w:rFonts w:asciiTheme="minorHAnsi" w:eastAsia="Times New Roman" w:hAnsiTheme="minorHAnsi" w:cstheme="minorHAnsi"/>
                <w:color w:val="FF0000"/>
                <w:sz w:val="20"/>
                <w:szCs w:val="20"/>
                <w:lang w:val="es-ES"/>
              </w:rPr>
            </w:pPr>
            <w:r w:rsidRPr="00724C4D">
              <w:rPr>
                <w:rFonts w:asciiTheme="minorHAnsi" w:eastAsia="Times New Roman" w:hAnsiTheme="minorHAnsi" w:cstheme="minorHAnsi"/>
                <w:color w:val="FF0000"/>
                <w:sz w:val="20"/>
                <w:szCs w:val="20"/>
                <w:lang w:val="es-ES"/>
              </w:rPr>
              <w:t>International Electrotechnical Vocabulary</w:t>
            </w:r>
          </w:p>
        </w:tc>
      </w:tr>
      <w:tr w:rsidR="004875FB" w:rsidRPr="00914127" w14:paraId="6287E3B0"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8556FB3" w14:textId="77777777" w:rsidR="004875FB" w:rsidRPr="00992D03" w:rsidRDefault="004875FB" w:rsidP="00B1771D">
            <w:pPr>
              <w:suppressAutoHyphens w:val="0"/>
              <w:spacing w:before="0" w:after="0"/>
              <w:jc w:val="left"/>
              <w:textAlignment w:val="auto"/>
              <w:rPr>
                <w:rFonts w:asciiTheme="minorHAnsi" w:eastAsia="Times New Roman" w:hAnsiTheme="minorHAnsi" w:cstheme="minorHAnsi"/>
                <w:sz w:val="20"/>
                <w:szCs w:val="20"/>
              </w:rPr>
            </w:pPr>
            <w:r>
              <w:rPr>
                <w:rFonts w:asciiTheme="minorHAnsi" w:eastAsia="Times New Roman" w:hAnsiTheme="minorHAnsi" w:cstheme="minorHAnsi"/>
                <w:sz w:val="20"/>
                <w:szCs w:val="20"/>
                <w:lang w:val="es-ES"/>
              </w:rPr>
              <w:t>CIE 13.2:1974</w:t>
            </w:r>
          </w:p>
        </w:tc>
        <w:tc>
          <w:tcPr>
            <w:tcW w:w="312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0AAF621"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Métodos de medición y especificación de las propiedades de rendimiento de color de las fuentes de luz.</w:t>
            </w:r>
          </w:p>
        </w:tc>
        <w:tc>
          <w:tcPr>
            <w:tcW w:w="15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9B10A23"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3260" w:type="dxa"/>
            <w:tcBorders>
              <w:top w:val="single" w:sz="6" w:space="0" w:color="9CC2E5"/>
              <w:left w:val="single" w:sz="6" w:space="0" w:color="9CC2E5"/>
              <w:bottom w:val="single" w:sz="6" w:space="0" w:color="9CC2E5"/>
              <w:right w:val="single" w:sz="6" w:space="0" w:color="9CC2E5"/>
            </w:tcBorders>
            <w:shd w:val="clear" w:color="auto" w:fill="DEEAF6"/>
          </w:tcPr>
          <w:p w14:paraId="67DE9264" w14:textId="77777777" w:rsidR="004875FB" w:rsidRPr="00EB5068"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1418" w:type="dxa"/>
            <w:tcBorders>
              <w:top w:val="single" w:sz="6" w:space="0" w:color="9CC2E5"/>
              <w:left w:val="single" w:sz="6" w:space="0" w:color="9CC2E5"/>
              <w:bottom w:val="single" w:sz="6" w:space="0" w:color="9CC2E5"/>
              <w:right w:val="single" w:sz="6" w:space="0" w:color="9CC2E5"/>
            </w:tcBorders>
            <w:shd w:val="clear" w:color="auto" w:fill="DEEAF6"/>
          </w:tcPr>
          <w:p w14:paraId="60A2F093" w14:textId="77777777" w:rsidR="004875FB" w:rsidRPr="00EB5068"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3370" w:type="dxa"/>
            <w:tcBorders>
              <w:top w:val="single" w:sz="6" w:space="0" w:color="9CC2E5"/>
              <w:left w:val="single" w:sz="6" w:space="0" w:color="9CC2E5"/>
              <w:bottom w:val="single" w:sz="6" w:space="0" w:color="9CC2E5"/>
              <w:right w:val="single" w:sz="6" w:space="0" w:color="9CC2E5"/>
            </w:tcBorders>
            <w:shd w:val="clear" w:color="auto" w:fill="DEEAF6"/>
          </w:tcPr>
          <w:p w14:paraId="65F426F8" w14:textId="77777777" w:rsidR="004875FB" w:rsidRPr="00EB5068"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r>
      <w:tr w:rsidR="004875FB" w:rsidRPr="00914127" w14:paraId="14E31DA9"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236D0D9"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IEC/TR 62732</w:t>
            </w:r>
          </w:p>
        </w:tc>
        <w:tc>
          <w:tcPr>
            <w:tcW w:w="312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BF6DC9D"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Código de tres dígitos para la designación del rendimiento de color y de la temperatura de color correlacionada.</w:t>
            </w:r>
          </w:p>
        </w:tc>
        <w:tc>
          <w:tcPr>
            <w:tcW w:w="15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87A4D53"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3260" w:type="dxa"/>
            <w:tcBorders>
              <w:top w:val="single" w:sz="6" w:space="0" w:color="9CC2E5"/>
              <w:left w:val="single" w:sz="6" w:space="0" w:color="9CC2E5"/>
              <w:bottom w:val="single" w:sz="6" w:space="0" w:color="9CC2E5"/>
              <w:right w:val="single" w:sz="6" w:space="0" w:color="9CC2E5"/>
            </w:tcBorders>
            <w:shd w:val="clear" w:color="auto" w:fill="auto"/>
          </w:tcPr>
          <w:p w14:paraId="76F53E45" w14:textId="77777777" w:rsidR="004875FB" w:rsidRPr="00EB5068"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1418" w:type="dxa"/>
            <w:tcBorders>
              <w:top w:val="single" w:sz="6" w:space="0" w:color="9CC2E5"/>
              <w:left w:val="single" w:sz="6" w:space="0" w:color="9CC2E5"/>
              <w:bottom w:val="single" w:sz="6" w:space="0" w:color="9CC2E5"/>
              <w:right w:val="single" w:sz="6" w:space="0" w:color="9CC2E5"/>
            </w:tcBorders>
          </w:tcPr>
          <w:p w14:paraId="3962C418" w14:textId="77777777" w:rsidR="004875FB" w:rsidRPr="00EB5068"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3370" w:type="dxa"/>
            <w:tcBorders>
              <w:top w:val="single" w:sz="6" w:space="0" w:color="9CC2E5"/>
              <w:left w:val="single" w:sz="6" w:space="0" w:color="9CC2E5"/>
              <w:bottom w:val="single" w:sz="6" w:space="0" w:color="9CC2E5"/>
              <w:right w:val="single" w:sz="6" w:space="0" w:color="9CC2E5"/>
            </w:tcBorders>
          </w:tcPr>
          <w:p w14:paraId="1D099D45" w14:textId="77777777" w:rsidR="004875FB" w:rsidRPr="00EB5068"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r>
      <w:tr w:rsidR="004875FB" w:rsidRPr="00914127" w14:paraId="44CF55B9"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7F59BB5"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IEC 60598-1</w:t>
            </w:r>
          </w:p>
        </w:tc>
        <w:tc>
          <w:tcPr>
            <w:tcW w:w="312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4635B40" w14:textId="77777777" w:rsidR="004875FB" w:rsidRPr="00C96617"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sidRPr="009B6D93">
              <w:rPr>
                <w:rFonts w:asciiTheme="minorHAnsi" w:eastAsia="Times New Roman" w:hAnsiTheme="minorHAnsi" w:cstheme="minorHAnsi"/>
                <w:sz w:val="20"/>
                <w:szCs w:val="20"/>
                <w:lang w:val="en-US"/>
              </w:rPr>
              <w:t xml:space="preserve">Luminaires. </w:t>
            </w:r>
            <w:r w:rsidRPr="00C96617">
              <w:rPr>
                <w:rFonts w:asciiTheme="minorHAnsi" w:eastAsia="Times New Roman" w:hAnsiTheme="minorHAnsi" w:cstheme="minorHAnsi"/>
                <w:sz w:val="20"/>
                <w:szCs w:val="20"/>
                <w:lang w:val="en-US"/>
              </w:rPr>
              <w:t>Part 1: General requirements and tests.</w:t>
            </w:r>
          </w:p>
        </w:tc>
        <w:tc>
          <w:tcPr>
            <w:tcW w:w="15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2B080B1" w14:textId="77777777" w:rsidR="004875FB" w:rsidRPr="00C96617"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IEC 60598-1</w:t>
            </w:r>
          </w:p>
        </w:tc>
        <w:tc>
          <w:tcPr>
            <w:tcW w:w="3260" w:type="dxa"/>
            <w:tcBorders>
              <w:top w:val="single" w:sz="6" w:space="0" w:color="9CC2E5"/>
              <w:left w:val="single" w:sz="6" w:space="0" w:color="9CC2E5"/>
              <w:bottom w:val="single" w:sz="6" w:space="0" w:color="9CC2E5"/>
              <w:right w:val="single" w:sz="6" w:space="0" w:color="9CC2E5"/>
            </w:tcBorders>
            <w:shd w:val="clear" w:color="auto" w:fill="DEEAF6"/>
          </w:tcPr>
          <w:p w14:paraId="4845C2FE" w14:textId="77777777" w:rsidR="004875FB" w:rsidRPr="00C96617"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Luminaires – Part 1: General requirements and tests</w:t>
            </w:r>
          </w:p>
        </w:tc>
        <w:tc>
          <w:tcPr>
            <w:tcW w:w="1418" w:type="dxa"/>
            <w:tcBorders>
              <w:top w:val="single" w:sz="6" w:space="0" w:color="9CC2E5"/>
              <w:left w:val="single" w:sz="6" w:space="0" w:color="9CC2E5"/>
              <w:bottom w:val="single" w:sz="6" w:space="0" w:color="9CC2E5"/>
              <w:right w:val="single" w:sz="6" w:space="0" w:color="9CC2E5"/>
            </w:tcBorders>
            <w:shd w:val="clear" w:color="auto" w:fill="DEEAF6"/>
          </w:tcPr>
          <w:p w14:paraId="37566910"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sidRPr="00781A29">
              <w:rPr>
                <w:rFonts w:asciiTheme="minorHAnsi" w:eastAsia="Times New Roman" w:hAnsiTheme="minorHAnsi" w:cstheme="minorHAnsi"/>
                <w:color w:val="FF0000"/>
                <w:sz w:val="20"/>
                <w:szCs w:val="20"/>
                <w:lang w:val="en-US"/>
              </w:rPr>
              <w:t>IEC 60598-1</w:t>
            </w:r>
          </w:p>
        </w:tc>
        <w:tc>
          <w:tcPr>
            <w:tcW w:w="3370" w:type="dxa"/>
            <w:tcBorders>
              <w:top w:val="single" w:sz="6" w:space="0" w:color="9CC2E5"/>
              <w:left w:val="single" w:sz="6" w:space="0" w:color="9CC2E5"/>
              <w:bottom w:val="single" w:sz="6" w:space="0" w:color="9CC2E5"/>
              <w:right w:val="single" w:sz="6" w:space="0" w:color="9CC2E5"/>
            </w:tcBorders>
            <w:shd w:val="clear" w:color="auto" w:fill="DEEAF6"/>
          </w:tcPr>
          <w:p w14:paraId="09094CAE" w14:textId="77777777" w:rsidR="004875FB" w:rsidRPr="00781A29"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sidRPr="00781A29">
              <w:rPr>
                <w:rFonts w:asciiTheme="minorHAnsi" w:eastAsia="Times New Roman" w:hAnsiTheme="minorHAnsi" w:cstheme="minorHAnsi"/>
                <w:color w:val="FF0000"/>
                <w:sz w:val="20"/>
                <w:szCs w:val="20"/>
                <w:lang w:val="es-ES"/>
              </w:rPr>
              <w:t>Luminarias. Parte 1: Requisitos generales y ensayos</w:t>
            </w:r>
            <w:r>
              <w:rPr>
                <w:rFonts w:asciiTheme="minorHAnsi" w:eastAsia="Times New Roman" w:hAnsiTheme="minorHAnsi" w:cstheme="minorHAnsi"/>
                <w:color w:val="FF0000"/>
                <w:sz w:val="20"/>
                <w:szCs w:val="20"/>
                <w:lang w:val="es-ES"/>
              </w:rPr>
              <w:t>.</w:t>
            </w:r>
          </w:p>
        </w:tc>
      </w:tr>
      <w:tr w:rsidR="004875FB" w:rsidRPr="00914127" w14:paraId="4CD29A04"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11881FB"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312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43F69FB" w14:textId="77777777" w:rsidR="004875FB" w:rsidRPr="00781A29"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15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FD175F6" w14:textId="77777777" w:rsidR="004875FB" w:rsidRPr="00781A29"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3260" w:type="dxa"/>
            <w:tcBorders>
              <w:top w:val="single" w:sz="6" w:space="0" w:color="9CC2E5"/>
              <w:left w:val="single" w:sz="6" w:space="0" w:color="9CC2E5"/>
              <w:bottom w:val="single" w:sz="6" w:space="0" w:color="9CC2E5"/>
              <w:right w:val="single" w:sz="6" w:space="0" w:color="9CC2E5"/>
            </w:tcBorders>
            <w:shd w:val="clear" w:color="auto" w:fill="DEEAF6"/>
          </w:tcPr>
          <w:p w14:paraId="71A7258C" w14:textId="77777777" w:rsidR="004875FB" w:rsidRPr="00781A29"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1418" w:type="dxa"/>
            <w:tcBorders>
              <w:top w:val="single" w:sz="6" w:space="0" w:color="9CC2E5"/>
              <w:left w:val="single" w:sz="6" w:space="0" w:color="9CC2E5"/>
              <w:bottom w:val="single" w:sz="6" w:space="0" w:color="9CC2E5"/>
              <w:right w:val="single" w:sz="6" w:space="0" w:color="9CC2E5"/>
            </w:tcBorders>
            <w:shd w:val="clear" w:color="auto" w:fill="DEEAF6"/>
          </w:tcPr>
          <w:p w14:paraId="34585B21"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sidRPr="00781A29">
              <w:rPr>
                <w:rFonts w:asciiTheme="minorHAnsi" w:eastAsia="Times New Roman" w:hAnsiTheme="minorHAnsi" w:cstheme="minorHAnsi"/>
                <w:color w:val="FF0000"/>
                <w:sz w:val="20"/>
                <w:szCs w:val="20"/>
                <w:lang w:val="en-US"/>
              </w:rPr>
              <w:t>IEC 60598-2-3</w:t>
            </w:r>
          </w:p>
        </w:tc>
        <w:tc>
          <w:tcPr>
            <w:tcW w:w="3370" w:type="dxa"/>
            <w:tcBorders>
              <w:top w:val="single" w:sz="6" w:space="0" w:color="9CC2E5"/>
              <w:left w:val="single" w:sz="6" w:space="0" w:color="9CC2E5"/>
              <w:bottom w:val="single" w:sz="6" w:space="0" w:color="9CC2E5"/>
              <w:right w:val="single" w:sz="6" w:space="0" w:color="9CC2E5"/>
            </w:tcBorders>
            <w:shd w:val="clear" w:color="auto" w:fill="DEEAF6"/>
          </w:tcPr>
          <w:p w14:paraId="3CACD0CA" w14:textId="77777777" w:rsidR="004875FB" w:rsidRPr="00781A29" w:rsidRDefault="004875FB" w:rsidP="00B1771D">
            <w:pPr>
              <w:suppressAutoHyphens w:val="0"/>
              <w:spacing w:before="0" w:after="0"/>
              <w:jc w:val="left"/>
              <w:textAlignment w:val="auto"/>
              <w:rPr>
                <w:rFonts w:asciiTheme="minorHAnsi" w:eastAsia="Times New Roman" w:hAnsiTheme="minorHAnsi" w:cstheme="minorHAnsi"/>
                <w:color w:val="FF0000"/>
                <w:sz w:val="20"/>
                <w:szCs w:val="20"/>
                <w:lang w:val="es-ES"/>
              </w:rPr>
            </w:pPr>
            <w:r>
              <w:rPr>
                <w:rFonts w:asciiTheme="minorHAnsi" w:eastAsia="Times New Roman" w:hAnsiTheme="minorHAnsi" w:cstheme="minorHAnsi"/>
                <w:color w:val="FF0000"/>
                <w:sz w:val="20"/>
                <w:szCs w:val="20"/>
                <w:lang w:val="es-ES"/>
              </w:rPr>
              <w:t>Luminarias. Parte 2-3: Requisitos particulares. Luminarias para alumbrado público.</w:t>
            </w:r>
          </w:p>
        </w:tc>
      </w:tr>
      <w:tr w:rsidR="004875FB" w:rsidRPr="006312A8" w14:paraId="6E76FAD7"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66B73FA"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312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34D2692" w14:textId="77777777" w:rsidR="004875FB" w:rsidRPr="00781A29"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15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1CD8654" w14:textId="77777777" w:rsidR="004875FB" w:rsidRPr="00781A29"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3260" w:type="dxa"/>
            <w:tcBorders>
              <w:top w:val="single" w:sz="6" w:space="0" w:color="9CC2E5"/>
              <w:left w:val="single" w:sz="6" w:space="0" w:color="9CC2E5"/>
              <w:bottom w:val="single" w:sz="6" w:space="0" w:color="9CC2E5"/>
              <w:right w:val="single" w:sz="6" w:space="0" w:color="9CC2E5"/>
            </w:tcBorders>
            <w:shd w:val="clear" w:color="auto" w:fill="DEEAF6"/>
          </w:tcPr>
          <w:p w14:paraId="24A735CF" w14:textId="77777777" w:rsidR="004875FB" w:rsidRPr="00781A29"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1418" w:type="dxa"/>
            <w:tcBorders>
              <w:top w:val="single" w:sz="6" w:space="0" w:color="9CC2E5"/>
              <w:left w:val="single" w:sz="6" w:space="0" w:color="9CC2E5"/>
              <w:bottom w:val="single" w:sz="6" w:space="0" w:color="9CC2E5"/>
              <w:right w:val="single" w:sz="6" w:space="0" w:color="9CC2E5"/>
            </w:tcBorders>
            <w:shd w:val="clear" w:color="auto" w:fill="DEEAF6"/>
          </w:tcPr>
          <w:p w14:paraId="3DC81240" w14:textId="77777777" w:rsidR="004875FB" w:rsidRPr="00781A29"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sidRPr="00781A29">
              <w:rPr>
                <w:rFonts w:asciiTheme="minorHAnsi" w:eastAsia="Times New Roman" w:hAnsiTheme="minorHAnsi" w:cstheme="minorHAnsi"/>
                <w:color w:val="FF0000"/>
                <w:sz w:val="20"/>
                <w:szCs w:val="20"/>
                <w:lang w:val="es-ES"/>
              </w:rPr>
              <w:t>IEC 60598-2-5</w:t>
            </w:r>
          </w:p>
        </w:tc>
        <w:tc>
          <w:tcPr>
            <w:tcW w:w="3370" w:type="dxa"/>
            <w:tcBorders>
              <w:top w:val="single" w:sz="6" w:space="0" w:color="9CC2E5"/>
              <w:left w:val="single" w:sz="6" w:space="0" w:color="9CC2E5"/>
              <w:bottom w:val="single" w:sz="6" w:space="0" w:color="9CC2E5"/>
              <w:right w:val="single" w:sz="6" w:space="0" w:color="9CC2E5"/>
            </w:tcBorders>
            <w:shd w:val="clear" w:color="auto" w:fill="DEEAF6"/>
          </w:tcPr>
          <w:p w14:paraId="3F71091A" w14:textId="77777777" w:rsidR="004875FB" w:rsidRPr="006312A8" w:rsidRDefault="004875FB" w:rsidP="00B1771D">
            <w:pPr>
              <w:suppressAutoHyphens w:val="0"/>
              <w:spacing w:before="0" w:after="0"/>
              <w:jc w:val="left"/>
              <w:textAlignment w:val="auto"/>
              <w:rPr>
                <w:rFonts w:asciiTheme="minorHAnsi" w:eastAsia="Times New Roman" w:hAnsiTheme="minorHAnsi" w:cstheme="minorHAnsi"/>
                <w:color w:val="FF0000"/>
                <w:sz w:val="20"/>
                <w:szCs w:val="20"/>
                <w:lang w:val="en-US"/>
              </w:rPr>
            </w:pPr>
            <w:r w:rsidRPr="006312A8">
              <w:rPr>
                <w:rFonts w:asciiTheme="minorHAnsi" w:eastAsia="Times New Roman" w:hAnsiTheme="minorHAnsi" w:cstheme="minorHAnsi"/>
                <w:color w:val="FF0000"/>
                <w:sz w:val="20"/>
                <w:szCs w:val="20"/>
                <w:lang w:val="en-US"/>
              </w:rPr>
              <w:t>Luminaires. Part 2-5: Particular requirements. Floodlights.</w:t>
            </w:r>
          </w:p>
        </w:tc>
      </w:tr>
      <w:tr w:rsidR="004875FB" w:rsidRPr="00914127" w14:paraId="07CEF216"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582067C"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sidRPr="00C96617">
              <w:rPr>
                <w:rFonts w:asciiTheme="minorHAnsi" w:eastAsia="Times New Roman" w:hAnsiTheme="minorHAnsi" w:cstheme="minorHAnsi"/>
                <w:sz w:val="20"/>
                <w:szCs w:val="20"/>
                <w:lang w:val="es-ES"/>
              </w:rPr>
              <w:t>IEC 60630</w:t>
            </w:r>
          </w:p>
        </w:tc>
        <w:tc>
          <w:tcPr>
            <w:tcW w:w="312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83FB0F7"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sidRPr="0017085C">
              <w:rPr>
                <w:rFonts w:asciiTheme="minorHAnsi" w:eastAsia="Times New Roman" w:hAnsiTheme="minorHAnsi" w:cstheme="minorHAnsi"/>
                <w:sz w:val="20"/>
                <w:szCs w:val="20"/>
                <w:lang w:val="es-ES"/>
              </w:rPr>
              <w:t>Dimensiones máximas de las l</w:t>
            </w:r>
            <w:r>
              <w:rPr>
                <w:rFonts w:asciiTheme="minorHAnsi" w:eastAsia="Times New Roman" w:hAnsiTheme="minorHAnsi" w:cstheme="minorHAnsi"/>
                <w:sz w:val="20"/>
                <w:szCs w:val="20"/>
                <w:lang w:val="es-ES"/>
              </w:rPr>
              <w:t>ámparas incandescentes.</w:t>
            </w:r>
          </w:p>
        </w:tc>
        <w:tc>
          <w:tcPr>
            <w:tcW w:w="15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E74DF7A"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3260" w:type="dxa"/>
            <w:tcBorders>
              <w:top w:val="single" w:sz="6" w:space="0" w:color="9CC2E5"/>
              <w:left w:val="single" w:sz="6" w:space="0" w:color="9CC2E5"/>
              <w:bottom w:val="single" w:sz="6" w:space="0" w:color="9CC2E5"/>
              <w:right w:val="single" w:sz="6" w:space="0" w:color="9CC2E5"/>
            </w:tcBorders>
            <w:shd w:val="clear" w:color="auto" w:fill="auto"/>
          </w:tcPr>
          <w:p w14:paraId="74AE2CCD"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1418" w:type="dxa"/>
            <w:tcBorders>
              <w:top w:val="single" w:sz="6" w:space="0" w:color="9CC2E5"/>
              <w:left w:val="single" w:sz="6" w:space="0" w:color="9CC2E5"/>
              <w:bottom w:val="single" w:sz="6" w:space="0" w:color="9CC2E5"/>
              <w:right w:val="single" w:sz="6" w:space="0" w:color="9CC2E5"/>
            </w:tcBorders>
          </w:tcPr>
          <w:p w14:paraId="58F99A60"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3370" w:type="dxa"/>
            <w:tcBorders>
              <w:top w:val="single" w:sz="6" w:space="0" w:color="9CC2E5"/>
              <w:left w:val="single" w:sz="6" w:space="0" w:color="9CC2E5"/>
              <w:bottom w:val="single" w:sz="6" w:space="0" w:color="9CC2E5"/>
              <w:right w:val="single" w:sz="6" w:space="0" w:color="9CC2E5"/>
            </w:tcBorders>
          </w:tcPr>
          <w:p w14:paraId="7AA42FE9"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r>
      <w:tr w:rsidR="004875FB" w:rsidRPr="00914127" w14:paraId="794D6A96"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929F3F6"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CIE S 017/E:2011</w:t>
            </w:r>
          </w:p>
        </w:tc>
        <w:tc>
          <w:tcPr>
            <w:tcW w:w="312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980E029"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ILV: Vocabulario internacional de iluminación.</w:t>
            </w:r>
          </w:p>
        </w:tc>
        <w:tc>
          <w:tcPr>
            <w:tcW w:w="15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0245CC8"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3260" w:type="dxa"/>
            <w:tcBorders>
              <w:top w:val="single" w:sz="6" w:space="0" w:color="9CC2E5"/>
              <w:left w:val="single" w:sz="6" w:space="0" w:color="9CC2E5"/>
              <w:bottom w:val="single" w:sz="6" w:space="0" w:color="9CC2E5"/>
              <w:right w:val="single" w:sz="6" w:space="0" w:color="9CC2E5"/>
            </w:tcBorders>
            <w:shd w:val="clear" w:color="auto" w:fill="DEEAF6"/>
          </w:tcPr>
          <w:p w14:paraId="3E086755"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1418" w:type="dxa"/>
            <w:tcBorders>
              <w:top w:val="single" w:sz="6" w:space="0" w:color="9CC2E5"/>
              <w:left w:val="single" w:sz="6" w:space="0" w:color="9CC2E5"/>
              <w:bottom w:val="single" w:sz="6" w:space="0" w:color="9CC2E5"/>
              <w:right w:val="single" w:sz="6" w:space="0" w:color="9CC2E5"/>
            </w:tcBorders>
            <w:shd w:val="clear" w:color="auto" w:fill="DEEAF6"/>
          </w:tcPr>
          <w:p w14:paraId="6370F953"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3370" w:type="dxa"/>
            <w:tcBorders>
              <w:top w:val="single" w:sz="6" w:space="0" w:color="9CC2E5"/>
              <w:left w:val="single" w:sz="6" w:space="0" w:color="9CC2E5"/>
              <w:bottom w:val="single" w:sz="6" w:space="0" w:color="9CC2E5"/>
              <w:right w:val="single" w:sz="6" w:space="0" w:color="9CC2E5"/>
            </w:tcBorders>
            <w:shd w:val="clear" w:color="auto" w:fill="DEEAF6"/>
          </w:tcPr>
          <w:p w14:paraId="0019D001"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r>
      <w:tr w:rsidR="004875FB" w:rsidRPr="00D92C13" w14:paraId="03900D10"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9FEED7D"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rPr>
              <w:t>IEC 60081</w:t>
            </w:r>
          </w:p>
        </w:tc>
        <w:tc>
          <w:tcPr>
            <w:tcW w:w="312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3E99260"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sidRPr="00C96617">
              <w:rPr>
                <w:rFonts w:asciiTheme="minorHAnsi" w:eastAsia="Times New Roman" w:hAnsiTheme="minorHAnsi" w:cstheme="minorHAnsi"/>
                <w:sz w:val="20"/>
                <w:szCs w:val="20"/>
                <w:lang w:val="es-ES"/>
              </w:rPr>
              <w:t xml:space="preserve">Lámparas fluorescentes de doble casquillo. </w:t>
            </w:r>
            <w:r>
              <w:rPr>
                <w:rFonts w:asciiTheme="minorHAnsi" w:eastAsia="Times New Roman" w:hAnsiTheme="minorHAnsi" w:cstheme="minorHAnsi"/>
                <w:sz w:val="20"/>
                <w:szCs w:val="20"/>
              </w:rPr>
              <w:t>Requisitos de funcionamiento.</w:t>
            </w:r>
          </w:p>
        </w:tc>
        <w:tc>
          <w:tcPr>
            <w:tcW w:w="15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2A14F08"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IEC 60081</w:t>
            </w:r>
          </w:p>
        </w:tc>
        <w:tc>
          <w:tcPr>
            <w:tcW w:w="3260" w:type="dxa"/>
            <w:tcBorders>
              <w:top w:val="single" w:sz="6" w:space="0" w:color="9CC2E5"/>
              <w:left w:val="single" w:sz="6" w:space="0" w:color="9CC2E5"/>
              <w:bottom w:val="single" w:sz="6" w:space="0" w:color="9CC2E5"/>
              <w:right w:val="single" w:sz="6" w:space="0" w:color="9CC2E5"/>
            </w:tcBorders>
            <w:shd w:val="clear" w:color="auto" w:fill="auto"/>
          </w:tcPr>
          <w:p w14:paraId="2161BDCD" w14:textId="77777777" w:rsidR="004875FB" w:rsidRPr="00D92C13"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sidRPr="00D92C13">
              <w:rPr>
                <w:rFonts w:asciiTheme="minorHAnsi" w:eastAsia="Times New Roman" w:hAnsiTheme="minorHAnsi" w:cstheme="minorHAnsi"/>
                <w:sz w:val="20"/>
                <w:szCs w:val="20"/>
                <w:lang w:val="en-US"/>
              </w:rPr>
              <w:t>Double-capped fluorescent lamps – Performance specifications.</w:t>
            </w:r>
          </w:p>
        </w:tc>
        <w:tc>
          <w:tcPr>
            <w:tcW w:w="1418" w:type="dxa"/>
            <w:tcBorders>
              <w:top w:val="single" w:sz="6" w:space="0" w:color="9CC2E5"/>
              <w:left w:val="single" w:sz="6" w:space="0" w:color="9CC2E5"/>
              <w:bottom w:val="single" w:sz="6" w:space="0" w:color="9CC2E5"/>
              <w:right w:val="single" w:sz="6" w:space="0" w:color="9CC2E5"/>
            </w:tcBorders>
          </w:tcPr>
          <w:p w14:paraId="3DBB176C" w14:textId="77777777" w:rsidR="004875FB" w:rsidRPr="00D92C13"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3370" w:type="dxa"/>
            <w:tcBorders>
              <w:top w:val="single" w:sz="6" w:space="0" w:color="9CC2E5"/>
              <w:left w:val="single" w:sz="6" w:space="0" w:color="9CC2E5"/>
              <w:bottom w:val="single" w:sz="6" w:space="0" w:color="9CC2E5"/>
              <w:right w:val="single" w:sz="6" w:space="0" w:color="9CC2E5"/>
            </w:tcBorders>
          </w:tcPr>
          <w:p w14:paraId="4D7E5BAE" w14:textId="77777777" w:rsidR="004875FB" w:rsidRPr="00D92C13"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r>
      <w:tr w:rsidR="004875FB" w:rsidRPr="005C06A9" w14:paraId="3DEE3304"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851D30A"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rPr>
            </w:pPr>
          </w:p>
        </w:tc>
        <w:tc>
          <w:tcPr>
            <w:tcW w:w="312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619F144" w14:textId="77777777" w:rsidR="004875FB" w:rsidRPr="009B6D93"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15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C496DE2"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IEC 61347-2-13</w:t>
            </w:r>
          </w:p>
        </w:tc>
        <w:tc>
          <w:tcPr>
            <w:tcW w:w="3260" w:type="dxa"/>
            <w:tcBorders>
              <w:top w:val="single" w:sz="6" w:space="0" w:color="9CC2E5"/>
              <w:left w:val="single" w:sz="6" w:space="0" w:color="9CC2E5"/>
              <w:bottom w:val="single" w:sz="6" w:space="0" w:color="9CC2E5"/>
              <w:right w:val="single" w:sz="6" w:space="0" w:color="9CC2E5"/>
            </w:tcBorders>
            <w:shd w:val="clear" w:color="auto" w:fill="DEEAF6"/>
          </w:tcPr>
          <w:p w14:paraId="18094913" w14:textId="77777777" w:rsidR="004875FB" w:rsidRPr="005C06A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sidRPr="005C06A9">
              <w:rPr>
                <w:rFonts w:asciiTheme="minorHAnsi" w:eastAsia="Times New Roman" w:hAnsiTheme="minorHAnsi" w:cstheme="minorHAnsi"/>
                <w:sz w:val="20"/>
                <w:szCs w:val="20"/>
                <w:lang w:val="en-US"/>
              </w:rPr>
              <w:t>Lamp controlgear – Part 2-13: Particular requirements for d.c. and a.c supplied electronic controlgear for LED modules</w:t>
            </w:r>
          </w:p>
        </w:tc>
        <w:tc>
          <w:tcPr>
            <w:tcW w:w="1418" w:type="dxa"/>
            <w:tcBorders>
              <w:top w:val="single" w:sz="6" w:space="0" w:color="9CC2E5"/>
              <w:left w:val="single" w:sz="6" w:space="0" w:color="9CC2E5"/>
              <w:bottom w:val="single" w:sz="6" w:space="0" w:color="9CC2E5"/>
              <w:right w:val="single" w:sz="6" w:space="0" w:color="9CC2E5"/>
            </w:tcBorders>
            <w:shd w:val="clear" w:color="auto" w:fill="DEEAF6"/>
          </w:tcPr>
          <w:p w14:paraId="37452CCD" w14:textId="77777777" w:rsidR="004875FB" w:rsidRPr="005C06A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3370" w:type="dxa"/>
            <w:tcBorders>
              <w:top w:val="single" w:sz="6" w:space="0" w:color="9CC2E5"/>
              <w:left w:val="single" w:sz="6" w:space="0" w:color="9CC2E5"/>
              <w:bottom w:val="single" w:sz="6" w:space="0" w:color="9CC2E5"/>
              <w:right w:val="single" w:sz="6" w:space="0" w:color="9CC2E5"/>
            </w:tcBorders>
            <w:shd w:val="clear" w:color="auto" w:fill="DEEAF6"/>
          </w:tcPr>
          <w:p w14:paraId="73D49893" w14:textId="77777777" w:rsidR="004875FB" w:rsidRPr="005C06A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r>
      <w:tr w:rsidR="004875FB" w:rsidRPr="00D92C13" w14:paraId="5DFB3DE0"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62804C7"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sidRPr="005C06A9">
              <w:rPr>
                <w:rFonts w:asciiTheme="minorHAnsi" w:eastAsia="Times New Roman" w:hAnsiTheme="minorHAnsi" w:cstheme="minorHAnsi"/>
                <w:sz w:val="20"/>
                <w:szCs w:val="20"/>
                <w:lang w:val="es-ES"/>
              </w:rPr>
              <w:t>IEC 60068-2-14</w:t>
            </w:r>
          </w:p>
        </w:tc>
        <w:tc>
          <w:tcPr>
            <w:tcW w:w="312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84C4ECF"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sidRPr="00C96617">
              <w:rPr>
                <w:rFonts w:asciiTheme="minorHAnsi" w:eastAsia="Times New Roman" w:hAnsiTheme="minorHAnsi" w:cstheme="minorHAnsi"/>
                <w:sz w:val="20"/>
                <w:szCs w:val="20"/>
                <w:lang w:val="es-ES"/>
              </w:rPr>
              <w:t xml:space="preserve">Ensayos ambientales. </w:t>
            </w:r>
            <w:r w:rsidRPr="005567DE">
              <w:rPr>
                <w:rFonts w:asciiTheme="minorHAnsi" w:eastAsia="Times New Roman" w:hAnsiTheme="minorHAnsi" w:cstheme="minorHAnsi"/>
                <w:sz w:val="20"/>
                <w:szCs w:val="20"/>
                <w:lang w:val="es-ES"/>
              </w:rPr>
              <w:t>Parte 2-14: Ensayos. Ensayo N: Variaci</w:t>
            </w:r>
            <w:r>
              <w:rPr>
                <w:rFonts w:asciiTheme="minorHAnsi" w:eastAsia="Times New Roman" w:hAnsiTheme="minorHAnsi" w:cstheme="minorHAnsi"/>
                <w:sz w:val="20"/>
                <w:szCs w:val="20"/>
                <w:lang w:val="es-ES"/>
              </w:rPr>
              <w:t>ón de la temperatura</w:t>
            </w:r>
          </w:p>
        </w:tc>
        <w:tc>
          <w:tcPr>
            <w:tcW w:w="15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278599B"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IEC 60068-2-14</w:t>
            </w:r>
          </w:p>
        </w:tc>
        <w:tc>
          <w:tcPr>
            <w:tcW w:w="3260" w:type="dxa"/>
            <w:tcBorders>
              <w:top w:val="single" w:sz="6" w:space="0" w:color="9CC2E5"/>
              <w:left w:val="single" w:sz="6" w:space="0" w:color="9CC2E5"/>
              <w:bottom w:val="single" w:sz="6" w:space="0" w:color="9CC2E5"/>
              <w:right w:val="single" w:sz="6" w:space="0" w:color="9CC2E5"/>
            </w:tcBorders>
            <w:shd w:val="clear" w:color="auto" w:fill="auto"/>
          </w:tcPr>
          <w:p w14:paraId="7E125344" w14:textId="77777777" w:rsidR="004875FB" w:rsidRPr="00D92C13"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sidRPr="00D92C13">
              <w:rPr>
                <w:rFonts w:asciiTheme="minorHAnsi" w:eastAsia="Times New Roman" w:hAnsiTheme="minorHAnsi" w:cstheme="minorHAnsi"/>
                <w:sz w:val="20"/>
                <w:szCs w:val="20"/>
                <w:lang w:val="en-US"/>
              </w:rPr>
              <w:t>Environmental testing – Part 2-14: Tests – Test N: Change of temperature</w:t>
            </w:r>
          </w:p>
        </w:tc>
        <w:tc>
          <w:tcPr>
            <w:tcW w:w="1418" w:type="dxa"/>
            <w:tcBorders>
              <w:top w:val="single" w:sz="6" w:space="0" w:color="9CC2E5"/>
              <w:left w:val="single" w:sz="6" w:space="0" w:color="9CC2E5"/>
              <w:bottom w:val="single" w:sz="6" w:space="0" w:color="9CC2E5"/>
              <w:right w:val="single" w:sz="6" w:space="0" w:color="9CC2E5"/>
            </w:tcBorders>
          </w:tcPr>
          <w:p w14:paraId="20114E3E" w14:textId="77777777" w:rsidR="004875FB" w:rsidRPr="00D92C13"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3370" w:type="dxa"/>
            <w:tcBorders>
              <w:top w:val="single" w:sz="6" w:space="0" w:color="9CC2E5"/>
              <w:left w:val="single" w:sz="6" w:space="0" w:color="9CC2E5"/>
              <w:bottom w:val="single" w:sz="6" w:space="0" w:color="9CC2E5"/>
              <w:right w:val="single" w:sz="6" w:space="0" w:color="9CC2E5"/>
            </w:tcBorders>
          </w:tcPr>
          <w:p w14:paraId="52F361C9" w14:textId="77777777" w:rsidR="004875FB" w:rsidRPr="00D92C13"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r>
      <w:tr w:rsidR="004875FB" w:rsidRPr="00D92C13" w14:paraId="1EBAA319"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A819CC2"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rPr>
            </w:pPr>
          </w:p>
        </w:tc>
        <w:tc>
          <w:tcPr>
            <w:tcW w:w="312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96784E9" w14:textId="77777777" w:rsidR="004875FB" w:rsidRPr="009B6D93"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15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362AE99"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IEC 60068-3-5:2001</w:t>
            </w:r>
          </w:p>
        </w:tc>
        <w:tc>
          <w:tcPr>
            <w:tcW w:w="3260" w:type="dxa"/>
            <w:tcBorders>
              <w:top w:val="single" w:sz="6" w:space="0" w:color="9CC2E5"/>
              <w:left w:val="single" w:sz="6" w:space="0" w:color="9CC2E5"/>
              <w:bottom w:val="single" w:sz="6" w:space="0" w:color="9CC2E5"/>
              <w:right w:val="single" w:sz="6" w:space="0" w:color="9CC2E5"/>
            </w:tcBorders>
            <w:shd w:val="clear" w:color="auto" w:fill="DEEAF6"/>
          </w:tcPr>
          <w:p w14:paraId="7BD0CFC9" w14:textId="77777777" w:rsidR="004875FB" w:rsidRPr="00D92C13"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Environmental testing – Part 3-5: Supporting documentation and guidance – Confirmation of the performance of temperature chambers</w:t>
            </w:r>
          </w:p>
        </w:tc>
        <w:tc>
          <w:tcPr>
            <w:tcW w:w="1418" w:type="dxa"/>
            <w:tcBorders>
              <w:top w:val="single" w:sz="6" w:space="0" w:color="9CC2E5"/>
              <w:left w:val="single" w:sz="6" w:space="0" w:color="9CC2E5"/>
              <w:bottom w:val="single" w:sz="6" w:space="0" w:color="9CC2E5"/>
              <w:right w:val="single" w:sz="6" w:space="0" w:color="9CC2E5"/>
            </w:tcBorders>
            <w:shd w:val="clear" w:color="auto" w:fill="DEEAF6"/>
          </w:tcPr>
          <w:p w14:paraId="14C058AB"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3370" w:type="dxa"/>
            <w:tcBorders>
              <w:top w:val="single" w:sz="6" w:space="0" w:color="9CC2E5"/>
              <w:left w:val="single" w:sz="6" w:space="0" w:color="9CC2E5"/>
              <w:bottom w:val="single" w:sz="6" w:space="0" w:color="9CC2E5"/>
              <w:right w:val="single" w:sz="6" w:space="0" w:color="9CC2E5"/>
            </w:tcBorders>
            <w:shd w:val="clear" w:color="auto" w:fill="DEEAF6"/>
          </w:tcPr>
          <w:p w14:paraId="32165B55"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r>
      <w:tr w:rsidR="004875FB" w:rsidRPr="005C06A9" w14:paraId="19CCE822"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90FBA0A"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CIE 121:1996</w:t>
            </w:r>
          </w:p>
        </w:tc>
        <w:tc>
          <w:tcPr>
            <w:tcW w:w="312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B61082B" w14:textId="77777777" w:rsidR="004875FB" w:rsidRPr="00186EBE"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La fotometría y gonofotometría de las luminarias.</w:t>
            </w:r>
          </w:p>
        </w:tc>
        <w:tc>
          <w:tcPr>
            <w:tcW w:w="15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4834140" w14:textId="77777777" w:rsidR="004875FB" w:rsidRPr="00186EBE"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EN 13032-4:2015</w:t>
            </w:r>
          </w:p>
        </w:tc>
        <w:tc>
          <w:tcPr>
            <w:tcW w:w="3260" w:type="dxa"/>
            <w:tcBorders>
              <w:top w:val="single" w:sz="6" w:space="0" w:color="9CC2E5"/>
              <w:left w:val="single" w:sz="6" w:space="0" w:color="9CC2E5"/>
              <w:bottom w:val="single" w:sz="6" w:space="0" w:color="9CC2E5"/>
              <w:right w:val="single" w:sz="6" w:space="0" w:color="9CC2E5"/>
            </w:tcBorders>
            <w:shd w:val="clear" w:color="auto" w:fill="auto"/>
          </w:tcPr>
          <w:p w14:paraId="3A6AEFD2" w14:textId="77777777" w:rsidR="004875FB" w:rsidRPr="005C06A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1418" w:type="dxa"/>
            <w:tcBorders>
              <w:top w:val="single" w:sz="6" w:space="0" w:color="9CC2E5"/>
              <w:left w:val="single" w:sz="6" w:space="0" w:color="9CC2E5"/>
              <w:bottom w:val="single" w:sz="6" w:space="0" w:color="9CC2E5"/>
              <w:right w:val="single" w:sz="6" w:space="0" w:color="9CC2E5"/>
            </w:tcBorders>
          </w:tcPr>
          <w:p w14:paraId="337F0E47" w14:textId="77777777" w:rsidR="004875FB" w:rsidRPr="005C06A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3370" w:type="dxa"/>
            <w:tcBorders>
              <w:top w:val="single" w:sz="6" w:space="0" w:color="9CC2E5"/>
              <w:left w:val="single" w:sz="6" w:space="0" w:color="9CC2E5"/>
              <w:bottom w:val="single" w:sz="6" w:space="0" w:color="9CC2E5"/>
              <w:right w:val="single" w:sz="6" w:space="0" w:color="9CC2E5"/>
            </w:tcBorders>
          </w:tcPr>
          <w:p w14:paraId="2C537C1B" w14:textId="77777777" w:rsidR="004875FB" w:rsidRPr="005C06A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r>
      <w:tr w:rsidR="004875FB" w:rsidRPr="005C06A9" w14:paraId="628E50A8"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64F22F66"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IEC/TR 61341</w:t>
            </w:r>
          </w:p>
        </w:tc>
        <w:tc>
          <w:tcPr>
            <w:tcW w:w="312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A114E19" w14:textId="77777777" w:rsidR="004875FB" w:rsidRPr="00186EBE"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Método de medida de la intensidad en el eje de haz y el ángulo o ángulos de apertura del haz de lámparas con reflector.</w:t>
            </w:r>
          </w:p>
        </w:tc>
        <w:tc>
          <w:tcPr>
            <w:tcW w:w="15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4EDDA17" w14:textId="77777777" w:rsidR="004875FB" w:rsidRPr="00186EBE"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IEC TR 61341</w:t>
            </w:r>
          </w:p>
        </w:tc>
        <w:tc>
          <w:tcPr>
            <w:tcW w:w="3260" w:type="dxa"/>
            <w:tcBorders>
              <w:top w:val="single" w:sz="6" w:space="0" w:color="9CC2E5"/>
              <w:left w:val="single" w:sz="6" w:space="0" w:color="9CC2E5"/>
              <w:bottom w:val="single" w:sz="6" w:space="0" w:color="9CC2E5"/>
              <w:right w:val="single" w:sz="6" w:space="0" w:color="9CC2E5"/>
            </w:tcBorders>
            <w:shd w:val="clear" w:color="auto" w:fill="DEEAF6"/>
          </w:tcPr>
          <w:p w14:paraId="73D4895B" w14:textId="77777777" w:rsidR="004875FB" w:rsidRPr="005C06A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sidRPr="005C06A9">
              <w:rPr>
                <w:rFonts w:asciiTheme="minorHAnsi" w:eastAsia="Times New Roman" w:hAnsiTheme="minorHAnsi" w:cstheme="minorHAnsi"/>
                <w:sz w:val="20"/>
                <w:szCs w:val="20"/>
                <w:lang w:val="en-US"/>
              </w:rPr>
              <w:t>Methods of measurement of centre beam intensity and beam angel(s) of reflector lamps.</w:t>
            </w:r>
          </w:p>
        </w:tc>
        <w:tc>
          <w:tcPr>
            <w:tcW w:w="1418" w:type="dxa"/>
            <w:tcBorders>
              <w:top w:val="single" w:sz="6" w:space="0" w:color="9CC2E5"/>
              <w:left w:val="single" w:sz="6" w:space="0" w:color="9CC2E5"/>
              <w:bottom w:val="single" w:sz="6" w:space="0" w:color="9CC2E5"/>
              <w:right w:val="single" w:sz="6" w:space="0" w:color="9CC2E5"/>
            </w:tcBorders>
            <w:shd w:val="clear" w:color="auto" w:fill="DEEAF6"/>
          </w:tcPr>
          <w:p w14:paraId="3BA66291" w14:textId="77777777" w:rsidR="004875FB" w:rsidRPr="005C06A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3370" w:type="dxa"/>
            <w:tcBorders>
              <w:top w:val="single" w:sz="6" w:space="0" w:color="9CC2E5"/>
              <w:left w:val="single" w:sz="6" w:space="0" w:color="9CC2E5"/>
              <w:bottom w:val="single" w:sz="6" w:space="0" w:color="9CC2E5"/>
              <w:right w:val="single" w:sz="6" w:space="0" w:color="9CC2E5"/>
            </w:tcBorders>
            <w:shd w:val="clear" w:color="auto" w:fill="DEEAF6"/>
          </w:tcPr>
          <w:p w14:paraId="79202DEA" w14:textId="77777777" w:rsidR="004875FB" w:rsidRPr="005C06A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r>
      <w:tr w:rsidR="004875FB" w:rsidRPr="005C06A9" w14:paraId="1DADB75E"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8B9378B"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CIE 13.3:1995</w:t>
            </w:r>
          </w:p>
        </w:tc>
        <w:tc>
          <w:tcPr>
            <w:tcW w:w="312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494824C" w14:textId="77777777" w:rsidR="004875FB" w:rsidRPr="00186EBE"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Métodos de medición y especificaciones del rendimiento de color de las fuentes de luz.</w:t>
            </w:r>
          </w:p>
        </w:tc>
        <w:tc>
          <w:tcPr>
            <w:tcW w:w="15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0577D4C" w14:textId="77777777" w:rsidR="004875FB" w:rsidRPr="00186EBE"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CIE 13.3:1995</w:t>
            </w:r>
          </w:p>
        </w:tc>
        <w:tc>
          <w:tcPr>
            <w:tcW w:w="3260" w:type="dxa"/>
            <w:tcBorders>
              <w:top w:val="single" w:sz="6" w:space="0" w:color="9CC2E5"/>
              <w:left w:val="single" w:sz="6" w:space="0" w:color="9CC2E5"/>
              <w:bottom w:val="single" w:sz="6" w:space="0" w:color="9CC2E5"/>
              <w:right w:val="single" w:sz="6" w:space="0" w:color="9CC2E5"/>
            </w:tcBorders>
            <w:shd w:val="clear" w:color="auto" w:fill="auto"/>
          </w:tcPr>
          <w:p w14:paraId="076E7E5E" w14:textId="77777777" w:rsidR="004875FB" w:rsidRPr="005C06A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sidRPr="005C06A9">
              <w:rPr>
                <w:rFonts w:asciiTheme="minorHAnsi" w:eastAsia="Times New Roman" w:hAnsiTheme="minorHAnsi" w:cstheme="minorHAnsi"/>
                <w:sz w:val="20"/>
                <w:szCs w:val="20"/>
                <w:lang w:val="en-US"/>
              </w:rPr>
              <w:t>Method of measuring and specifying colour rendering properties of light sources</w:t>
            </w:r>
          </w:p>
        </w:tc>
        <w:tc>
          <w:tcPr>
            <w:tcW w:w="1418" w:type="dxa"/>
            <w:tcBorders>
              <w:top w:val="single" w:sz="6" w:space="0" w:color="9CC2E5"/>
              <w:left w:val="single" w:sz="6" w:space="0" w:color="9CC2E5"/>
              <w:bottom w:val="single" w:sz="6" w:space="0" w:color="9CC2E5"/>
              <w:right w:val="single" w:sz="6" w:space="0" w:color="9CC2E5"/>
            </w:tcBorders>
          </w:tcPr>
          <w:p w14:paraId="34F280A4" w14:textId="77777777" w:rsidR="004875FB" w:rsidRPr="005C06A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3370" w:type="dxa"/>
            <w:tcBorders>
              <w:top w:val="single" w:sz="6" w:space="0" w:color="9CC2E5"/>
              <w:left w:val="single" w:sz="6" w:space="0" w:color="9CC2E5"/>
              <w:bottom w:val="single" w:sz="6" w:space="0" w:color="9CC2E5"/>
              <w:right w:val="single" w:sz="6" w:space="0" w:color="9CC2E5"/>
            </w:tcBorders>
          </w:tcPr>
          <w:p w14:paraId="563DD8A9" w14:textId="77777777" w:rsidR="004875FB" w:rsidRPr="005C06A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r>
      <w:tr w:rsidR="004875FB" w:rsidRPr="005C06A9" w14:paraId="0DFDB6B9"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C60612C"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CIE 177:2007</w:t>
            </w:r>
          </w:p>
        </w:tc>
        <w:tc>
          <w:tcPr>
            <w:tcW w:w="312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87CAE87" w14:textId="77777777" w:rsidR="004875FB" w:rsidRPr="00186EBE"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Rendimiento de colores de las fuentes de luz blancas de LED.</w:t>
            </w:r>
          </w:p>
        </w:tc>
        <w:tc>
          <w:tcPr>
            <w:tcW w:w="15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24026D8" w14:textId="77777777" w:rsidR="004875FB" w:rsidRPr="00186EBE"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CIE 177:2007</w:t>
            </w:r>
          </w:p>
        </w:tc>
        <w:tc>
          <w:tcPr>
            <w:tcW w:w="3260" w:type="dxa"/>
            <w:tcBorders>
              <w:top w:val="single" w:sz="6" w:space="0" w:color="9CC2E5"/>
              <w:left w:val="single" w:sz="6" w:space="0" w:color="9CC2E5"/>
              <w:bottom w:val="single" w:sz="6" w:space="0" w:color="9CC2E5"/>
              <w:right w:val="single" w:sz="6" w:space="0" w:color="9CC2E5"/>
            </w:tcBorders>
            <w:shd w:val="clear" w:color="auto" w:fill="DEEAF6"/>
          </w:tcPr>
          <w:p w14:paraId="621EEFFA" w14:textId="77777777" w:rsidR="004875FB" w:rsidRPr="005C06A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sidRPr="005C06A9">
              <w:rPr>
                <w:rFonts w:asciiTheme="minorHAnsi" w:eastAsia="Times New Roman" w:hAnsiTheme="minorHAnsi" w:cstheme="minorHAnsi"/>
                <w:sz w:val="20"/>
                <w:szCs w:val="20"/>
                <w:lang w:val="en-US"/>
              </w:rPr>
              <w:t>Colour rendering of white LED light sources</w:t>
            </w:r>
          </w:p>
        </w:tc>
        <w:tc>
          <w:tcPr>
            <w:tcW w:w="1418" w:type="dxa"/>
            <w:tcBorders>
              <w:top w:val="single" w:sz="6" w:space="0" w:color="9CC2E5"/>
              <w:left w:val="single" w:sz="6" w:space="0" w:color="9CC2E5"/>
              <w:bottom w:val="single" w:sz="6" w:space="0" w:color="9CC2E5"/>
              <w:right w:val="single" w:sz="6" w:space="0" w:color="9CC2E5"/>
            </w:tcBorders>
            <w:shd w:val="clear" w:color="auto" w:fill="DEEAF6"/>
          </w:tcPr>
          <w:p w14:paraId="57E93CE9" w14:textId="77777777" w:rsidR="004875FB" w:rsidRPr="006A0277" w:rsidRDefault="004875FB" w:rsidP="00B1771D">
            <w:pPr>
              <w:suppressAutoHyphens w:val="0"/>
              <w:spacing w:before="0" w:after="0"/>
              <w:jc w:val="left"/>
              <w:textAlignment w:val="auto"/>
              <w:rPr>
                <w:rFonts w:asciiTheme="minorHAnsi" w:eastAsia="Times New Roman" w:hAnsiTheme="minorHAnsi" w:cstheme="minorHAnsi"/>
                <w:color w:val="FF0000"/>
                <w:sz w:val="20"/>
                <w:szCs w:val="20"/>
                <w:lang w:val="en-US"/>
              </w:rPr>
            </w:pPr>
            <w:r w:rsidRPr="006A0277">
              <w:rPr>
                <w:rFonts w:asciiTheme="minorHAnsi" w:eastAsia="Times New Roman" w:hAnsiTheme="minorHAnsi" w:cstheme="minorHAnsi"/>
                <w:color w:val="FF0000"/>
                <w:sz w:val="20"/>
                <w:szCs w:val="20"/>
                <w:lang w:val="en-US"/>
              </w:rPr>
              <w:t>CIE 177:2007</w:t>
            </w:r>
          </w:p>
        </w:tc>
        <w:tc>
          <w:tcPr>
            <w:tcW w:w="3370" w:type="dxa"/>
            <w:tcBorders>
              <w:top w:val="single" w:sz="6" w:space="0" w:color="9CC2E5"/>
              <w:left w:val="single" w:sz="6" w:space="0" w:color="9CC2E5"/>
              <w:bottom w:val="single" w:sz="6" w:space="0" w:color="9CC2E5"/>
              <w:right w:val="single" w:sz="6" w:space="0" w:color="9CC2E5"/>
            </w:tcBorders>
            <w:shd w:val="clear" w:color="auto" w:fill="DEEAF6"/>
          </w:tcPr>
          <w:p w14:paraId="29D2907C" w14:textId="77777777" w:rsidR="004875FB" w:rsidRPr="006A0277" w:rsidRDefault="004875FB" w:rsidP="00B1771D">
            <w:pPr>
              <w:suppressAutoHyphens w:val="0"/>
              <w:spacing w:before="0" w:after="0"/>
              <w:jc w:val="left"/>
              <w:textAlignment w:val="auto"/>
              <w:rPr>
                <w:rFonts w:asciiTheme="minorHAnsi" w:eastAsia="Times New Roman" w:hAnsiTheme="minorHAnsi" w:cstheme="minorHAnsi"/>
                <w:color w:val="FF0000"/>
                <w:sz w:val="20"/>
                <w:szCs w:val="20"/>
                <w:lang w:val="en-US"/>
              </w:rPr>
            </w:pPr>
            <w:r w:rsidRPr="006A0277">
              <w:rPr>
                <w:rFonts w:asciiTheme="minorHAnsi" w:eastAsia="Times New Roman" w:hAnsiTheme="minorHAnsi" w:cstheme="minorHAnsi"/>
                <w:color w:val="FF0000"/>
                <w:sz w:val="20"/>
                <w:szCs w:val="20"/>
                <w:lang w:val="en-US"/>
              </w:rPr>
              <w:t>Colour rendering of white LED light sources</w:t>
            </w:r>
          </w:p>
        </w:tc>
      </w:tr>
      <w:tr w:rsidR="004875FB" w:rsidRPr="00914127" w14:paraId="01091632"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9578A3B" w14:textId="77777777" w:rsidR="004875FB" w:rsidRPr="009B6D93"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312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E5EEE06" w14:textId="77777777" w:rsidR="004875FB" w:rsidRPr="009B6D93"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15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ADE27EE"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IEC 62722-1</w:t>
            </w:r>
          </w:p>
        </w:tc>
        <w:tc>
          <w:tcPr>
            <w:tcW w:w="3260" w:type="dxa"/>
            <w:tcBorders>
              <w:top w:val="single" w:sz="6" w:space="0" w:color="9CC2E5"/>
              <w:left w:val="single" w:sz="6" w:space="0" w:color="9CC2E5"/>
              <w:bottom w:val="single" w:sz="6" w:space="0" w:color="9CC2E5"/>
              <w:right w:val="single" w:sz="6" w:space="0" w:color="9CC2E5"/>
            </w:tcBorders>
            <w:shd w:val="clear" w:color="auto" w:fill="auto"/>
          </w:tcPr>
          <w:p w14:paraId="67AEC7CD" w14:textId="77777777" w:rsidR="004875FB" w:rsidRPr="005C06A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Luminaire performance – Part 1: General requirements</w:t>
            </w:r>
          </w:p>
        </w:tc>
        <w:tc>
          <w:tcPr>
            <w:tcW w:w="1418" w:type="dxa"/>
            <w:tcBorders>
              <w:top w:val="single" w:sz="6" w:space="0" w:color="9CC2E5"/>
              <w:left w:val="single" w:sz="6" w:space="0" w:color="9CC2E5"/>
              <w:bottom w:val="single" w:sz="6" w:space="0" w:color="9CC2E5"/>
              <w:right w:val="single" w:sz="6" w:space="0" w:color="9CC2E5"/>
            </w:tcBorders>
          </w:tcPr>
          <w:p w14:paraId="3733E481" w14:textId="77777777" w:rsidR="004875FB" w:rsidRPr="006A0277" w:rsidRDefault="004875FB" w:rsidP="00B1771D">
            <w:pPr>
              <w:suppressAutoHyphens w:val="0"/>
              <w:spacing w:before="0" w:after="0"/>
              <w:jc w:val="left"/>
              <w:textAlignment w:val="auto"/>
              <w:rPr>
                <w:rFonts w:asciiTheme="minorHAnsi" w:eastAsia="Times New Roman" w:hAnsiTheme="minorHAnsi" w:cstheme="minorHAnsi"/>
                <w:color w:val="FF0000"/>
                <w:sz w:val="20"/>
                <w:szCs w:val="20"/>
                <w:lang w:val="en-US"/>
              </w:rPr>
            </w:pPr>
            <w:r w:rsidRPr="006A0277">
              <w:rPr>
                <w:rFonts w:asciiTheme="minorHAnsi" w:eastAsia="Times New Roman" w:hAnsiTheme="minorHAnsi" w:cstheme="minorHAnsi"/>
                <w:color w:val="FF0000"/>
                <w:sz w:val="20"/>
                <w:szCs w:val="20"/>
                <w:lang w:val="en-US"/>
              </w:rPr>
              <w:t>IEC 62722-1</w:t>
            </w:r>
          </w:p>
        </w:tc>
        <w:tc>
          <w:tcPr>
            <w:tcW w:w="3370" w:type="dxa"/>
            <w:tcBorders>
              <w:top w:val="single" w:sz="6" w:space="0" w:color="9CC2E5"/>
              <w:left w:val="single" w:sz="6" w:space="0" w:color="9CC2E5"/>
              <w:bottom w:val="single" w:sz="6" w:space="0" w:color="9CC2E5"/>
              <w:right w:val="single" w:sz="6" w:space="0" w:color="9CC2E5"/>
            </w:tcBorders>
          </w:tcPr>
          <w:p w14:paraId="5CD20B51" w14:textId="77777777" w:rsidR="004875FB" w:rsidRPr="006A0277" w:rsidRDefault="004875FB" w:rsidP="00B1771D">
            <w:pPr>
              <w:suppressAutoHyphens w:val="0"/>
              <w:spacing w:before="0" w:after="0"/>
              <w:jc w:val="left"/>
              <w:textAlignment w:val="auto"/>
              <w:rPr>
                <w:rFonts w:asciiTheme="minorHAnsi" w:eastAsia="Times New Roman" w:hAnsiTheme="minorHAnsi" w:cstheme="minorHAnsi"/>
                <w:color w:val="FF0000"/>
                <w:sz w:val="20"/>
                <w:szCs w:val="20"/>
                <w:lang w:val="es-ES"/>
              </w:rPr>
            </w:pPr>
            <w:r w:rsidRPr="006A0277">
              <w:rPr>
                <w:rFonts w:asciiTheme="minorHAnsi" w:eastAsia="Times New Roman" w:hAnsiTheme="minorHAnsi" w:cstheme="minorHAnsi"/>
                <w:color w:val="FF0000"/>
                <w:sz w:val="20"/>
                <w:szCs w:val="20"/>
                <w:lang w:val="es-ES"/>
              </w:rPr>
              <w:t>Prestaciones de las luminarias. Parte 1: Requisitos generales.</w:t>
            </w:r>
          </w:p>
        </w:tc>
      </w:tr>
      <w:tr w:rsidR="004875FB" w:rsidRPr="005C06A9" w14:paraId="01631D9F"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4A521A1" w14:textId="77777777" w:rsidR="004875FB" w:rsidRPr="006A0277"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312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E07F06F" w14:textId="77777777" w:rsidR="004875FB" w:rsidRPr="006A0277"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p>
        </w:tc>
        <w:tc>
          <w:tcPr>
            <w:tcW w:w="15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19FBA8C" w14:textId="77777777" w:rsidR="004875FB" w:rsidRPr="003D186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sidRPr="006A0277">
              <w:rPr>
                <w:rFonts w:asciiTheme="minorHAnsi" w:eastAsia="Times New Roman" w:hAnsiTheme="minorHAnsi" w:cstheme="minorHAnsi"/>
                <w:sz w:val="20"/>
                <w:szCs w:val="20"/>
                <w:lang w:val="en-US"/>
              </w:rPr>
              <w:t>IEC 62707-1</w:t>
            </w:r>
          </w:p>
        </w:tc>
        <w:tc>
          <w:tcPr>
            <w:tcW w:w="3260" w:type="dxa"/>
            <w:tcBorders>
              <w:top w:val="single" w:sz="6" w:space="0" w:color="9CC2E5"/>
              <w:left w:val="single" w:sz="6" w:space="0" w:color="9CC2E5"/>
              <w:bottom w:val="single" w:sz="6" w:space="0" w:color="9CC2E5"/>
              <w:right w:val="single" w:sz="6" w:space="0" w:color="9CC2E5"/>
            </w:tcBorders>
            <w:shd w:val="clear" w:color="auto" w:fill="DEEAF6"/>
          </w:tcPr>
          <w:p w14:paraId="17C4801A" w14:textId="77777777" w:rsidR="004875FB" w:rsidRPr="005C06A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LED-binning – Part 1: Particular requirements and white colour grid</w:t>
            </w:r>
          </w:p>
        </w:tc>
        <w:tc>
          <w:tcPr>
            <w:tcW w:w="1418" w:type="dxa"/>
            <w:tcBorders>
              <w:top w:val="single" w:sz="6" w:space="0" w:color="9CC2E5"/>
              <w:left w:val="single" w:sz="6" w:space="0" w:color="9CC2E5"/>
              <w:bottom w:val="single" w:sz="6" w:space="0" w:color="9CC2E5"/>
              <w:right w:val="single" w:sz="6" w:space="0" w:color="9CC2E5"/>
            </w:tcBorders>
            <w:shd w:val="clear" w:color="auto" w:fill="DEEAF6"/>
          </w:tcPr>
          <w:p w14:paraId="68732701"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3370" w:type="dxa"/>
            <w:tcBorders>
              <w:top w:val="single" w:sz="6" w:space="0" w:color="9CC2E5"/>
              <w:left w:val="single" w:sz="6" w:space="0" w:color="9CC2E5"/>
              <w:bottom w:val="single" w:sz="6" w:space="0" w:color="9CC2E5"/>
              <w:right w:val="single" w:sz="6" w:space="0" w:color="9CC2E5"/>
            </w:tcBorders>
            <w:shd w:val="clear" w:color="auto" w:fill="DEEAF6"/>
          </w:tcPr>
          <w:p w14:paraId="24AC4F18"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r>
      <w:tr w:rsidR="004875FB" w:rsidRPr="005C06A9" w14:paraId="1FCC80BF"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273FE54" w14:textId="77777777" w:rsidR="004875FB" w:rsidRPr="003D186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312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6F0C4BE" w14:textId="77777777" w:rsidR="004875FB" w:rsidRPr="003D186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15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DB8855E"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sidRPr="006A0277">
              <w:rPr>
                <w:rFonts w:asciiTheme="minorHAnsi" w:eastAsia="Times New Roman" w:hAnsiTheme="minorHAnsi" w:cstheme="minorHAnsi"/>
                <w:sz w:val="20"/>
                <w:szCs w:val="20"/>
                <w:lang w:val="en-US"/>
              </w:rPr>
              <w:t>IES LM-</w:t>
            </w:r>
            <w:r>
              <w:rPr>
                <w:rFonts w:asciiTheme="minorHAnsi" w:eastAsia="Times New Roman" w:hAnsiTheme="minorHAnsi" w:cstheme="minorHAnsi"/>
                <w:sz w:val="20"/>
                <w:szCs w:val="20"/>
                <w:lang w:val="es-ES"/>
              </w:rPr>
              <w:t>80</w:t>
            </w:r>
          </w:p>
        </w:tc>
        <w:tc>
          <w:tcPr>
            <w:tcW w:w="3260" w:type="dxa"/>
            <w:tcBorders>
              <w:top w:val="single" w:sz="6" w:space="0" w:color="9CC2E5"/>
              <w:left w:val="single" w:sz="6" w:space="0" w:color="9CC2E5"/>
              <w:bottom w:val="single" w:sz="6" w:space="0" w:color="9CC2E5"/>
              <w:right w:val="single" w:sz="6" w:space="0" w:color="9CC2E5"/>
            </w:tcBorders>
            <w:shd w:val="clear" w:color="auto" w:fill="auto"/>
          </w:tcPr>
          <w:p w14:paraId="4AE1208B"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IES Approved Method: Measuring Lumen Maintenance of LED Light Sources</w:t>
            </w:r>
          </w:p>
        </w:tc>
        <w:tc>
          <w:tcPr>
            <w:tcW w:w="1418" w:type="dxa"/>
            <w:tcBorders>
              <w:top w:val="single" w:sz="6" w:space="0" w:color="9CC2E5"/>
              <w:left w:val="single" w:sz="6" w:space="0" w:color="9CC2E5"/>
              <w:bottom w:val="single" w:sz="6" w:space="0" w:color="9CC2E5"/>
              <w:right w:val="single" w:sz="6" w:space="0" w:color="9CC2E5"/>
            </w:tcBorders>
          </w:tcPr>
          <w:p w14:paraId="39AA5395"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3370" w:type="dxa"/>
            <w:tcBorders>
              <w:top w:val="single" w:sz="6" w:space="0" w:color="9CC2E5"/>
              <w:left w:val="single" w:sz="6" w:space="0" w:color="9CC2E5"/>
              <w:bottom w:val="single" w:sz="6" w:space="0" w:color="9CC2E5"/>
              <w:right w:val="single" w:sz="6" w:space="0" w:color="9CC2E5"/>
            </w:tcBorders>
          </w:tcPr>
          <w:p w14:paraId="565541DC"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r>
      <w:tr w:rsidR="004875FB" w:rsidRPr="005C06A9" w14:paraId="07158DF3"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373E17A" w14:textId="77777777" w:rsidR="004875FB" w:rsidRPr="003D186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312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F9DC0BE" w14:textId="77777777" w:rsidR="004875FB" w:rsidRPr="003D186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15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1F7EE13"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Commission Regulation (EU) no. 1194/2012</w:t>
            </w:r>
          </w:p>
        </w:tc>
        <w:tc>
          <w:tcPr>
            <w:tcW w:w="3260" w:type="dxa"/>
            <w:tcBorders>
              <w:top w:val="single" w:sz="6" w:space="0" w:color="9CC2E5"/>
              <w:left w:val="single" w:sz="6" w:space="0" w:color="9CC2E5"/>
              <w:bottom w:val="single" w:sz="6" w:space="0" w:color="9CC2E5"/>
              <w:right w:val="single" w:sz="6" w:space="0" w:color="9CC2E5"/>
            </w:tcBorders>
            <w:shd w:val="clear" w:color="auto" w:fill="DEEAF6"/>
          </w:tcPr>
          <w:p w14:paraId="0F751976"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Ecodesign requirements for directional lamps, light emitting diode lamps and related equipment</w:t>
            </w:r>
          </w:p>
        </w:tc>
        <w:tc>
          <w:tcPr>
            <w:tcW w:w="1418" w:type="dxa"/>
            <w:tcBorders>
              <w:top w:val="single" w:sz="6" w:space="0" w:color="9CC2E5"/>
              <w:left w:val="single" w:sz="6" w:space="0" w:color="9CC2E5"/>
              <w:bottom w:val="single" w:sz="6" w:space="0" w:color="9CC2E5"/>
              <w:right w:val="single" w:sz="6" w:space="0" w:color="9CC2E5"/>
            </w:tcBorders>
            <w:shd w:val="clear" w:color="auto" w:fill="DEEAF6"/>
          </w:tcPr>
          <w:p w14:paraId="1A5E6D15"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3370" w:type="dxa"/>
            <w:tcBorders>
              <w:top w:val="single" w:sz="6" w:space="0" w:color="9CC2E5"/>
              <w:left w:val="single" w:sz="6" w:space="0" w:color="9CC2E5"/>
              <w:bottom w:val="single" w:sz="6" w:space="0" w:color="9CC2E5"/>
              <w:right w:val="single" w:sz="6" w:space="0" w:color="9CC2E5"/>
            </w:tcBorders>
            <w:shd w:val="clear" w:color="auto" w:fill="DEEAF6"/>
          </w:tcPr>
          <w:p w14:paraId="338B6E5C"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r>
      <w:tr w:rsidR="004875FB" w:rsidRPr="005C06A9" w14:paraId="328EBDB8"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0F3648A" w14:textId="77777777" w:rsidR="004875FB" w:rsidRPr="003D186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312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464E3FC" w14:textId="77777777" w:rsidR="004875FB" w:rsidRPr="003D1869"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15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D8B434A"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FprEN 60969:2013</w:t>
            </w:r>
          </w:p>
        </w:tc>
        <w:tc>
          <w:tcPr>
            <w:tcW w:w="3260" w:type="dxa"/>
            <w:tcBorders>
              <w:top w:val="single" w:sz="6" w:space="0" w:color="9CC2E5"/>
              <w:left w:val="single" w:sz="6" w:space="0" w:color="9CC2E5"/>
              <w:bottom w:val="single" w:sz="6" w:space="0" w:color="9CC2E5"/>
              <w:right w:val="single" w:sz="6" w:space="0" w:color="9CC2E5"/>
            </w:tcBorders>
            <w:shd w:val="clear" w:color="auto" w:fill="auto"/>
          </w:tcPr>
          <w:p w14:paraId="42A15AC1"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Self-ballasted compact fluorescent lamps for general lighting services – Performance requirements</w:t>
            </w:r>
          </w:p>
        </w:tc>
        <w:tc>
          <w:tcPr>
            <w:tcW w:w="1418" w:type="dxa"/>
            <w:tcBorders>
              <w:top w:val="single" w:sz="6" w:space="0" w:color="9CC2E5"/>
              <w:left w:val="single" w:sz="6" w:space="0" w:color="9CC2E5"/>
              <w:bottom w:val="single" w:sz="6" w:space="0" w:color="9CC2E5"/>
              <w:right w:val="single" w:sz="6" w:space="0" w:color="9CC2E5"/>
            </w:tcBorders>
          </w:tcPr>
          <w:p w14:paraId="43237508"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3370" w:type="dxa"/>
            <w:tcBorders>
              <w:top w:val="single" w:sz="6" w:space="0" w:color="9CC2E5"/>
              <w:left w:val="single" w:sz="6" w:space="0" w:color="9CC2E5"/>
              <w:bottom w:val="single" w:sz="6" w:space="0" w:color="9CC2E5"/>
              <w:right w:val="single" w:sz="6" w:space="0" w:color="9CC2E5"/>
            </w:tcBorders>
          </w:tcPr>
          <w:p w14:paraId="424D825B" w14:textId="77777777" w:rsidR="004875FB"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r>
      <w:tr w:rsidR="004875FB" w:rsidRPr="00D92C13" w14:paraId="01A8A048"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2910FB76"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rPr>
              <w:t>IEC 61000-3-2:2005</w:t>
            </w:r>
          </w:p>
        </w:tc>
        <w:tc>
          <w:tcPr>
            <w:tcW w:w="3127"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B8B9983" w14:textId="77777777" w:rsidR="004875FB" w:rsidRPr="00186EBE"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sidRPr="0017085C">
              <w:rPr>
                <w:rFonts w:asciiTheme="minorHAnsi" w:eastAsia="Times New Roman" w:hAnsiTheme="minorHAnsi" w:cstheme="minorHAnsi"/>
                <w:sz w:val="20"/>
                <w:szCs w:val="20"/>
                <w:lang w:val="es-ES"/>
              </w:rPr>
              <w:t>Compatibilidad</w:t>
            </w:r>
            <w:r>
              <w:rPr>
                <w:rFonts w:asciiTheme="minorHAnsi" w:eastAsia="Times New Roman" w:hAnsiTheme="minorHAnsi" w:cstheme="minorHAnsi"/>
                <w:sz w:val="20"/>
                <w:szCs w:val="20"/>
                <w:lang w:val="es-ES"/>
              </w:rPr>
              <w:t xml:space="preserve"> </w:t>
            </w:r>
            <w:r w:rsidRPr="0017085C">
              <w:rPr>
                <w:rFonts w:asciiTheme="minorHAnsi" w:eastAsia="Times New Roman" w:hAnsiTheme="minorHAnsi" w:cstheme="minorHAnsi"/>
                <w:sz w:val="20"/>
                <w:szCs w:val="20"/>
                <w:lang w:val="es-ES"/>
              </w:rPr>
              <w:t xml:space="preserve">electromagnética (CEM). </w:t>
            </w:r>
            <w:r>
              <w:rPr>
                <w:rFonts w:asciiTheme="minorHAnsi" w:eastAsia="Times New Roman" w:hAnsiTheme="minorHAnsi" w:cstheme="minorHAnsi"/>
                <w:sz w:val="20"/>
                <w:szCs w:val="20"/>
                <w:lang w:val="es-ES"/>
              </w:rPr>
              <w:t>Parte 3-2: Límites. Límites para las emisiones de corriente armónica (equipos con corriente de entrada ≤ 16 A por fase). Mod. 2:2009</w:t>
            </w:r>
          </w:p>
        </w:tc>
        <w:tc>
          <w:tcPr>
            <w:tcW w:w="1551"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058D008C" w14:textId="77777777" w:rsidR="004875FB" w:rsidRPr="00186EBE"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IEC 61000-3-2:2005/A1:2008 /A2:2009</w:t>
            </w:r>
          </w:p>
        </w:tc>
        <w:tc>
          <w:tcPr>
            <w:tcW w:w="3260" w:type="dxa"/>
            <w:tcBorders>
              <w:top w:val="single" w:sz="6" w:space="0" w:color="9CC2E5"/>
              <w:left w:val="single" w:sz="6" w:space="0" w:color="9CC2E5"/>
              <w:bottom w:val="single" w:sz="6" w:space="0" w:color="9CC2E5"/>
              <w:right w:val="single" w:sz="6" w:space="0" w:color="9CC2E5"/>
            </w:tcBorders>
            <w:shd w:val="clear" w:color="auto" w:fill="DEEAF6"/>
          </w:tcPr>
          <w:p w14:paraId="0D5AB90E" w14:textId="77777777" w:rsidR="004875FB" w:rsidRPr="00D92C13"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sidRPr="00D92C13">
              <w:rPr>
                <w:rFonts w:asciiTheme="minorHAnsi" w:eastAsia="Times New Roman" w:hAnsiTheme="minorHAnsi" w:cstheme="minorHAnsi"/>
                <w:sz w:val="20"/>
                <w:szCs w:val="20"/>
                <w:lang w:val="en-US"/>
              </w:rPr>
              <w:t xml:space="preserve">Electromagnetic compatibility (EMC) – Part 3-2: Limits – Limits for harmonic current emissions (equipment input current </w:t>
            </w:r>
            <w:r>
              <w:rPr>
                <w:rFonts w:asciiTheme="minorHAnsi" w:eastAsia="Times New Roman" w:hAnsiTheme="minorHAnsi" w:cstheme="minorHAnsi"/>
                <w:sz w:val="20"/>
                <w:szCs w:val="20"/>
                <w:lang w:val="en-US"/>
              </w:rPr>
              <w:t>≤ 16 A per phase)</w:t>
            </w:r>
          </w:p>
        </w:tc>
        <w:tc>
          <w:tcPr>
            <w:tcW w:w="1418" w:type="dxa"/>
            <w:tcBorders>
              <w:top w:val="single" w:sz="6" w:space="0" w:color="9CC2E5"/>
              <w:left w:val="single" w:sz="6" w:space="0" w:color="9CC2E5"/>
              <w:bottom w:val="single" w:sz="6" w:space="0" w:color="9CC2E5"/>
              <w:right w:val="single" w:sz="6" w:space="0" w:color="9CC2E5"/>
            </w:tcBorders>
            <w:shd w:val="clear" w:color="auto" w:fill="DEEAF6"/>
          </w:tcPr>
          <w:p w14:paraId="6C79F86B" w14:textId="77777777" w:rsidR="004875FB" w:rsidRPr="00D92C13"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3370" w:type="dxa"/>
            <w:tcBorders>
              <w:top w:val="single" w:sz="6" w:space="0" w:color="9CC2E5"/>
              <w:left w:val="single" w:sz="6" w:space="0" w:color="9CC2E5"/>
              <w:bottom w:val="single" w:sz="6" w:space="0" w:color="9CC2E5"/>
              <w:right w:val="single" w:sz="6" w:space="0" w:color="9CC2E5"/>
            </w:tcBorders>
            <w:shd w:val="clear" w:color="auto" w:fill="DEEAF6"/>
          </w:tcPr>
          <w:p w14:paraId="1E3C12C4" w14:textId="77777777" w:rsidR="004875FB" w:rsidRPr="00D92C13"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r>
      <w:tr w:rsidR="004875FB" w:rsidRPr="00D92C13" w14:paraId="46A255BE" w14:textId="77777777" w:rsidTr="00B1771D">
        <w:trPr>
          <w:cantSplit/>
          <w:jc w:val="center"/>
        </w:trPr>
        <w:tc>
          <w:tcPr>
            <w:tcW w:w="1693"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D198AAD" w14:textId="77777777" w:rsidR="004875FB" w:rsidRPr="000C1023"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IEC 61000-4-7</w:t>
            </w:r>
          </w:p>
        </w:tc>
        <w:tc>
          <w:tcPr>
            <w:tcW w:w="3127"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17E9E23F" w14:textId="77777777" w:rsidR="004875FB" w:rsidRPr="00186EBE"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Compatibilidad electromagnética (CEM). Parte 4-7: Técnicas de ensayo y de medida. Guía general relativa a las medidas de ármonicos e interarmónicos, así como a los aparatos de medida, aplicables a las redes de suministro y a los aparatos conectados a éstas.</w:t>
            </w:r>
          </w:p>
        </w:tc>
        <w:tc>
          <w:tcPr>
            <w:tcW w:w="1551"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2995033" w14:textId="77777777" w:rsidR="004875FB" w:rsidRPr="00186EBE" w:rsidRDefault="004875FB" w:rsidP="00B1771D">
            <w:pPr>
              <w:suppressAutoHyphens w:val="0"/>
              <w:spacing w:before="0" w:after="0"/>
              <w:jc w:val="left"/>
              <w:textAlignment w:val="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IEC 61000-4-7</w:t>
            </w:r>
          </w:p>
        </w:tc>
        <w:tc>
          <w:tcPr>
            <w:tcW w:w="3260" w:type="dxa"/>
            <w:tcBorders>
              <w:top w:val="single" w:sz="6" w:space="0" w:color="9CC2E5"/>
              <w:left w:val="single" w:sz="6" w:space="0" w:color="9CC2E5"/>
              <w:bottom w:val="single" w:sz="6" w:space="0" w:color="9CC2E5"/>
              <w:right w:val="single" w:sz="6" w:space="0" w:color="9CC2E5"/>
            </w:tcBorders>
            <w:shd w:val="clear" w:color="auto" w:fill="auto"/>
          </w:tcPr>
          <w:p w14:paraId="4EA668AD" w14:textId="77777777" w:rsidR="004875FB" w:rsidRPr="00D92C13"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r w:rsidRPr="00D92C13">
              <w:rPr>
                <w:rFonts w:asciiTheme="minorHAnsi" w:eastAsia="Times New Roman" w:hAnsiTheme="minorHAnsi" w:cstheme="minorHAnsi"/>
                <w:sz w:val="20"/>
                <w:szCs w:val="20"/>
                <w:lang w:val="en-US"/>
              </w:rPr>
              <w:t>Electromagnetic compatibility (EMC) – Part 4-7: Testing and measurement techniques – General guide on harmonics and interharmonics measurements and instrumentation, for power supply systems</w:t>
            </w:r>
            <w:r>
              <w:rPr>
                <w:rFonts w:asciiTheme="minorHAnsi" w:eastAsia="Times New Roman" w:hAnsiTheme="minorHAnsi" w:cstheme="minorHAnsi"/>
                <w:sz w:val="20"/>
                <w:szCs w:val="20"/>
                <w:lang w:val="en-US"/>
              </w:rPr>
              <w:t xml:space="preserve"> and connected thereto</w:t>
            </w:r>
          </w:p>
        </w:tc>
        <w:tc>
          <w:tcPr>
            <w:tcW w:w="1418" w:type="dxa"/>
            <w:tcBorders>
              <w:top w:val="single" w:sz="6" w:space="0" w:color="9CC2E5"/>
              <w:left w:val="single" w:sz="6" w:space="0" w:color="9CC2E5"/>
              <w:bottom w:val="single" w:sz="6" w:space="0" w:color="9CC2E5"/>
              <w:right w:val="single" w:sz="6" w:space="0" w:color="9CC2E5"/>
            </w:tcBorders>
          </w:tcPr>
          <w:p w14:paraId="610A9EDF" w14:textId="77777777" w:rsidR="004875FB" w:rsidRPr="00D92C13"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c>
          <w:tcPr>
            <w:tcW w:w="3370" w:type="dxa"/>
            <w:tcBorders>
              <w:top w:val="single" w:sz="6" w:space="0" w:color="9CC2E5"/>
              <w:left w:val="single" w:sz="6" w:space="0" w:color="9CC2E5"/>
              <w:bottom w:val="single" w:sz="6" w:space="0" w:color="9CC2E5"/>
              <w:right w:val="single" w:sz="6" w:space="0" w:color="9CC2E5"/>
            </w:tcBorders>
          </w:tcPr>
          <w:p w14:paraId="6F7DC2AD" w14:textId="77777777" w:rsidR="004875FB" w:rsidRPr="00D92C13" w:rsidRDefault="004875FB" w:rsidP="00B1771D">
            <w:pPr>
              <w:suppressAutoHyphens w:val="0"/>
              <w:spacing w:before="0" w:after="0"/>
              <w:jc w:val="left"/>
              <w:textAlignment w:val="auto"/>
              <w:rPr>
                <w:rFonts w:asciiTheme="minorHAnsi" w:eastAsia="Times New Roman" w:hAnsiTheme="minorHAnsi" w:cstheme="minorHAnsi"/>
                <w:sz w:val="20"/>
                <w:szCs w:val="20"/>
                <w:lang w:val="en-US"/>
              </w:rPr>
            </w:pPr>
          </w:p>
        </w:tc>
      </w:tr>
    </w:tbl>
    <w:p w14:paraId="5CC02D44" w14:textId="0F27BD9D" w:rsidR="004875FB" w:rsidRPr="004167F5" w:rsidRDefault="004875FB" w:rsidP="004875FB">
      <w:pPr>
        <w:suppressAutoHyphens w:val="0"/>
        <w:spacing w:before="0" w:after="0"/>
        <w:jc w:val="left"/>
        <w:rPr>
          <w:sz w:val="20"/>
          <w:szCs w:val="20"/>
          <w:lang w:val="es-ES"/>
        </w:rPr>
      </w:pPr>
      <w:r w:rsidRPr="004167F5">
        <w:rPr>
          <w:sz w:val="20"/>
          <w:szCs w:val="20"/>
          <w:lang w:val="es-ES"/>
        </w:rPr>
        <w:t xml:space="preserve">Nota: </w:t>
      </w:r>
      <w:r>
        <w:rPr>
          <w:sz w:val="20"/>
          <w:szCs w:val="20"/>
          <w:lang w:val="es-ES"/>
        </w:rPr>
        <w:t>L</w:t>
      </w:r>
      <w:r w:rsidRPr="004167F5">
        <w:rPr>
          <w:sz w:val="20"/>
          <w:szCs w:val="20"/>
          <w:lang w:val="es-ES"/>
        </w:rPr>
        <w:t>as normas EN son equivalentes a las normas ISO/IEC correspondientes.</w:t>
      </w:r>
      <w:r>
        <w:rPr>
          <w:sz w:val="20"/>
          <w:szCs w:val="20"/>
          <w:lang w:val="es-ES"/>
        </w:rPr>
        <w:t xml:space="preserve"> Terminología en español de acuerdo a UNE-EN 62612:2014 </w:t>
      </w:r>
      <w:r w:rsidRPr="00781A29">
        <w:rPr>
          <w:color w:val="FF0000"/>
          <w:sz w:val="20"/>
          <w:szCs w:val="20"/>
          <w:lang w:val="es-ES"/>
        </w:rPr>
        <w:t>y UNE-EN 62722-2-1:2016</w:t>
      </w:r>
      <w:r>
        <w:rPr>
          <w:sz w:val="20"/>
          <w:szCs w:val="20"/>
          <w:lang w:val="es-ES"/>
        </w:rPr>
        <w:t>.</w:t>
      </w:r>
    </w:p>
    <w:p w14:paraId="53958256" w14:textId="77777777" w:rsidR="004875FB" w:rsidRDefault="004875FB" w:rsidP="004875FB">
      <w:pPr>
        <w:suppressAutoHyphens w:val="0"/>
        <w:rPr>
          <w:lang w:val="es-ES"/>
        </w:rPr>
      </w:pPr>
    </w:p>
    <w:p w14:paraId="213EC85D" w14:textId="77777777" w:rsidR="004875FB" w:rsidRDefault="004875FB">
      <w:pPr>
        <w:suppressAutoHyphens w:val="0"/>
        <w:rPr>
          <w:lang w:val="es-ES"/>
        </w:rPr>
      </w:pPr>
    </w:p>
    <w:p w14:paraId="06312ABA" w14:textId="545BC31C" w:rsidR="009B1CC0" w:rsidRDefault="009B1CC0">
      <w:pPr>
        <w:suppressAutoHyphens w:val="0"/>
        <w:rPr>
          <w:lang w:val="es-ES"/>
        </w:rPr>
      </w:pPr>
    </w:p>
    <w:p w14:paraId="010312B1" w14:textId="77777777" w:rsidR="006B3E87" w:rsidRDefault="006B3E87">
      <w:pPr>
        <w:suppressAutoHyphens w:val="0"/>
        <w:rPr>
          <w:lang w:val="es-ES"/>
        </w:rPr>
        <w:sectPr w:rsidR="006B3E87" w:rsidSect="006B3E87">
          <w:pgSz w:w="16838" w:h="11906" w:orient="landscape"/>
          <w:pgMar w:top="1701" w:right="1418" w:bottom="1701" w:left="993" w:header="708" w:footer="708" w:gutter="0"/>
          <w:cols w:space="720"/>
          <w:docGrid w:linePitch="299"/>
        </w:sectPr>
      </w:pPr>
    </w:p>
    <w:p w14:paraId="6E473569" w14:textId="38EE58A9" w:rsidR="009B1CC0" w:rsidRPr="00316DB7" w:rsidRDefault="009B1CC0" w:rsidP="009B1CC0">
      <w:pPr>
        <w:pStyle w:val="Heading1"/>
        <w:numPr>
          <w:ilvl w:val="0"/>
          <w:numId w:val="0"/>
        </w:numPr>
        <w:rPr>
          <w:lang w:val="es-ES"/>
        </w:rPr>
      </w:pPr>
      <w:bookmarkStart w:id="87" w:name="_Toc516146051"/>
      <w:r w:rsidRPr="00316DB7">
        <w:rPr>
          <w:lang w:val="es-ES"/>
        </w:rPr>
        <w:t xml:space="preserve">Anexo </w:t>
      </w:r>
      <w:r>
        <w:rPr>
          <w:lang w:val="es-ES"/>
        </w:rPr>
        <w:t>1</w:t>
      </w:r>
      <w:r w:rsidR="009B6D93">
        <w:rPr>
          <w:lang w:val="es-ES"/>
        </w:rPr>
        <w:t>5</w:t>
      </w:r>
      <w:r w:rsidRPr="00316DB7">
        <w:rPr>
          <w:lang w:val="es-ES"/>
        </w:rPr>
        <w:t xml:space="preserve"> – </w:t>
      </w:r>
      <w:r>
        <w:rPr>
          <w:lang w:val="es-ES"/>
        </w:rPr>
        <w:t xml:space="preserve">Esquema de contenidos del Reglamento Técnico </w:t>
      </w:r>
      <w:r w:rsidR="00FE71A3">
        <w:rPr>
          <w:lang w:val="es-ES"/>
        </w:rPr>
        <w:t xml:space="preserve">DGNTI-COPANIT </w:t>
      </w:r>
      <w:r>
        <w:rPr>
          <w:lang w:val="es-ES"/>
        </w:rPr>
        <w:t>de eficiencia energética de lámparas de uso general</w:t>
      </w:r>
      <w:bookmarkEnd w:id="87"/>
    </w:p>
    <w:tbl>
      <w:tblPr>
        <w:tblW w:w="5000" w:type="pct"/>
        <w:tblCellMar>
          <w:left w:w="10" w:type="dxa"/>
          <w:right w:w="10" w:type="dxa"/>
        </w:tblCellMar>
        <w:tblLook w:val="0000" w:firstRow="0" w:lastRow="0" w:firstColumn="0" w:lastColumn="0" w:noHBand="0" w:noVBand="0"/>
      </w:tblPr>
      <w:tblGrid>
        <w:gridCol w:w="2686"/>
        <w:gridCol w:w="5810"/>
      </w:tblGrid>
      <w:tr w:rsidR="00063E8C" w:rsidRPr="000D360C" w14:paraId="3E9709E7" w14:textId="77777777" w:rsidTr="00063E8C">
        <w:tc>
          <w:tcPr>
            <w:tcW w:w="2686" w:type="dxa"/>
            <w:tcBorders>
              <w:top w:val="single" w:sz="6" w:space="0" w:color="5B9BD5"/>
              <w:left w:val="single" w:sz="6" w:space="0" w:color="5B9BD5"/>
              <w:bottom w:val="single" w:sz="6" w:space="0" w:color="5B9BD5"/>
            </w:tcBorders>
            <w:shd w:val="clear" w:color="auto" w:fill="5B9BD5"/>
            <w:tcMar>
              <w:top w:w="0" w:type="dxa"/>
              <w:left w:w="108" w:type="dxa"/>
              <w:bottom w:w="0" w:type="dxa"/>
              <w:right w:w="108" w:type="dxa"/>
            </w:tcMar>
          </w:tcPr>
          <w:p w14:paraId="2556B239" w14:textId="5D480288" w:rsidR="00063E8C" w:rsidRPr="00CC334B" w:rsidRDefault="00063E8C" w:rsidP="00063E8C">
            <w:pPr>
              <w:suppressAutoHyphens w:val="0"/>
              <w:spacing w:before="0" w:after="0"/>
              <w:jc w:val="center"/>
              <w:textAlignment w:val="auto"/>
              <w:rPr>
                <w:rFonts w:eastAsia="Times New Roman"/>
                <w:b/>
                <w:color w:val="FFFFFF" w:themeColor="background1"/>
                <w:lang w:val="es-ES"/>
              </w:rPr>
            </w:pPr>
            <w:r>
              <w:rPr>
                <w:rFonts w:eastAsia="Times New Roman"/>
                <w:b/>
                <w:color w:val="FFFFFF" w:themeColor="background1"/>
                <w:lang w:val="es-ES"/>
              </w:rPr>
              <w:t>Índice</w:t>
            </w:r>
          </w:p>
        </w:tc>
        <w:tc>
          <w:tcPr>
            <w:tcW w:w="5810" w:type="dxa"/>
            <w:tcBorders>
              <w:top w:val="single" w:sz="6" w:space="0" w:color="5B9BD5"/>
              <w:bottom w:val="single" w:sz="6" w:space="0" w:color="5B9BD5"/>
            </w:tcBorders>
            <w:shd w:val="clear" w:color="auto" w:fill="5B9BD5"/>
            <w:tcMar>
              <w:top w:w="0" w:type="dxa"/>
              <w:left w:w="108" w:type="dxa"/>
              <w:bottom w:w="0" w:type="dxa"/>
              <w:right w:w="108" w:type="dxa"/>
            </w:tcMar>
          </w:tcPr>
          <w:p w14:paraId="0A000A47" w14:textId="46DDCFBA" w:rsidR="00063E8C" w:rsidRPr="00B56A15" w:rsidRDefault="00063E8C" w:rsidP="00063E8C">
            <w:pPr>
              <w:suppressAutoHyphens w:val="0"/>
              <w:spacing w:before="0" w:after="0"/>
              <w:jc w:val="center"/>
              <w:textAlignment w:val="auto"/>
              <w:rPr>
                <w:rFonts w:eastAsia="Times New Roman"/>
                <w:color w:val="FFFFFF" w:themeColor="background1"/>
                <w:lang w:val="es-ES"/>
              </w:rPr>
            </w:pPr>
            <w:r>
              <w:rPr>
                <w:rFonts w:cs="Calibri"/>
                <w:b/>
                <w:bCs/>
                <w:color w:val="FFFFFF" w:themeColor="background1"/>
                <w:lang w:val="es-PA"/>
              </w:rPr>
              <w:t>Contenido principal</w:t>
            </w:r>
          </w:p>
        </w:tc>
      </w:tr>
      <w:tr w:rsidR="00063E8C" w:rsidRPr="00914127" w14:paraId="19D43B05" w14:textId="77777777" w:rsidTr="006E380B">
        <w:trPr>
          <w:cantSplit/>
        </w:trPr>
        <w:tc>
          <w:tcPr>
            <w:tcW w:w="2686"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12954EA" w14:textId="317234BA" w:rsidR="00063E8C" w:rsidRPr="00520193" w:rsidRDefault="00063E8C" w:rsidP="009B1C08">
            <w:pPr>
              <w:pStyle w:val="ListParagraph"/>
              <w:suppressAutoHyphens w:val="0"/>
              <w:spacing w:before="40" w:after="40"/>
              <w:ind w:left="0"/>
              <w:jc w:val="left"/>
              <w:textAlignment w:val="auto"/>
              <w:rPr>
                <w:rFonts w:eastAsia="Times New Roman"/>
                <w:lang w:val="es-ES"/>
              </w:rPr>
            </w:pPr>
            <w:r>
              <w:rPr>
                <w:rFonts w:eastAsia="Times New Roman"/>
                <w:lang w:val="es-ES"/>
              </w:rPr>
              <w:t>1. Objeto</w:t>
            </w:r>
          </w:p>
        </w:tc>
        <w:tc>
          <w:tcPr>
            <w:tcW w:w="58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6A640301" w14:textId="725C2B77" w:rsidR="00063E8C" w:rsidRPr="00316DB7" w:rsidRDefault="00063E8C" w:rsidP="001462CF">
            <w:pPr>
              <w:pStyle w:val="ListParagraph"/>
              <w:suppressAutoHyphens w:val="0"/>
              <w:spacing w:before="40" w:after="40"/>
              <w:ind w:left="0"/>
              <w:jc w:val="left"/>
              <w:textAlignment w:val="auto"/>
              <w:rPr>
                <w:rFonts w:eastAsia="Times New Roman"/>
                <w:lang w:val="es-ES"/>
              </w:rPr>
            </w:pPr>
            <w:r>
              <w:rPr>
                <w:rFonts w:eastAsia="Times New Roman"/>
                <w:lang w:val="es-ES"/>
              </w:rPr>
              <w:t>El presente reglamento técnico establece los límites de desempeño energético mínimo</w:t>
            </w:r>
            <w:r w:rsidR="003362D1">
              <w:rPr>
                <w:rFonts w:eastAsia="Times New Roman"/>
                <w:lang w:val="es-ES"/>
              </w:rPr>
              <w:t>,</w:t>
            </w:r>
            <w:r>
              <w:rPr>
                <w:rFonts w:eastAsia="Times New Roman"/>
                <w:lang w:val="es-ES"/>
              </w:rPr>
              <w:t xml:space="preserve"> las características de funciona</w:t>
            </w:r>
            <w:r w:rsidR="001462CF">
              <w:rPr>
                <w:rFonts w:eastAsia="Times New Roman"/>
                <w:lang w:val="es-ES"/>
              </w:rPr>
              <w:t>lidad</w:t>
            </w:r>
            <w:r>
              <w:rPr>
                <w:rFonts w:eastAsia="Times New Roman"/>
                <w:lang w:val="es-ES"/>
              </w:rPr>
              <w:t xml:space="preserve"> </w:t>
            </w:r>
            <w:r w:rsidR="003362D1">
              <w:rPr>
                <w:rFonts w:eastAsia="Times New Roman"/>
                <w:lang w:val="es-ES"/>
              </w:rPr>
              <w:t xml:space="preserve">y los requisitos de etiquetado energético </w:t>
            </w:r>
            <w:r>
              <w:rPr>
                <w:rFonts w:eastAsia="Times New Roman"/>
                <w:lang w:val="es-ES"/>
              </w:rPr>
              <w:t>para las lámparas de uso general para la iluminación de interiores y de exteriores</w:t>
            </w:r>
            <w:r w:rsidR="003362D1">
              <w:rPr>
                <w:rFonts w:eastAsia="Times New Roman"/>
                <w:lang w:val="es-ES"/>
              </w:rPr>
              <w:t xml:space="preserve">, así como los procedimientos de evaluación de la </w:t>
            </w:r>
            <w:r w:rsidR="003362D1" w:rsidRPr="00C37086">
              <w:rPr>
                <w:rFonts w:eastAsia="Times New Roman"/>
                <w:lang w:val="es-ES"/>
              </w:rPr>
              <w:t>conformidad y de vigilancia</w:t>
            </w:r>
            <w:r w:rsidRPr="00C37086">
              <w:rPr>
                <w:rFonts w:eastAsia="Times New Roman"/>
                <w:lang w:val="es-ES"/>
              </w:rPr>
              <w:t>.</w:t>
            </w:r>
          </w:p>
        </w:tc>
      </w:tr>
      <w:tr w:rsidR="00063E8C" w:rsidRPr="003362D1" w14:paraId="1E51D730" w14:textId="77777777" w:rsidTr="006E380B">
        <w:trPr>
          <w:cantSplit/>
        </w:trPr>
        <w:tc>
          <w:tcPr>
            <w:tcW w:w="2686"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7DE8F9BE" w14:textId="7F53C7FD" w:rsidR="00063E8C" w:rsidRPr="000C68E2" w:rsidRDefault="00063E8C" w:rsidP="009B1C08">
            <w:pPr>
              <w:suppressAutoHyphens w:val="0"/>
              <w:spacing w:before="40" w:after="40"/>
              <w:jc w:val="left"/>
              <w:textAlignment w:val="auto"/>
              <w:rPr>
                <w:rFonts w:eastAsia="Times New Roman"/>
                <w:lang w:val="es-ES"/>
              </w:rPr>
            </w:pPr>
            <w:r>
              <w:rPr>
                <w:rFonts w:eastAsia="Times New Roman"/>
                <w:lang w:val="es-ES"/>
              </w:rPr>
              <w:t>2. Alcance</w:t>
            </w:r>
          </w:p>
        </w:tc>
        <w:tc>
          <w:tcPr>
            <w:tcW w:w="58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75DB8EF" w14:textId="181EBAD1" w:rsidR="009B1C08" w:rsidRDefault="003362D1" w:rsidP="009B1C08">
            <w:pPr>
              <w:pStyle w:val="ListParagraph"/>
              <w:suppressAutoHyphens w:val="0"/>
              <w:spacing w:before="40" w:after="40"/>
              <w:ind w:left="0"/>
              <w:jc w:val="left"/>
              <w:textAlignment w:val="auto"/>
              <w:rPr>
                <w:rFonts w:eastAsia="Times New Roman"/>
                <w:lang w:val="es-ES"/>
              </w:rPr>
            </w:pPr>
            <w:r>
              <w:rPr>
                <w:rFonts w:eastAsia="Times New Roman"/>
                <w:lang w:val="es-ES"/>
              </w:rPr>
              <w:t xml:space="preserve">Lámparas de uso general destinadas a la iluminación de interiores y de exteriores, incluidas las lámparas incandescentes e incandescentes con halógenos, lámparas fluorescentes lineales, lámparas fluorescentes compactas autobalastradas, lámparas LED integradas, luminarias con elementos LED, lámparas de descarga en alta intensidad (lámparas de vapor de mercurio </w:t>
            </w:r>
            <w:r w:rsidR="00B12B02">
              <w:rPr>
                <w:rFonts w:eastAsia="Times New Roman"/>
                <w:lang w:val="es-ES"/>
              </w:rPr>
              <w:t>a</w:t>
            </w:r>
            <w:r>
              <w:rPr>
                <w:rFonts w:eastAsia="Times New Roman"/>
                <w:lang w:val="es-ES"/>
              </w:rPr>
              <w:t xml:space="preserve"> alta </w:t>
            </w:r>
            <w:r w:rsidR="00B12B02">
              <w:rPr>
                <w:rFonts w:eastAsia="Times New Roman"/>
                <w:lang w:val="es-ES"/>
              </w:rPr>
              <w:t>presión</w:t>
            </w:r>
            <w:r>
              <w:rPr>
                <w:rFonts w:eastAsia="Times New Roman"/>
                <w:lang w:val="es-ES"/>
              </w:rPr>
              <w:t xml:space="preserve">, lámparas </w:t>
            </w:r>
            <w:r w:rsidR="009B1C08">
              <w:rPr>
                <w:rFonts w:eastAsia="Times New Roman"/>
                <w:lang w:val="es-ES"/>
              </w:rPr>
              <w:t>de hal</w:t>
            </w:r>
            <w:r w:rsidR="000B2725">
              <w:rPr>
                <w:rFonts w:eastAsia="Times New Roman"/>
                <w:lang w:val="es-ES"/>
              </w:rPr>
              <w:t>o</w:t>
            </w:r>
            <w:r w:rsidR="009B1C08">
              <w:rPr>
                <w:rFonts w:eastAsia="Times New Roman"/>
                <w:lang w:val="es-ES"/>
              </w:rPr>
              <w:t xml:space="preserve">genuros metálicos, lámparas de vapor de sodio </w:t>
            </w:r>
            <w:r w:rsidR="002D0124">
              <w:rPr>
                <w:rFonts w:eastAsia="Times New Roman"/>
                <w:lang w:val="es-ES"/>
              </w:rPr>
              <w:t>a</w:t>
            </w:r>
            <w:r w:rsidR="009B1C08">
              <w:rPr>
                <w:rFonts w:eastAsia="Times New Roman"/>
                <w:lang w:val="es-ES"/>
              </w:rPr>
              <w:t xml:space="preserve"> alta presión)</w:t>
            </w:r>
          </w:p>
          <w:p w14:paraId="4CA62E7A" w14:textId="48799392" w:rsidR="00063E8C" w:rsidRPr="00520193" w:rsidRDefault="009B1C08" w:rsidP="009B1C08">
            <w:pPr>
              <w:pStyle w:val="ListParagraph"/>
              <w:suppressAutoHyphens w:val="0"/>
              <w:spacing w:before="40" w:after="40"/>
              <w:ind w:left="0"/>
              <w:jc w:val="left"/>
              <w:textAlignment w:val="auto"/>
              <w:rPr>
                <w:rFonts w:eastAsia="Times New Roman"/>
                <w:lang w:val="es-ES"/>
              </w:rPr>
            </w:pPr>
            <w:r>
              <w:rPr>
                <w:rFonts w:eastAsia="Times New Roman"/>
                <w:lang w:val="es-ES"/>
              </w:rPr>
              <w:t>Excepciones</w:t>
            </w:r>
            <w:r w:rsidR="003362D1">
              <w:rPr>
                <w:rFonts w:eastAsia="Times New Roman"/>
                <w:lang w:val="es-ES"/>
              </w:rPr>
              <w:t xml:space="preserve"> </w:t>
            </w:r>
          </w:p>
        </w:tc>
      </w:tr>
      <w:tr w:rsidR="00063E8C" w:rsidRPr="00914127" w14:paraId="2C22E2CC" w14:textId="77777777" w:rsidTr="006E380B">
        <w:trPr>
          <w:cantSplit/>
        </w:trPr>
        <w:tc>
          <w:tcPr>
            <w:tcW w:w="2686"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ED09166" w14:textId="10BA99E7" w:rsidR="00063E8C" w:rsidRPr="000C68E2" w:rsidRDefault="00063E8C" w:rsidP="009B1C08">
            <w:pPr>
              <w:suppressAutoHyphens w:val="0"/>
              <w:spacing w:before="40" w:after="40"/>
              <w:jc w:val="left"/>
              <w:textAlignment w:val="auto"/>
              <w:rPr>
                <w:rFonts w:eastAsia="Times New Roman"/>
                <w:lang w:val="es-ES"/>
              </w:rPr>
            </w:pPr>
            <w:r>
              <w:rPr>
                <w:rFonts w:eastAsia="Times New Roman"/>
                <w:lang w:val="es-ES"/>
              </w:rPr>
              <w:t>3. Referencias</w:t>
            </w:r>
          </w:p>
        </w:tc>
        <w:tc>
          <w:tcPr>
            <w:tcW w:w="58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266C867" w14:textId="5D23DFED" w:rsidR="00063E8C" w:rsidRPr="00520193" w:rsidRDefault="009B1C08" w:rsidP="009B1C08">
            <w:pPr>
              <w:pStyle w:val="ListParagraph"/>
              <w:suppressAutoHyphens w:val="0"/>
              <w:spacing w:before="40" w:after="40"/>
              <w:ind w:left="0"/>
              <w:jc w:val="left"/>
              <w:textAlignment w:val="auto"/>
              <w:rPr>
                <w:rFonts w:eastAsia="Times New Roman"/>
                <w:lang w:val="es-ES"/>
              </w:rPr>
            </w:pPr>
            <w:r>
              <w:rPr>
                <w:rFonts w:eastAsia="Times New Roman"/>
                <w:lang w:val="es-ES"/>
              </w:rPr>
              <w:t>Incluir reglamentos y normas utilizados (parcialmente) para la elaboración de este reglamento técnico</w:t>
            </w:r>
          </w:p>
        </w:tc>
      </w:tr>
      <w:tr w:rsidR="00063E8C" w:rsidRPr="00914127" w14:paraId="450FF1E5" w14:textId="77777777" w:rsidTr="006E380B">
        <w:trPr>
          <w:cantSplit/>
        </w:trPr>
        <w:tc>
          <w:tcPr>
            <w:tcW w:w="2686"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8990B0A" w14:textId="3047C4C0" w:rsidR="00063E8C" w:rsidRPr="000C68E2" w:rsidRDefault="00063E8C" w:rsidP="000B2725">
            <w:pPr>
              <w:suppressAutoHyphens w:val="0"/>
              <w:spacing w:before="0" w:after="0"/>
              <w:jc w:val="left"/>
              <w:textAlignment w:val="auto"/>
              <w:rPr>
                <w:rFonts w:eastAsia="Times New Roman"/>
                <w:lang w:val="es-ES"/>
              </w:rPr>
            </w:pPr>
            <w:r>
              <w:rPr>
                <w:rFonts w:eastAsia="Times New Roman"/>
                <w:lang w:val="es-ES"/>
              </w:rPr>
              <w:t>4. Definiciones</w:t>
            </w:r>
          </w:p>
        </w:tc>
        <w:tc>
          <w:tcPr>
            <w:tcW w:w="58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2496762" w14:textId="24E6D3FE" w:rsidR="00063E8C" w:rsidRPr="00520193" w:rsidRDefault="009B1C08" w:rsidP="001C1BF6">
            <w:pPr>
              <w:pStyle w:val="ListParagraph"/>
              <w:suppressAutoHyphens w:val="0"/>
              <w:spacing w:before="0" w:after="0"/>
              <w:ind w:left="0"/>
              <w:jc w:val="left"/>
              <w:textAlignment w:val="auto"/>
              <w:rPr>
                <w:rFonts w:eastAsia="Times New Roman"/>
                <w:lang w:val="es-ES"/>
              </w:rPr>
            </w:pPr>
            <w:r>
              <w:rPr>
                <w:rFonts w:eastAsia="Times New Roman"/>
                <w:lang w:val="es-ES"/>
              </w:rPr>
              <w:t xml:space="preserve">Incluir definiciones de las lámparas incluidas en el alcance del RT y de los términos técnicos </w:t>
            </w:r>
            <w:r w:rsidR="001C1BF6">
              <w:rPr>
                <w:rFonts w:eastAsia="Times New Roman"/>
                <w:lang w:val="es-ES"/>
              </w:rPr>
              <w:t>incluidos en el RT</w:t>
            </w:r>
          </w:p>
        </w:tc>
      </w:tr>
      <w:tr w:rsidR="00063E8C" w:rsidRPr="00914127" w14:paraId="103B92BF" w14:textId="77777777" w:rsidTr="006E380B">
        <w:trPr>
          <w:cantSplit/>
        </w:trPr>
        <w:tc>
          <w:tcPr>
            <w:tcW w:w="2686"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DEC6298" w14:textId="4FC5781D" w:rsidR="00063E8C" w:rsidRPr="000C68E2" w:rsidRDefault="00063E8C" w:rsidP="00E72F7C">
            <w:pPr>
              <w:suppressAutoHyphens w:val="0"/>
              <w:spacing w:before="0" w:after="0"/>
              <w:jc w:val="left"/>
              <w:textAlignment w:val="auto"/>
              <w:rPr>
                <w:rFonts w:eastAsia="Times New Roman"/>
                <w:lang w:val="es-ES"/>
              </w:rPr>
            </w:pPr>
            <w:r>
              <w:rPr>
                <w:rFonts w:eastAsia="Times New Roman"/>
                <w:lang w:val="es-ES"/>
              </w:rPr>
              <w:t xml:space="preserve">5. Límites de desempeño </w:t>
            </w:r>
            <w:r w:rsidRPr="00E72F7C">
              <w:rPr>
                <w:rFonts w:eastAsia="Times New Roman"/>
                <w:lang w:val="es-ES"/>
              </w:rPr>
              <w:t>energético</w:t>
            </w:r>
            <w:r w:rsidR="001C1BF6" w:rsidRPr="00E72F7C">
              <w:rPr>
                <w:rFonts w:eastAsia="Times New Roman"/>
                <w:lang w:val="es-ES"/>
              </w:rPr>
              <w:t xml:space="preserve"> y </w:t>
            </w:r>
            <w:r w:rsidR="00E72F7C" w:rsidRPr="00E72F7C">
              <w:rPr>
                <w:rFonts w:eastAsia="Times New Roman"/>
                <w:lang w:val="es-ES"/>
              </w:rPr>
              <w:t>requisitos de funcionalidad</w:t>
            </w:r>
          </w:p>
        </w:tc>
        <w:tc>
          <w:tcPr>
            <w:tcW w:w="58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7516CA1B" w14:textId="77777777" w:rsidR="00063E8C" w:rsidRDefault="001C1BF6" w:rsidP="00063E8C">
            <w:pPr>
              <w:pStyle w:val="ListParagraph"/>
              <w:suppressAutoHyphens w:val="0"/>
              <w:spacing w:before="0" w:after="0"/>
              <w:ind w:left="0"/>
              <w:jc w:val="left"/>
              <w:textAlignment w:val="auto"/>
              <w:rPr>
                <w:rFonts w:eastAsia="Times New Roman"/>
                <w:lang w:val="es-ES"/>
              </w:rPr>
            </w:pPr>
            <w:r>
              <w:rPr>
                <w:rFonts w:eastAsia="Times New Roman"/>
                <w:lang w:val="es-ES"/>
              </w:rPr>
              <w:t>Límites de desempeño energético (eficacia luminosa) para las lámparas incluidas en el alcance del RT</w:t>
            </w:r>
          </w:p>
          <w:p w14:paraId="008F3046" w14:textId="41942657" w:rsidR="00945120" w:rsidRPr="00520193" w:rsidRDefault="00E72F7C" w:rsidP="00E72F7C">
            <w:pPr>
              <w:pStyle w:val="ListParagraph"/>
              <w:suppressAutoHyphens w:val="0"/>
              <w:spacing w:before="0" w:after="0"/>
              <w:ind w:left="0"/>
              <w:jc w:val="left"/>
              <w:textAlignment w:val="auto"/>
              <w:rPr>
                <w:rFonts w:eastAsia="Times New Roman"/>
                <w:lang w:val="es-ES"/>
              </w:rPr>
            </w:pPr>
            <w:r>
              <w:rPr>
                <w:rFonts w:eastAsia="Times New Roman"/>
                <w:lang w:val="es-ES"/>
              </w:rPr>
              <w:t xml:space="preserve">Requisitos de </w:t>
            </w:r>
            <w:r w:rsidR="00945120">
              <w:rPr>
                <w:rFonts w:eastAsia="Times New Roman"/>
                <w:lang w:val="es-ES"/>
              </w:rPr>
              <w:t>funciona</w:t>
            </w:r>
            <w:r>
              <w:rPr>
                <w:rFonts w:eastAsia="Times New Roman"/>
                <w:lang w:val="es-ES"/>
              </w:rPr>
              <w:t>lidad</w:t>
            </w:r>
            <w:r w:rsidR="00945120">
              <w:rPr>
                <w:rFonts w:eastAsia="Times New Roman"/>
                <w:lang w:val="es-ES"/>
              </w:rPr>
              <w:t xml:space="preserve"> de las </w:t>
            </w:r>
            <w:r w:rsidR="00945120" w:rsidRPr="000B2725">
              <w:rPr>
                <w:rFonts w:eastAsia="Times New Roman"/>
                <w:lang w:val="es-ES"/>
              </w:rPr>
              <w:t xml:space="preserve">lámparas: </w:t>
            </w:r>
            <w:r w:rsidR="000B2725">
              <w:rPr>
                <w:rFonts w:eastAsia="Times New Roman"/>
                <w:lang w:val="es-ES"/>
              </w:rPr>
              <w:t xml:space="preserve">índice de rendimiento de color, vida útil asignada, factor de mantenimiento del flujo luminoso, tiempo de encendido, </w:t>
            </w:r>
            <w:r>
              <w:rPr>
                <w:rFonts w:eastAsia="Times New Roman"/>
                <w:lang w:val="es-ES"/>
              </w:rPr>
              <w:t xml:space="preserve">número de ciclos de conmutación, </w:t>
            </w:r>
            <w:r w:rsidR="000B2725">
              <w:rPr>
                <w:rFonts w:eastAsia="Times New Roman"/>
                <w:lang w:val="es-ES"/>
              </w:rPr>
              <w:t>contenido de mercurio (en su caso)</w:t>
            </w:r>
            <w:r>
              <w:rPr>
                <w:rFonts w:eastAsia="Times New Roman"/>
                <w:lang w:val="es-ES"/>
              </w:rPr>
              <w:t>, entre otros.</w:t>
            </w:r>
            <w:r>
              <w:rPr>
                <w:rStyle w:val="FootnoteReference"/>
                <w:rFonts w:eastAsia="Times New Roman"/>
              </w:rPr>
              <w:footnoteReference w:id="115"/>
            </w:r>
            <w:r w:rsidR="00945120">
              <w:rPr>
                <w:rFonts w:eastAsia="Times New Roman"/>
                <w:lang w:val="es-ES"/>
              </w:rPr>
              <w:t xml:space="preserve"> </w:t>
            </w:r>
          </w:p>
        </w:tc>
      </w:tr>
      <w:tr w:rsidR="00063E8C" w:rsidRPr="00914127" w14:paraId="3FDB17CE" w14:textId="77777777" w:rsidTr="006E380B">
        <w:trPr>
          <w:cantSplit/>
        </w:trPr>
        <w:tc>
          <w:tcPr>
            <w:tcW w:w="2686"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DD76B75" w14:textId="43135642" w:rsidR="00063E8C" w:rsidRPr="000C68E2" w:rsidRDefault="00063E8C" w:rsidP="000B2725">
            <w:pPr>
              <w:suppressAutoHyphens w:val="0"/>
              <w:spacing w:before="0" w:after="0"/>
              <w:jc w:val="left"/>
              <w:textAlignment w:val="auto"/>
              <w:rPr>
                <w:rFonts w:eastAsia="Times New Roman"/>
                <w:lang w:val="es-ES"/>
              </w:rPr>
            </w:pPr>
            <w:r>
              <w:rPr>
                <w:rFonts w:eastAsia="Times New Roman"/>
                <w:lang w:val="es-ES"/>
              </w:rPr>
              <w:t>6. Métodos de prueba</w:t>
            </w:r>
          </w:p>
        </w:tc>
        <w:tc>
          <w:tcPr>
            <w:tcW w:w="58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DAC36F6" w14:textId="35A30D86" w:rsidR="00063E8C" w:rsidRDefault="001C1BF6" w:rsidP="00063E8C">
            <w:pPr>
              <w:pStyle w:val="ListParagraph"/>
              <w:suppressAutoHyphens w:val="0"/>
              <w:spacing w:before="0" w:after="0"/>
              <w:ind w:left="0"/>
              <w:jc w:val="left"/>
              <w:textAlignment w:val="auto"/>
              <w:rPr>
                <w:rFonts w:eastAsia="Times New Roman"/>
                <w:lang w:val="es-ES"/>
              </w:rPr>
            </w:pPr>
            <w:r>
              <w:rPr>
                <w:rFonts w:eastAsia="Times New Roman"/>
                <w:lang w:val="es-ES"/>
              </w:rPr>
              <w:t xml:space="preserve">Opción 1: </w:t>
            </w:r>
            <w:r w:rsidRPr="001C1BF6">
              <w:rPr>
                <w:rFonts w:eastAsia="Times New Roman"/>
                <w:lang w:val="es-ES"/>
              </w:rPr>
              <w:t>Para comprobar la conformidad con los requisitos</w:t>
            </w:r>
            <w:r>
              <w:rPr>
                <w:rFonts w:eastAsia="Times New Roman"/>
                <w:lang w:val="es-ES"/>
              </w:rPr>
              <w:t xml:space="preserve"> de este reglamento técnico</w:t>
            </w:r>
            <w:r w:rsidRPr="001C1BF6">
              <w:rPr>
                <w:rFonts w:eastAsia="Times New Roman"/>
                <w:lang w:val="es-ES"/>
              </w:rPr>
              <w:t xml:space="preserve">, </w:t>
            </w:r>
            <w:r w:rsidR="00A25AF6">
              <w:rPr>
                <w:rFonts w:eastAsia="Times New Roman"/>
                <w:lang w:val="es-ES"/>
              </w:rPr>
              <w:t>se</w:t>
            </w:r>
            <w:r w:rsidRPr="001C1BF6">
              <w:rPr>
                <w:rFonts w:eastAsia="Times New Roman"/>
                <w:lang w:val="es-ES"/>
              </w:rPr>
              <w:t xml:space="preserve"> utilizarán métodos de medición exactos y fiables, de última generación</w:t>
            </w:r>
          </w:p>
          <w:p w14:paraId="6C422039" w14:textId="5789EFE7" w:rsidR="001C1BF6" w:rsidRPr="00520193" w:rsidRDefault="001C1BF6" w:rsidP="00063E8C">
            <w:pPr>
              <w:pStyle w:val="ListParagraph"/>
              <w:suppressAutoHyphens w:val="0"/>
              <w:spacing w:before="0" w:after="0"/>
              <w:ind w:left="0"/>
              <w:jc w:val="left"/>
              <w:textAlignment w:val="auto"/>
              <w:rPr>
                <w:rFonts w:eastAsia="Times New Roman"/>
                <w:lang w:val="es-ES"/>
              </w:rPr>
            </w:pPr>
            <w:r>
              <w:rPr>
                <w:rFonts w:eastAsia="Times New Roman"/>
                <w:lang w:val="es-ES"/>
              </w:rPr>
              <w:t xml:space="preserve">Opción 2: Incluir lista </w:t>
            </w:r>
            <w:r w:rsidR="002B165A">
              <w:rPr>
                <w:rFonts w:eastAsia="Times New Roman"/>
                <w:lang w:val="es-ES"/>
              </w:rPr>
              <w:t xml:space="preserve">de los títulos </w:t>
            </w:r>
            <w:r>
              <w:rPr>
                <w:rFonts w:eastAsia="Times New Roman"/>
                <w:lang w:val="es-ES"/>
              </w:rPr>
              <w:t>de las normas técnicas DGNTI-COPANIT prescritos para aplicación obligatoria</w:t>
            </w:r>
          </w:p>
        </w:tc>
      </w:tr>
      <w:tr w:rsidR="00063E8C" w:rsidRPr="00914127" w14:paraId="50023672" w14:textId="77777777" w:rsidTr="006E380B">
        <w:trPr>
          <w:cantSplit/>
        </w:trPr>
        <w:tc>
          <w:tcPr>
            <w:tcW w:w="2686"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32CFF4B" w14:textId="752FC9FE" w:rsidR="00063E8C" w:rsidRPr="000C68E2" w:rsidRDefault="00063E8C" w:rsidP="00896F47">
            <w:pPr>
              <w:suppressAutoHyphens w:val="0"/>
              <w:spacing w:before="0" w:after="0"/>
              <w:jc w:val="left"/>
              <w:textAlignment w:val="auto"/>
              <w:rPr>
                <w:rFonts w:eastAsia="Times New Roman"/>
                <w:lang w:val="es-ES"/>
              </w:rPr>
            </w:pPr>
            <w:r>
              <w:rPr>
                <w:rFonts w:eastAsia="Times New Roman"/>
                <w:lang w:val="es-ES"/>
              </w:rPr>
              <w:t xml:space="preserve">7. Etiquetado </w:t>
            </w:r>
            <w:r w:rsidR="00896F47">
              <w:rPr>
                <w:rFonts w:eastAsia="Times New Roman"/>
                <w:lang w:val="es-ES"/>
              </w:rPr>
              <w:t xml:space="preserve">y requisitos de </w:t>
            </w:r>
            <w:r>
              <w:rPr>
                <w:rFonts w:eastAsia="Times New Roman"/>
                <w:lang w:val="es-ES"/>
              </w:rPr>
              <w:t>información al consumidor</w:t>
            </w:r>
          </w:p>
        </w:tc>
        <w:tc>
          <w:tcPr>
            <w:tcW w:w="58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511F533D" w14:textId="32B17B6D" w:rsidR="00896F47" w:rsidRDefault="002B165A" w:rsidP="00063E8C">
            <w:pPr>
              <w:pStyle w:val="ListParagraph"/>
              <w:suppressAutoHyphens w:val="0"/>
              <w:spacing w:before="0" w:after="0"/>
              <w:ind w:left="0"/>
              <w:jc w:val="left"/>
              <w:textAlignment w:val="auto"/>
              <w:rPr>
                <w:rFonts w:eastAsia="Times New Roman"/>
                <w:lang w:val="es-ES"/>
              </w:rPr>
            </w:pPr>
            <w:r>
              <w:rPr>
                <w:rFonts w:eastAsia="Times New Roman"/>
                <w:lang w:val="es-ES"/>
              </w:rPr>
              <w:t>Etiquetado: Representación gráfica y descripción detallada del diseño y del contenido de la etiqueta</w:t>
            </w:r>
            <w:r w:rsidR="00896F47">
              <w:rPr>
                <w:rFonts w:eastAsia="Times New Roman"/>
                <w:lang w:val="es-ES"/>
              </w:rPr>
              <w:t>; disposiciones con respecto a la obligación de colocar la etiqueta, su permanencia y ubicación</w:t>
            </w:r>
          </w:p>
          <w:p w14:paraId="004AC8B3" w14:textId="18B7ADE3" w:rsidR="00063E8C" w:rsidRPr="00520193" w:rsidRDefault="00896F47" w:rsidP="00063E8C">
            <w:pPr>
              <w:pStyle w:val="ListParagraph"/>
              <w:suppressAutoHyphens w:val="0"/>
              <w:spacing w:before="0" w:after="0"/>
              <w:ind w:left="0"/>
              <w:jc w:val="left"/>
              <w:textAlignment w:val="auto"/>
              <w:rPr>
                <w:rFonts w:eastAsia="Times New Roman"/>
                <w:lang w:val="es-ES"/>
              </w:rPr>
            </w:pPr>
            <w:r>
              <w:rPr>
                <w:rFonts w:eastAsia="Times New Roman"/>
                <w:lang w:val="es-ES"/>
              </w:rPr>
              <w:t>Requisitos de información al consumidor: contenido y forma de información que debe estar imprenta en el embalaje de la lámpara (además de la información incluida en la etiqueta)</w:t>
            </w:r>
          </w:p>
        </w:tc>
      </w:tr>
      <w:tr w:rsidR="00063E8C" w:rsidRPr="00914127" w14:paraId="5A1E0FD3" w14:textId="77777777" w:rsidTr="00BF7E47">
        <w:trPr>
          <w:cantSplit/>
        </w:trPr>
        <w:tc>
          <w:tcPr>
            <w:tcW w:w="2686"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4F874936" w14:textId="53E77077" w:rsidR="00063E8C" w:rsidRPr="000C68E2" w:rsidRDefault="00E84F8A" w:rsidP="00E84F8A">
            <w:pPr>
              <w:suppressAutoHyphens w:val="0"/>
              <w:spacing w:before="0" w:after="0"/>
              <w:jc w:val="left"/>
              <w:textAlignment w:val="auto"/>
              <w:rPr>
                <w:rFonts w:eastAsia="Times New Roman"/>
                <w:lang w:val="es-ES"/>
              </w:rPr>
            </w:pPr>
            <w:r>
              <w:rPr>
                <w:rFonts w:eastAsia="Times New Roman"/>
                <w:lang w:val="es-ES"/>
              </w:rPr>
              <w:t>8</w:t>
            </w:r>
            <w:r w:rsidR="00063E8C">
              <w:rPr>
                <w:rFonts w:eastAsia="Times New Roman"/>
                <w:lang w:val="es-ES"/>
              </w:rPr>
              <w:t>. Evaluación de la conformidad</w:t>
            </w:r>
          </w:p>
        </w:tc>
        <w:tc>
          <w:tcPr>
            <w:tcW w:w="58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53FDA4EA" w14:textId="4721786C" w:rsidR="00D219FE" w:rsidRDefault="00D219FE" w:rsidP="00063E8C">
            <w:pPr>
              <w:pStyle w:val="ListParagraph"/>
              <w:suppressAutoHyphens w:val="0"/>
              <w:spacing w:before="0" w:after="0"/>
              <w:ind w:left="0"/>
              <w:jc w:val="left"/>
              <w:textAlignment w:val="auto"/>
              <w:rPr>
                <w:rFonts w:eastAsia="Times New Roman"/>
                <w:lang w:val="es-ES"/>
              </w:rPr>
            </w:pPr>
            <w:r>
              <w:rPr>
                <w:rFonts w:eastAsia="Times New Roman"/>
                <w:lang w:val="es-ES"/>
              </w:rPr>
              <w:t xml:space="preserve">Estipulaciones con respecto al Certificado de Conformidad, requisitos para laboratorios de prueba, organismos de certificación, acreditación y reconocimiento, de acuerdo al marco legal vigente </w:t>
            </w:r>
          </w:p>
          <w:p w14:paraId="69EDAD1C" w14:textId="75707E8E" w:rsidR="00D219FE" w:rsidRDefault="00D219FE" w:rsidP="00063E8C">
            <w:pPr>
              <w:pStyle w:val="ListParagraph"/>
              <w:suppressAutoHyphens w:val="0"/>
              <w:spacing w:before="0" w:after="0"/>
              <w:ind w:left="0"/>
              <w:jc w:val="left"/>
              <w:textAlignment w:val="auto"/>
              <w:rPr>
                <w:rFonts w:eastAsia="Times New Roman"/>
                <w:lang w:val="es-ES"/>
              </w:rPr>
            </w:pPr>
            <w:r>
              <w:rPr>
                <w:rFonts w:eastAsia="Times New Roman"/>
                <w:lang w:val="es-ES"/>
              </w:rPr>
              <w:t>Procedimientos de evaluación de la conformidad de acuerdo a los esquemas 3 y 5 de ISO/IEC 17067</w:t>
            </w:r>
          </w:p>
          <w:p w14:paraId="14108DD6" w14:textId="0C52EA2D" w:rsidR="00063E8C" w:rsidRPr="00520193" w:rsidRDefault="00DD346A" w:rsidP="00063E8C">
            <w:pPr>
              <w:pStyle w:val="ListParagraph"/>
              <w:suppressAutoHyphens w:val="0"/>
              <w:spacing w:before="0" w:after="0"/>
              <w:ind w:left="0"/>
              <w:jc w:val="left"/>
              <w:textAlignment w:val="auto"/>
              <w:rPr>
                <w:rFonts w:eastAsia="Times New Roman"/>
                <w:lang w:val="es-ES"/>
              </w:rPr>
            </w:pPr>
            <w:r>
              <w:rPr>
                <w:rFonts w:eastAsia="Times New Roman"/>
                <w:lang w:val="es-ES"/>
              </w:rPr>
              <w:t>Estipulaciones con respecto al muestreo</w:t>
            </w:r>
            <w:r w:rsidR="00C37086">
              <w:rPr>
                <w:rStyle w:val="FootnoteReference"/>
                <w:rFonts w:eastAsia="Times New Roman"/>
              </w:rPr>
              <w:footnoteReference w:id="116"/>
            </w:r>
            <w:r>
              <w:rPr>
                <w:rFonts w:eastAsia="Times New Roman"/>
                <w:lang w:val="es-ES"/>
              </w:rPr>
              <w:t>, vigencia de los certificados y seguimiento</w:t>
            </w:r>
          </w:p>
        </w:tc>
      </w:tr>
      <w:tr w:rsidR="00063E8C" w:rsidRPr="00914127" w14:paraId="36949258" w14:textId="77777777" w:rsidTr="00BF7E47">
        <w:trPr>
          <w:cantSplit/>
        </w:trPr>
        <w:tc>
          <w:tcPr>
            <w:tcW w:w="2686"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4E51FDA0" w14:textId="7ED8197C" w:rsidR="00063E8C" w:rsidRPr="000C68E2" w:rsidRDefault="00E84F8A" w:rsidP="00E84F8A">
            <w:pPr>
              <w:suppressAutoHyphens w:val="0"/>
              <w:spacing w:before="0" w:after="0"/>
              <w:jc w:val="left"/>
              <w:textAlignment w:val="auto"/>
              <w:rPr>
                <w:rFonts w:eastAsia="Times New Roman"/>
                <w:lang w:val="es-ES"/>
              </w:rPr>
            </w:pPr>
            <w:r>
              <w:rPr>
                <w:rFonts w:eastAsia="Times New Roman"/>
                <w:lang w:val="es-ES"/>
              </w:rPr>
              <w:t>9</w:t>
            </w:r>
            <w:r w:rsidR="00063E8C">
              <w:rPr>
                <w:rFonts w:eastAsia="Times New Roman"/>
                <w:lang w:val="es-ES"/>
              </w:rPr>
              <w:t>. Vigilancia</w:t>
            </w:r>
          </w:p>
        </w:tc>
        <w:tc>
          <w:tcPr>
            <w:tcW w:w="58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3A7BB326" w14:textId="653D5A03" w:rsidR="00063E8C" w:rsidRPr="00520193" w:rsidRDefault="00915A08" w:rsidP="00063E8C">
            <w:pPr>
              <w:pStyle w:val="ListParagraph"/>
              <w:suppressAutoHyphens w:val="0"/>
              <w:spacing w:before="0" w:after="0"/>
              <w:ind w:left="0"/>
              <w:jc w:val="left"/>
              <w:textAlignment w:val="auto"/>
              <w:rPr>
                <w:rFonts w:eastAsia="Times New Roman"/>
                <w:lang w:val="es-ES"/>
              </w:rPr>
            </w:pPr>
            <w:r>
              <w:rPr>
                <w:rFonts w:eastAsia="Times New Roman"/>
                <w:lang w:val="es-ES"/>
              </w:rPr>
              <w:t>Estipulaciones con respecto a las funciones de verificación y fiscalización del cumplimiento del RT de ADUANAS y ACODECO. Obligación de los proveedores y distribuidores de demostrar el cumplimiento de los productos comercializados.</w:t>
            </w:r>
          </w:p>
        </w:tc>
      </w:tr>
      <w:tr w:rsidR="00063E8C" w:rsidRPr="00914127" w14:paraId="32C708A9" w14:textId="77777777" w:rsidTr="00BF7E47">
        <w:trPr>
          <w:cantSplit/>
        </w:trPr>
        <w:tc>
          <w:tcPr>
            <w:tcW w:w="2686"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3E31EF52" w14:textId="5F2EA735" w:rsidR="00063E8C" w:rsidRPr="000C68E2" w:rsidRDefault="00063E8C" w:rsidP="00E84F8A">
            <w:pPr>
              <w:suppressAutoHyphens w:val="0"/>
              <w:spacing w:before="0" w:after="0"/>
              <w:jc w:val="left"/>
              <w:textAlignment w:val="auto"/>
              <w:rPr>
                <w:rFonts w:eastAsia="Times New Roman"/>
                <w:lang w:val="es-ES"/>
              </w:rPr>
            </w:pPr>
            <w:r>
              <w:rPr>
                <w:rFonts w:eastAsia="Times New Roman"/>
                <w:lang w:val="es-ES"/>
              </w:rPr>
              <w:t>1</w:t>
            </w:r>
            <w:r w:rsidR="00E84F8A">
              <w:rPr>
                <w:rFonts w:eastAsia="Times New Roman"/>
                <w:lang w:val="es-ES"/>
              </w:rPr>
              <w:t>0</w:t>
            </w:r>
            <w:r>
              <w:rPr>
                <w:rFonts w:eastAsia="Times New Roman"/>
                <w:lang w:val="es-ES"/>
              </w:rPr>
              <w:t>. Sanciones</w:t>
            </w:r>
          </w:p>
        </w:tc>
        <w:tc>
          <w:tcPr>
            <w:tcW w:w="5810" w:type="dxa"/>
            <w:tcBorders>
              <w:top w:val="single" w:sz="6" w:space="0" w:color="9CC2E5"/>
              <w:left w:val="single" w:sz="6" w:space="0" w:color="9CC2E5"/>
              <w:bottom w:val="single" w:sz="6" w:space="0" w:color="9CC2E5"/>
              <w:right w:val="single" w:sz="6" w:space="0" w:color="9CC2E5"/>
            </w:tcBorders>
            <w:shd w:val="clear" w:color="auto" w:fill="DEEAF6"/>
            <w:tcMar>
              <w:top w:w="0" w:type="dxa"/>
              <w:left w:w="108" w:type="dxa"/>
              <w:bottom w:w="0" w:type="dxa"/>
              <w:right w:w="108" w:type="dxa"/>
            </w:tcMar>
          </w:tcPr>
          <w:p w14:paraId="1CB6FAFA" w14:textId="3D04F134" w:rsidR="00063E8C" w:rsidRPr="00520193" w:rsidRDefault="00915A08" w:rsidP="00C8737C">
            <w:pPr>
              <w:pStyle w:val="ListParagraph"/>
              <w:suppressAutoHyphens w:val="0"/>
              <w:spacing w:before="0" w:after="0"/>
              <w:ind w:left="0"/>
              <w:jc w:val="left"/>
              <w:textAlignment w:val="auto"/>
              <w:rPr>
                <w:rFonts w:eastAsia="Times New Roman"/>
                <w:lang w:val="es-ES"/>
              </w:rPr>
            </w:pPr>
            <w:r>
              <w:rPr>
                <w:rFonts w:eastAsia="Times New Roman"/>
                <w:lang w:val="es-ES"/>
              </w:rPr>
              <w:t>Sanciones en el caso de incumplimiento del RT, de acuerdo al marco legal relevante</w:t>
            </w:r>
          </w:p>
        </w:tc>
      </w:tr>
      <w:tr w:rsidR="00E65D15" w:rsidRPr="00914127" w14:paraId="7EFF09E4" w14:textId="77777777" w:rsidTr="00BF7E47">
        <w:trPr>
          <w:cantSplit/>
        </w:trPr>
        <w:tc>
          <w:tcPr>
            <w:tcW w:w="2686"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0BF3DAA1" w14:textId="1712C610" w:rsidR="00E65D15" w:rsidRDefault="00E65D15" w:rsidP="000B2725">
            <w:pPr>
              <w:suppressAutoHyphens w:val="0"/>
              <w:spacing w:before="0" w:after="0"/>
              <w:jc w:val="left"/>
              <w:textAlignment w:val="auto"/>
              <w:rPr>
                <w:rFonts w:eastAsia="Times New Roman"/>
                <w:lang w:val="es-ES"/>
              </w:rPr>
            </w:pPr>
            <w:r>
              <w:rPr>
                <w:rFonts w:eastAsia="Times New Roman"/>
                <w:lang w:val="es-ES"/>
              </w:rPr>
              <w:t>Bibliografía</w:t>
            </w:r>
          </w:p>
        </w:tc>
        <w:tc>
          <w:tcPr>
            <w:tcW w:w="5810" w:type="dxa"/>
            <w:tcBorders>
              <w:top w:val="single" w:sz="6" w:space="0" w:color="9CC2E5"/>
              <w:left w:val="single" w:sz="6" w:space="0" w:color="9CC2E5"/>
              <w:bottom w:val="single" w:sz="6" w:space="0" w:color="9CC2E5"/>
              <w:right w:val="single" w:sz="6" w:space="0" w:color="9CC2E5"/>
            </w:tcBorders>
            <w:shd w:val="clear" w:color="auto" w:fill="auto"/>
            <w:tcMar>
              <w:top w:w="0" w:type="dxa"/>
              <w:left w:w="108" w:type="dxa"/>
              <w:bottom w:w="0" w:type="dxa"/>
              <w:right w:w="108" w:type="dxa"/>
            </w:tcMar>
          </w:tcPr>
          <w:p w14:paraId="251703F1" w14:textId="0E5EC30D" w:rsidR="00E65D15" w:rsidRDefault="00E65D15" w:rsidP="00063E8C">
            <w:pPr>
              <w:pStyle w:val="ListParagraph"/>
              <w:suppressAutoHyphens w:val="0"/>
              <w:spacing w:before="0" w:after="0"/>
              <w:ind w:left="0"/>
              <w:jc w:val="left"/>
              <w:textAlignment w:val="auto"/>
              <w:rPr>
                <w:rFonts w:eastAsia="Times New Roman"/>
                <w:lang w:val="es-ES"/>
              </w:rPr>
            </w:pPr>
            <w:r>
              <w:rPr>
                <w:rFonts w:eastAsia="Times New Roman"/>
                <w:lang w:val="es-ES"/>
              </w:rPr>
              <w:t>Documentos legales y normativos consultados para la elaboración de este reglamento técnico</w:t>
            </w:r>
          </w:p>
        </w:tc>
      </w:tr>
    </w:tbl>
    <w:p w14:paraId="44B9103F" w14:textId="77777777" w:rsidR="00063E8C" w:rsidRDefault="00063E8C" w:rsidP="00063E8C">
      <w:pPr>
        <w:suppressAutoHyphens w:val="0"/>
        <w:rPr>
          <w:lang w:val="es-ES"/>
        </w:rPr>
      </w:pPr>
    </w:p>
    <w:p w14:paraId="3D623F78" w14:textId="4F067FBB" w:rsidR="00FE71A3" w:rsidRDefault="00FE71A3">
      <w:pPr>
        <w:suppressAutoHyphens w:val="0"/>
        <w:rPr>
          <w:lang w:val="es-ES"/>
        </w:rPr>
      </w:pPr>
    </w:p>
    <w:p w14:paraId="475EFD74" w14:textId="4E3D8C1B" w:rsidR="00FE71A3" w:rsidRDefault="00FE71A3">
      <w:pPr>
        <w:suppressAutoHyphens w:val="0"/>
        <w:rPr>
          <w:lang w:val="es-ES"/>
        </w:rPr>
      </w:pPr>
    </w:p>
    <w:sectPr w:rsidR="00FE71A3" w:rsidSect="009B1CC0">
      <w:pgSz w:w="11906" w:h="16838"/>
      <w:pgMar w:top="1418" w:right="1701" w:bottom="993"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67D9D" w14:textId="77777777" w:rsidR="00F111AF" w:rsidRDefault="00F111AF">
      <w:pPr>
        <w:spacing w:before="0" w:after="0"/>
      </w:pPr>
      <w:r>
        <w:separator/>
      </w:r>
    </w:p>
  </w:endnote>
  <w:endnote w:type="continuationSeparator" w:id="0">
    <w:p w14:paraId="51C43637" w14:textId="77777777" w:rsidR="00F111AF" w:rsidRDefault="00F111A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F73CB" w14:textId="169CEADE" w:rsidR="00A06D5C" w:rsidRPr="007A00BD" w:rsidRDefault="00A06D5C" w:rsidP="00064407">
    <w:pPr>
      <w:pStyle w:val="Footer"/>
      <w:tabs>
        <w:tab w:val="clear" w:pos="4252"/>
        <w:tab w:val="clear" w:pos="8504"/>
        <w:tab w:val="center" w:pos="5954"/>
      </w:tabs>
      <w:spacing w:before="0"/>
      <w:rPr>
        <w:lang w:val="es-ES"/>
      </w:rPr>
    </w:pPr>
    <w:r>
      <w:rPr>
        <w:lang w:val="es-ES"/>
      </w:rPr>
      <w:t>Productos de Iluminación – Informe final</w:t>
    </w:r>
    <w:r>
      <w:rPr>
        <w:lang w:val="es-ES"/>
      </w:rPr>
      <w:tab/>
    </w:r>
    <w:r>
      <w:rPr>
        <w:lang w:val="es-ES"/>
      </w:rPr>
      <w:tab/>
      <w:t xml:space="preserve">  </w:t>
    </w:r>
    <w:r>
      <w:rPr>
        <w:lang w:val="es-ES"/>
      </w:rPr>
      <w:tab/>
    </w:r>
    <w:r>
      <w:rPr>
        <w:lang w:val="es-ES"/>
      </w:rPr>
      <w:tab/>
    </w:r>
    <w:r>
      <w:rPr>
        <w:lang w:val="es-ES"/>
      </w:rPr>
      <w:fldChar w:fldCharType="begin"/>
    </w:r>
    <w:r>
      <w:rPr>
        <w:lang w:val="es-ES"/>
      </w:rPr>
      <w:instrText xml:space="preserve"> PAGE </w:instrText>
    </w:r>
    <w:r>
      <w:rPr>
        <w:lang w:val="es-ES"/>
      </w:rPr>
      <w:fldChar w:fldCharType="separate"/>
    </w:r>
    <w:r w:rsidR="00513CFB">
      <w:rPr>
        <w:noProof/>
        <w:lang w:val="es-ES"/>
      </w:rPr>
      <w:t>14</w:t>
    </w:r>
    <w:r>
      <w:rPr>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9E784" w14:textId="77777777" w:rsidR="00F111AF" w:rsidRDefault="00F111AF">
      <w:pPr>
        <w:spacing w:before="0" w:after="0"/>
      </w:pPr>
      <w:r>
        <w:separator/>
      </w:r>
    </w:p>
  </w:footnote>
  <w:footnote w:type="continuationSeparator" w:id="0">
    <w:p w14:paraId="54ED6609" w14:textId="77777777" w:rsidR="00F111AF" w:rsidRDefault="00F111AF">
      <w:pPr>
        <w:spacing w:before="0" w:after="0"/>
      </w:pPr>
      <w:r>
        <w:continuationSeparator/>
      </w:r>
    </w:p>
  </w:footnote>
  <w:footnote w:id="1">
    <w:p w14:paraId="0ECC9DDF" w14:textId="5413B9CC" w:rsidR="00A06D5C" w:rsidRPr="0056008B" w:rsidRDefault="00A06D5C">
      <w:pPr>
        <w:pStyle w:val="FootnoteText"/>
        <w:rPr>
          <w:lang w:val="es-ES"/>
        </w:rPr>
      </w:pPr>
      <w:r>
        <w:rPr>
          <w:rStyle w:val="FootnoteReference"/>
        </w:rPr>
        <w:footnoteRef/>
      </w:r>
      <w:r w:rsidRPr="0056008B">
        <w:rPr>
          <w:lang w:val="es-ES"/>
        </w:rPr>
        <w:t xml:space="preserve"> NT y RT para acondicionadores de aire y para refrigeradores y congeladores.</w:t>
      </w:r>
    </w:p>
  </w:footnote>
  <w:footnote w:id="2">
    <w:p w14:paraId="761B358E" w14:textId="654690ED" w:rsidR="00A06D5C" w:rsidRPr="008D01A7" w:rsidRDefault="00A06D5C">
      <w:pPr>
        <w:pStyle w:val="FootnoteText"/>
        <w:rPr>
          <w:lang w:val="es-ES"/>
        </w:rPr>
      </w:pPr>
      <w:r>
        <w:rPr>
          <w:rStyle w:val="FootnoteReference"/>
        </w:rPr>
        <w:footnoteRef/>
      </w:r>
      <w:r w:rsidRPr="008D01A7">
        <w:rPr>
          <w:lang w:val="es-ES"/>
        </w:rPr>
        <w:t xml:space="preserve"> </w:t>
      </w:r>
      <w:r>
        <w:rPr>
          <w:lang w:val="es-ES"/>
        </w:rPr>
        <w:t xml:space="preserve">DOE </w:t>
      </w:r>
      <w:r w:rsidRPr="008D01A7">
        <w:rPr>
          <w:i/>
          <w:lang w:val="es-ES"/>
        </w:rPr>
        <w:t>Proposed Rule</w:t>
      </w:r>
      <w:r w:rsidRPr="008D01A7">
        <w:rPr>
          <w:lang w:val="es-ES"/>
        </w:rPr>
        <w:t xml:space="preserve"> de 17 de marzo de 2016</w:t>
      </w:r>
      <w:r>
        <w:rPr>
          <w:lang w:val="es-ES"/>
        </w:rPr>
        <w:t>.</w:t>
      </w:r>
      <w:r w:rsidRPr="00EC25BC">
        <w:rPr>
          <w:lang w:val="es-ES"/>
        </w:rPr>
        <w:t xml:space="preserve"> El </w:t>
      </w:r>
      <w:r w:rsidRPr="00EC25BC">
        <w:rPr>
          <w:i/>
          <w:lang w:val="es-ES"/>
        </w:rPr>
        <w:t>Proposed Rule</w:t>
      </w:r>
      <w:r w:rsidRPr="00EC25BC">
        <w:rPr>
          <w:lang w:val="es-ES"/>
        </w:rPr>
        <w:t xml:space="preserve"> incluye además un llamado "backstop standard" de 45 lm/W para lámparas de uso general que entrará en vigencia el 1 de enero de 2020, en el caso que el estándar más ambicioso propuesto </w:t>
      </w:r>
      <w:r>
        <w:rPr>
          <w:lang w:val="es-ES"/>
        </w:rPr>
        <w:t>no sea listo para su aplicación (véase la sección 3.2.1).</w:t>
      </w:r>
    </w:p>
  </w:footnote>
  <w:footnote w:id="3">
    <w:p w14:paraId="017EAEB9" w14:textId="585C14AD" w:rsidR="00A06D5C" w:rsidRPr="0054305F" w:rsidRDefault="00A06D5C">
      <w:pPr>
        <w:pStyle w:val="FootnoteText"/>
        <w:rPr>
          <w:lang w:val="es-ES"/>
        </w:rPr>
      </w:pPr>
      <w:r>
        <w:rPr>
          <w:rStyle w:val="FootnoteReference"/>
        </w:rPr>
        <w:footnoteRef/>
      </w:r>
      <w:r w:rsidRPr="0054305F">
        <w:rPr>
          <w:lang w:val="es-ES"/>
        </w:rPr>
        <w:t xml:space="preserve"> La Directiva 2010/30/UE fue reemplazada </w:t>
      </w:r>
      <w:r>
        <w:rPr>
          <w:lang w:val="es-ES"/>
        </w:rPr>
        <w:t xml:space="preserve">en agosto 2017 </w:t>
      </w:r>
      <w:r w:rsidRPr="0054305F">
        <w:rPr>
          <w:lang w:val="es-ES"/>
        </w:rPr>
        <w:t xml:space="preserve">por </w:t>
      </w:r>
      <w:r>
        <w:rPr>
          <w:lang w:val="es-ES"/>
        </w:rPr>
        <w:t xml:space="preserve">el Reglamento (UE) 2017/1369 del Parlamento Europeo y del Consejo de 4 de julio de 2017 por el cual se establece un marco para el etiquetado energético y se deroga la Directiva 2010/30/UE. </w:t>
      </w:r>
    </w:p>
  </w:footnote>
  <w:footnote w:id="4">
    <w:p w14:paraId="5FCC2604" w14:textId="0805C7FE" w:rsidR="00A06D5C" w:rsidRPr="0054305F" w:rsidRDefault="00A06D5C">
      <w:pPr>
        <w:pStyle w:val="FootnoteText"/>
        <w:rPr>
          <w:lang w:val="es-ES"/>
        </w:rPr>
      </w:pPr>
      <w:r>
        <w:rPr>
          <w:rStyle w:val="FootnoteReference"/>
        </w:rPr>
        <w:footnoteRef/>
      </w:r>
      <w:r w:rsidRPr="0054305F">
        <w:rPr>
          <w:lang w:val="es-ES"/>
        </w:rPr>
        <w:t xml:space="preserve"> De acuerdo al borrador del nuevo reglamento de </w:t>
      </w:r>
      <w:r>
        <w:rPr>
          <w:lang w:val="es-ES"/>
        </w:rPr>
        <w:t xml:space="preserve">etiquetado energético para </w:t>
      </w:r>
      <w:r w:rsidRPr="00A917EA">
        <w:rPr>
          <w:lang w:val="es-ES"/>
        </w:rPr>
        <w:t>fuentes de luz,</w:t>
      </w:r>
      <w:r>
        <w:rPr>
          <w:lang w:val="es-ES"/>
        </w:rPr>
        <w:t xml:space="preserve"> que se encuentra en la actualidad en consulta pública, y que reemplazará el Reglamento Delegado (UE) 874/2012.</w:t>
      </w:r>
    </w:p>
  </w:footnote>
  <w:footnote w:id="5">
    <w:p w14:paraId="5E4C8DF6" w14:textId="70E909D3" w:rsidR="00A06D5C" w:rsidRPr="00DA557E" w:rsidRDefault="00A06D5C">
      <w:pPr>
        <w:pStyle w:val="FootnoteText"/>
        <w:rPr>
          <w:lang w:val="es-ES"/>
        </w:rPr>
      </w:pPr>
      <w:r>
        <w:rPr>
          <w:rStyle w:val="FootnoteReference"/>
        </w:rPr>
        <w:footnoteRef/>
      </w:r>
      <w:r w:rsidRPr="00DA557E">
        <w:rPr>
          <w:lang w:val="es-ES"/>
        </w:rPr>
        <w:t xml:space="preserve"> El PROY-NOM-028-ENER-2017 fue aprobado el 9 de marzo de 2018 como NOM-028-ENER-2017, con diferencias mínimas con respecto al proyecto de la norma (véase el Anexo 7).  </w:t>
      </w:r>
    </w:p>
  </w:footnote>
  <w:footnote w:id="6">
    <w:p w14:paraId="772DFF75" w14:textId="140C45FC" w:rsidR="00914127" w:rsidRPr="00914127" w:rsidRDefault="00914127">
      <w:pPr>
        <w:pStyle w:val="FootnoteText"/>
        <w:rPr>
          <w:lang w:val="es-ES"/>
        </w:rPr>
      </w:pPr>
      <w:r>
        <w:rPr>
          <w:rStyle w:val="FootnoteReference"/>
        </w:rPr>
        <w:footnoteRef/>
      </w:r>
      <w:r w:rsidRPr="00914127">
        <w:rPr>
          <w:lang w:val="es-ES"/>
        </w:rPr>
        <w:t xml:space="preserve"> </w:t>
      </w:r>
      <w:r>
        <w:rPr>
          <w:lang w:val="es-ES"/>
        </w:rPr>
        <w:t>De acuerdo al comentario recibido de la SNE, se está consideración la opción de una NT/RT separada para lámparas de descarga de alta intensidad (véase la sección 4).</w:t>
      </w:r>
    </w:p>
  </w:footnote>
  <w:footnote w:id="7">
    <w:p w14:paraId="00028366" w14:textId="2EDFAF0C" w:rsidR="00A06D5C" w:rsidRPr="000D2D39" w:rsidRDefault="00A06D5C">
      <w:pPr>
        <w:pStyle w:val="FootnoteText"/>
        <w:rPr>
          <w:lang w:val="es-ES"/>
        </w:rPr>
      </w:pPr>
      <w:r>
        <w:rPr>
          <w:rStyle w:val="FootnoteReference"/>
        </w:rPr>
        <w:footnoteRef/>
      </w:r>
      <w:r w:rsidRPr="000D2D39">
        <w:rPr>
          <w:lang w:val="es-ES"/>
        </w:rPr>
        <w:t xml:space="preserve"> En el caso de fijar un l</w:t>
      </w:r>
      <w:r>
        <w:rPr>
          <w:lang w:val="es-ES"/>
        </w:rPr>
        <w:t>ímite inferior de p.ej. 45 lm/W para lámparas de uso general (correspondiente al “</w:t>
      </w:r>
      <w:r w:rsidRPr="00562524">
        <w:rPr>
          <w:i/>
          <w:lang w:val="es-ES"/>
        </w:rPr>
        <w:t>backstop standard</w:t>
      </w:r>
      <w:r>
        <w:rPr>
          <w:lang w:val="es-ES"/>
        </w:rPr>
        <w:t>” propuesto de EE.UU.), las LFC permanecerían en el mercado</w:t>
      </w:r>
      <w:r w:rsidR="00914127">
        <w:rPr>
          <w:lang w:val="es-ES"/>
        </w:rPr>
        <w:t xml:space="preserve"> (véase la sección 5.3).</w:t>
      </w:r>
      <w:r>
        <w:rPr>
          <w:lang w:val="es-ES"/>
        </w:rPr>
        <w:t xml:space="preserve"> </w:t>
      </w:r>
    </w:p>
  </w:footnote>
  <w:footnote w:id="8">
    <w:p w14:paraId="290DD36B" w14:textId="4FF3DCD6" w:rsidR="00A06D5C" w:rsidRPr="000F4FF5" w:rsidRDefault="00A06D5C" w:rsidP="00411FF7">
      <w:pPr>
        <w:pStyle w:val="FootnoteText"/>
        <w:rPr>
          <w:szCs w:val="18"/>
          <w:lang w:val="es-ES"/>
        </w:rPr>
      </w:pPr>
      <w:r w:rsidRPr="000F4FF5">
        <w:rPr>
          <w:rStyle w:val="FootnoteReference"/>
          <w:szCs w:val="18"/>
        </w:rPr>
        <w:footnoteRef/>
      </w:r>
      <w:r w:rsidRPr="000F4FF5">
        <w:rPr>
          <w:szCs w:val="18"/>
          <w:lang w:val="es-ES"/>
        </w:rPr>
        <w:t xml:space="preserve"> </w:t>
      </w:r>
      <w:r>
        <w:rPr>
          <w:szCs w:val="18"/>
          <w:lang w:val="es-ES"/>
        </w:rPr>
        <w:t>Véase Anexo 1</w:t>
      </w:r>
      <w:r w:rsidRPr="000F4FF5">
        <w:rPr>
          <w:szCs w:val="18"/>
          <w:lang w:val="es-ES"/>
        </w:rPr>
        <w:t>.</w:t>
      </w:r>
    </w:p>
  </w:footnote>
  <w:footnote w:id="9">
    <w:p w14:paraId="6D2914FC" w14:textId="55BE1982" w:rsidR="00A06D5C" w:rsidRPr="001A5DFC" w:rsidRDefault="00A06D5C" w:rsidP="00CD622A">
      <w:pPr>
        <w:pStyle w:val="FootnoteText"/>
        <w:rPr>
          <w:lang w:val="es-ES"/>
        </w:rPr>
      </w:pPr>
      <w:r>
        <w:rPr>
          <w:rStyle w:val="FootnoteReference"/>
        </w:rPr>
        <w:footnoteRef/>
      </w:r>
      <w:r w:rsidRPr="001A5DFC">
        <w:rPr>
          <w:lang w:val="es-ES"/>
        </w:rPr>
        <w:t xml:space="preserve"> </w:t>
      </w:r>
      <w:r>
        <w:rPr>
          <w:lang w:val="es-ES"/>
        </w:rPr>
        <w:t>Traducción propia resumida de los Términos de Referencia (</w:t>
      </w:r>
      <w:r w:rsidRPr="006C794A">
        <w:rPr>
          <w:i/>
          <w:lang w:val="es-ES"/>
        </w:rPr>
        <w:t>Terms of Reference</w:t>
      </w:r>
      <w:r>
        <w:rPr>
          <w:lang w:val="es-ES"/>
        </w:rPr>
        <w:t xml:space="preserve">) del Consultor (véase Anexo 1). </w:t>
      </w:r>
    </w:p>
  </w:footnote>
  <w:footnote w:id="10">
    <w:p w14:paraId="369E14B6" w14:textId="4F0F5C22" w:rsidR="00A06D5C" w:rsidRPr="0021795B" w:rsidRDefault="00A06D5C" w:rsidP="00F50D45">
      <w:pPr>
        <w:pStyle w:val="FootnoteText"/>
        <w:rPr>
          <w:lang w:val="es-ES"/>
        </w:rPr>
      </w:pPr>
      <w:r>
        <w:rPr>
          <w:rStyle w:val="FootnoteReference"/>
        </w:rPr>
        <w:footnoteRef/>
      </w:r>
      <w:r w:rsidRPr="00F50D45">
        <w:rPr>
          <w:lang w:val="es-ES"/>
        </w:rPr>
        <w:t xml:space="preserve"> Anteproyecto Norma Técnica DGNTI-COPANIT: Eficiencia Energética de Lámparas para uso General, Límites y Métodos de Prueba (</w:t>
      </w:r>
      <w:r>
        <w:rPr>
          <w:lang w:val="es-ES"/>
        </w:rPr>
        <w:t xml:space="preserve">Borrador de fecha </w:t>
      </w:r>
      <w:r w:rsidRPr="00F50D45">
        <w:rPr>
          <w:lang w:val="es-ES"/>
        </w:rPr>
        <w:t xml:space="preserve">20 </w:t>
      </w:r>
      <w:r>
        <w:rPr>
          <w:lang w:val="es-ES"/>
        </w:rPr>
        <w:t>de agosto de</w:t>
      </w:r>
      <w:r w:rsidRPr="00F50D45">
        <w:rPr>
          <w:lang w:val="es-ES"/>
        </w:rPr>
        <w:t xml:space="preserve"> 2017). </w:t>
      </w:r>
      <w:r w:rsidRPr="0021795B">
        <w:rPr>
          <w:lang w:val="es-ES"/>
        </w:rPr>
        <w:t xml:space="preserve">Este documento preliminar incluye disposiciones típicas de Normas Técnicas y Reglamentos Técnicos. Por lo tanto, se hará referencia al documento como "Borrador </w:t>
      </w:r>
      <w:r>
        <w:rPr>
          <w:lang w:val="es-ES"/>
        </w:rPr>
        <w:t>Anteproyecto NT</w:t>
      </w:r>
      <w:r w:rsidRPr="0021795B">
        <w:rPr>
          <w:lang w:val="es-ES"/>
        </w:rPr>
        <w:t>/</w:t>
      </w:r>
      <w:r>
        <w:rPr>
          <w:lang w:val="es-ES"/>
        </w:rPr>
        <w:t>RT</w:t>
      </w:r>
      <w:r w:rsidRPr="0021795B">
        <w:rPr>
          <w:lang w:val="es-ES"/>
        </w:rPr>
        <w:t>".</w:t>
      </w:r>
    </w:p>
  </w:footnote>
  <w:footnote w:id="11">
    <w:p w14:paraId="7A9FADD3" w14:textId="5AD4BE50" w:rsidR="00A06D5C" w:rsidRPr="00F82891" w:rsidRDefault="00A06D5C">
      <w:pPr>
        <w:pStyle w:val="FootnoteText"/>
        <w:rPr>
          <w:lang w:val="es-ES"/>
        </w:rPr>
      </w:pPr>
      <w:r>
        <w:rPr>
          <w:rStyle w:val="FootnoteReference"/>
        </w:rPr>
        <w:footnoteRef/>
      </w:r>
      <w:r w:rsidRPr="00F82891">
        <w:rPr>
          <w:lang w:val="es-ES"/>
        </w:rPr>
        <w:t xml:space="preserve"> </w:t>
      </w:r>
      <w:r>
        <w:rPr>
          <w:lang w:val="es-ES"/>
        </w:rPr>
        <w:t>Participaron en la reunión representantes de la Secretaría Nacional de Energía (SNE), del Ministerio de</w:t>
      </w:r>
      <w:r w:rsidRPr="00F82891">
        <w:rPr>
          <w:lang w:val="es-ES"/>
        </w:rPr>
        <w:t xml:space="preserve"> Comercio e Industrias</w:t>
      </w:r>
      <w:r>
        <w:rPr>
          <w:lang w:val="es-ES"/>
        </w:rPr>
        <w:t xml:space="preserve"> (MICI), de la Autoridad Nacional de Aduanas (ADUANAS), de la </w:t>
      </w:r>
      <w:r w:rsidRPr="00D13F23">
        <w:rPr>
          <w:lang w:val="es-ES"/>
        </w:rPr>
        <w:t xml:space="preserve">Autoridad de Protección al Consumidor y Defensa de la Competencia </w:t>
      </w:r>
      <w:r>
        <w:rPr>
          <w:lang w:val="es-ES"/>
        </w:rPr>
        <w:t xml:space="preserve">(ACODECO), de  CENAMEP, SENACYT y de otros integrantes del </w:t>
      </w:r>
      <w:r w:rsidRPr="00FA48EA">
        <w:rPr>
          <w:lang w:val="es-ES"/>
        </w:rPr>
        <w:t>Comité Gestor de Índices para la Eficiencia Energética</w:t>
      </w:r>
      <w:r>
        <w:rPr>
          <w:lang w:val="es-ES"/>
        </w:rPr>
        <w:t xml:space="preserve"> (CGIEE</w:t>
      </w:r>
      <w:r w:rsidRPr="00000FC2">
        <w:rPr>
          <w:lang w:val="es-ES"/>
        </w:rPr>
        <w:t>).</w:t>
      </w:r>
    </w:p>
  </w:footnote>
  <w:footnote w:id="12">
    <w:p w14:paraId="33398382" w14:textId="5D5CEB02" w:rsidR="00A06D5C" w:rsidRPr="00BF0896" w:rsidRDefault="00A06D5C">
      <w:pPr>
        <w:pStyle w:val="FootnoteText"/>
        <w:rPr>
          <w:lang w:val="es-ES"/>
        </w:rPr>
      </w:pPr>
      <w:r>
        <w:rPr>
          <w:rStyle w:val="FootnoteReference"/>
        </w:rPr>
        <w:footnoteRef/>
      </w:r>
      <w:r w:rsidRPr="00BF0896">
        <w:rPr>
          <w:lang w:val="es-ES"/>
        </w:rPr>
        <w:t xml:space="preserve"> Véase el Anexo 2.</w:t>
      </w:r>
    </w:p>
  </w:footnote>
  <w:footnote w:id="13">
    <w:p w14:paraId="3E0AA635" w14:textId="36A30B0C" w:rsidR="00A06D5C" w:rsidRPr="00BF0896" w:rsidRDefault="00A06D5C">
      <w:pPr>
        <w:pStyle w:val="FootnoteText"/>
        <w:rPr>
          <w:lang w:val="es-ES"/>
        </w:rPr>
      </w:pPr>
      <w:r>
        <w:rPr>
          <w:rStyle w:val="FootnoteReference"/>
        </w:rPr>
        <w:footnoteRef/>
      </w:r>
      <w:r w:rsidRPr="00BF0896">
        <w:rPr>
          <w:lang w:val="es-ES"/>
        </w:rPr>
        <w:t xml:space="preserve"> </w:t>
      </w:r>
      <w:r w:rsidRPr="00BC092A">
        <w:rPr>
          <w:highlight w:val="yellow"/>
          <w:lang w:val="es-ES"/>
        </w:rPr>
        <w:t>Participaron en la reunión representantes de la Secretaría Nacional de Energía (SNE), de la Autoridad Nacional de Aduanas (ADUANAS), de la Autoridad de Protección al Consumidor y Defensa de la Competencia (ACODECO), de  CENAMEP, SENACYT y de otros integrantes del Comité Gestor de Índices para la Eficiencia Energética (CGIEE).</w:t>
      </w:r>
    </w:p>
  </w:footnote>
  <w:footnote w:id="14">
    <w:p w14:paraId="34D6C98F" w14:textId="4362EA3D" w:rsidR="00A06D5C" w:rsidRPr="004A6AAA" w:rsidRDefault="00A06D5C">
      <w:pPr>
        <w:pStyle w:val="FootnoteText"/>
        <w:rPr>
          <w:lang w:val="es-ES"/>
        </w:rPr>
      </w:pPr>
      <w:r>
        <w:rPr>
          <w:rStyle w:val="FootnoteReference"/>
        </w:rPr>
        <w:footnoteRef/>
      </w:r>
      <w:r w:rsidRPr="004A6AAA">
        <w:rPr>
          <w:lang w:val="es-ES"/>
        </w:rPr>
        <w:t xml:space="preserve"> La Ley no. 23 de 15 de julio de 1997 "por la cual se aprueba el Acuerdo de Marrakech constitutivo de la Organización Mundial del Comercio; el Protocolo de adhesión de Panamá a dicho Acuerdo junto con sus Anexos y lista de compromisos; se adecua la legislación interna a la normativa internacional y se dictan otras disposiciones",</w:t>
      </w:r>
      <w:r>
        <w:rPr>
          <w:lang w:val="es-ES"/>
        </w:rPr>
        <w:t xml:space="preserve"> Título II "Disposiciones sobre Normalización Técnica, Evaluación de la Conformidad, Acreditación, Certificación de Calidad, Metrología y Conversión al Sistema Internacional de Unidades, Capítulo IX "Disposiciones Varias".</w:t>
      </w:r>
    </w:p>
  </w:footnote>
  <w:footnote w:id="15">
    <w:p w14:paraId="6FCDDAD8" w14:textId="76F6B611" w:rsidR="00A06D5C" w:rsidRPr="00B536A0" w:rsidRDefault="00A06D5C">
      <w:pPr>
        <w:pStyle w:val="FootnoteText"/>
        <w:rPr>
          <w:lang w:val="es-ES"/>
        </w:rPr>
      </w:pPr>
      <w:r>
        <w:rPr>
          <w:rStyle w:val="FootnoteReference"/>
        </w:rPr>
        <w:footnoteRef/>
      </w:r>
      <w:r w:rsidRPr="00B536A0">
        <w:rPr>
          <w:lang w:val="es-ES"/>
        </w:rPr>
        <w:t xml:space="preserve"> Artículo 119 de la Ley no. </w:t>
      </w:r>
      <w:r>
        <w:rPr>
          <w:lang w:val="es-ES"/>
        </w:rPr>
        <w:t>23 de 1997: "La Dirección General de Normas y Tecnología Industrial consultará en primer instancia las normas nacionales, y las internacionales siempre que cumplan con los parámetros científicamente comprobados."</w:t>
      </w:r>
    </w:p>
  </w:footnote>
  <w:footnote w:id="16">
    <w:p w14:paraId="38496694" w14:textId="65235C4F" w:rsidR="00A06D5C" w:rsidRPr="00430D61" w:rsidRDefault="00A06D5C">
      <w:pPr>
        <w:pStyle w:val="FootnoteText"/>
        <w:rPr>
          <w:lang w:val="es-ES"/>
        </w:rPr>
      </w:pPr>
      <w:r>
        <w:rPr>
          <w:rStyle w:val="FootnoteReference"/>
        </w:rPr>
        <w:footnoteRef/>
      </w:r>
      <w:r w:rsidRPr="00430D61">
        <w:rPr>
          <w:lang w:val="es-ES"/>
        </w:rPr>
        <w:t xml:space="preserve"> Artículo 121 de la Ley no. </w:t>
      </w:r>
      <w:r>
        <w:rPr>
          <w:lang w:val="es-ES"/>
        </w:rPr>
        <w:t>23 de 1997.</w:t>
      </w:r>
    </w:p>
  </w:footnote>
  <w:footnote w:id="17">
    <w:p w14:paraId="6F698037" w14:textId="62249CC4" w:rsidR="00A06D5C" w:rsidRPr="007A7F24" w:rsidRDefault="00A06D5C">
      <w:pPr>
        <w:pStyle w:val="FootnoteText"/>
        <w:rPr>
          <w:lang w:val="es-ES"/>
        </w:rPr>
      </w:pPr>
      <w:r>
        <w:rPr>
          <w:rStyle w:val="FootnoteReference"/>
        </w:rPr>
        <w:footnoteRef/>
      </w:r>
      <w:r w:rsidRPr="007A7F24">
        <w:rPr>
          <w:lang w:val="es-ES"/>
        </w:rPr>
        <w:t xml:space="preserve"> Se trata de las normas t</w:t>
      </w:r>
      <w:r>
        <w:rPr>
          <w:lang w:val="es-ES"/>
        </w:rPr>
        <w:t xml:space="preserve">écnicas y reglamentos técnicos para refrigeradores y congeladores electrodomésticos, acondicionadores de aire tipo cuarto, tipo dividido, tipo dividido con flujo de refrigerante variable ("inverter") y acondicionadores tipo central. </w:t>
      </w:r>
    </w:p>
  </w:footnote>
  <w:footnote w:id="18">
    <w:p w14:paraId="44FD901B" w14:textId="77FE4696" w:rsidR="00A06D5C" w:rsidRPr="009B1596" w:rsidRDefault="00A06D5C">
      <w:pPr>
        <w:pStyle w:val="FootnoteText"/>
        <w:rPr>
          <w:lang w:val="es-ES"/>
        </w:rPr>
      </w:pPr>
      <w:r>
        <w:rPr>
          <w:rStyle w:val="FootnoteReference"/>
        </w:rPr>
        <w:footnoteRef/>
      </w:r>
      <w:r w:rsidRPr="009B1596">
        <w:rPr>
          <w:lang w:val="es-ES"/>
        </w:rPr>
        <w:t xml:space="preserve"> Véase informe "Guía de Implementación", Fase II "Funciones y Procesos</w:t>
      </w:r>
      <w:r>
        <w:rPr>
          <w:lang w:val="es-ES"/>
        </w:rPr>
        <w:t>"</w:t>
      </w:r>
      <w:r w:rsidRPr="009B1596">
        <w:rPr>
          <w:lang w:val="es-ES"/>
        </w:rPr>
        <w:t xml:space="preserve">. </w:t>
      </w:r>
    </w:p>
  </w:footnote>
  <w:footnote w:id="19">
    <w:p w14:paraId="0C776DD4" w14:textId="1D7AF0F9" w:rsidR="00A06D5C" w:rsidRPr="00724179" w:rsidRDefault="00A06D5C">
      <w:pPr>
        <w:pStyle w:val="FootnoteText"/>
        <w:rPr>
          <w:lang w:val="es-ES"/>
        </w:rPr>
      </w:pPr>
      <w:r>
        <w:rPr>
          <w:rStyle w:val="FootnoteReference"/>
        </w:rPr>
        <w:footnoteRef/>
      </w:r>
      <w:r w:rsidRPr="00724179">
        <w:rPr>
          <w:lang w:val="es-ES"/>
        </w:rPr>
        <w:t xml:space="preserve"> Una pecul</w:t>
      </w:r>
      <w:r>
        <w:rPr>
          <w:lang w:val="es-ES"/>
        </w:rPr>
        <w:t>i</w:t>
      </w:r>
      <w:r w:rsidRPr="00724179">
        <w:rPr>
          <w:lang w:val="es-ES"/>
        </w:rPr>
        <w:t>aridad de las NT DGNTI-COPANIT es la incl</w:t>
      </w:r>
      <w:r>
        <w:rPr>
          <w:lang w:val="es-ES"/>
        </w:rPr>
        <w:t>usión de los índices de desempeño mínimo en las NT, mientras que la práctica internacional predominante es de limitar las normas técnicas (que son a priori de aplicación voluntaria) a métodos de prueba, mientras que las medidas legislativas (obligatorias) son reglamentos que definen el etiquetado y/o las normas de desempeño energético mínimo (índices mínimos). El borrador del Anteproyecto Normas Técnica DGNTI-COPANIT "Eficiencia Energética de Lámparas para Uso General. Límites y Métodos de Prueba" reúne estipulaciones que pertenecen típicamente a normas técnicas y reglamentos técnicos.</w:t>
      </w:r>
    </w:p>
  </w:footnote>
  <w:footnote w:id="20">
    <w:p w14:paraId="48618613" w14:textId="560F7297" w:rsidR="00A06D5C" w:rsidRPr="005D5D3A" w:rsidRDefault="00A06D5C">
      <w:pPr>
        <w:pStyle w:val="FootnoteText"/>
        <w:rPr>
          <w:lang w:val="es-ES"/>
        </w:rPr>
      </w:pPr>
      <w:r>
        <w:rPr>
          <w:rStyle w:val="FootnoteReference"/>
        </w:rPr>
        <w:footnoteRef/>
      </w:r>
      <w:r w:rsidRPr="005D5D3A">
        <w:rPr>
          <w:lang w:val="es-ES"/>
        </w:rPr>
        <w:t xml:space="preserve"> Véase por ejemplo: CLASP, LBNL, IIE (2011) Normas de Desempeño Energético en México, </w:t>
      </w:r>
      <w:r w:rsidRPr="00773C9C">
        <w:rPr>
          <w:lang w:val="es-ES"/>
        </w:rPr>
        <w:t>https://www.gob.mx/cms/uploads/attachment/file/182034/Normas_de_Desempe_o_Energ_tico_M_nimo_en_M_xico.pdf</w:t>
      </w:r>
      <w:r w:rsidRPr="005D5D3A">
        <w:rPr>
          <w:lang w:val="es-ES"/>
        </w:rPr>
        <w:t xml:space="preserve">  </w:t>
      </w:r>
    </w:p>
  </w:footnote>
  <w:footnote w:id="21">
    <w:p w14:paraId="278D89BA" w14:textId="3E1CEBEA" w:rsidR="00A06D5C" w:rsidRPr="00CF7C46" w:rsidRDefault="00A06D5C" w:rsidP="00CF7C46">
      <w:pPr>
        <w:pStyle w:val="FootnoteText"/>
      </w:pPr>
      <w:r>
        <w:rPr>
          <w:rStyle w:val="FootnoteReference"/>
        </w:rPr>
        <w:footnoteRef/>
      </w:r>
      <w:r w:rsidRPr="00CF7C46">
        <w:t xml:space="preserve"> CLASP (2013) Estimating potential additional energy savings from</w:t>
      </w:r>
      <w:r>
        <w:t xml:space="preserve"> </w:t>
      </w:r>
      <w:r w:rsidRPr="00CF7C46">
        <w:t>upcoming revisions to existing regulations under the ecodesign and energy labelling directives: a</w:t>
      </w:r>
      <w:r>
        <w:t xml:space="preserve"> </w:t>
      </w:r>
      <w:r w:rsidRPr="00CF7C46">
        <w:t>contribution to the evidence base</w:t>
      </w:r>
      <w:r>
        <w:t xml:space="preserve">, </w:t>
      </w:r>
      <w:r w:rsidRPr="00BE4526">
        <w:t>http://edit.eceee.org/all-news/press/2013/2013-02-19/eceee-clasp-report-estimating-potential</w:t>
      </w:r>
      <w:r w:rsidRPr="00CF7C46">
        <w:t>.</w:t>
      </w:r>
    </w:p>
  </w:footnote>
  <w:footnote w:id="22">
    <w:p w14:paraId="1A765C23" w14:textId="7519349E" w:rsidR="00A06D5C" w:rsidRPr="001A6BC6" w:rsidRDefault="00A06D5C" w:rsidP="001A6BC6">
      <w:pPr>
        <w:pStyle w:val="FootnoteText"/>
        <w:rPr>
          <w:lang w:val="es-ES"/>
        </w:rPr>
      </w:pPr>
      <w:r>
        <w:rPr>
          <w:rStyle w:val="FootnoteReference"/>
        </w:rPr>
        <w:footnoteRef/>
      </w:r>
      <w:r w:rsidRPr="001A6BC6">
        <w:rPr>
          <w:lang w:val="es-ES"/>
        </w:rPr>
        <w:t xml:space="preserve"> Directiva 2009/125/CE </w:t>
      </w:r>
      <w:r>
        <w:rPr>
          <w:lang w:val="es-ES"/>
        </w:rPr>
        <w:t xml:space="preserve">del Parlamento Europeo y del Consejo </w:t>
      </w:r>
      <w:r w:rsidRPr="001A6BC6">
        <w:rPr>
          <w:lang w:val="es-ES"/>
        </w:rPr>
        <w:t>de 21 de octubre de 2009 por la que se instaura un marco para el establecimiento de requisitos de diseño ecológico aplicables a los productos relacionados con la energía</w:t>
      </w:r>
      <w:r>
        <w:rPr>
          <w:lang w:val="es-ES"/>
        </w:rPr>
        <w:t>, y reglamentos a nivel de los productos.</w:t>
      </w:r>
    </w:p>
  </w:footnote>
  <w:footnote w:id="23">
    <w:p w14:paraId="4068D45D" w14:textId="3B3FD5AB" w:rsidR="00A06D5C" w:rsidRDefault="00A06D5C">
      <w:pPr>
        <w:pStyle w:val="FootnoteText"/>
      </w:pPr>
      <w:r>
        <w:rPr>
          <w:rStyle w:val="FootnoteReference"/>
        </w:rPr>
        <w:footnoteRef/>
      </w:r>
      <w:r>
        <w:t xml:space="preserve"> Agreement on Technical Cooperation between ISO and CEN (Vienna Agreement) of 27 June 1991.</w:t>
      </w:r>
    </w:p>
  </w:footnote>
  <w:footnote w:id="24">
    <w:p w14:paraId="12FF0ED2" w14:textId="2F1EF78A" w:rsidR="00A06D5C" w:rsidRPr="00347AA4" w:rsidRDefault="00A06D5C">
      <w:pPr>
        <w:pStyle w:val="FootnoteText"/>
      </w:pPr>
      <w:r>
        <w:rPr>
          <w:rStyle w:val="FootnoteReference"/>
        </w:rPr>
        <w:footnoteRef/>
      </w:r>
      <w:r w:rsidRPr="00347AA4">
        <w:t xml:space="preserve"> Electronic Code of Federal Regulations</w:t>
      </w:r>
      <w:r>
        <w:t xml:space="preserve"> (e-CFR)</w:t>
      </w:r>
      <w:r w:rsidRPr="00347AA4">
        <w:t>, Title 10:</w:t>
      </w:r>
      <w:r>
        <w:t xml:space="preserve"> Energy, Chapter II, Subchapter D, Part 430: Energy Conservation Program for Consumer Products, Subpart C: Energy and Water Conservation Standards, </w:t>
      </w:r>
      <w:r>
        <w:rPr>
          <w:rFonts w:cs="Calibri"/>
        </w:rPr>
        <w:t>§</w:t>
      </w:r>
      <w:r>
        <w:t xml:space="preserve">430.32 Energy and water conservation standards and their compliance dates, </w:t>
      </w:r>
      <w:r w:rsidRPr="00347AA4">
        <w:t>https://www.ecfr.gov/cgi-bin/text-idx?SID=eca2d5da56a1375aed7085695245f2ec&amp;mc=true&amp;node=se10.3.430_13&amp;rgn=div8</w:t>
      </w:r>
    </w:p>
  </w:footnote>
  <w:footnote w:id="25">
    <w:p w14:paraId="2939FCAB" w14:textId="2E2978C5" w:rsidR="00A06D5C" w:rsidRPr="00601B99" w:rsidRDefault="00A06D5C" w:rsidP="00601B99">
      <w:pPr>
        <w:pStyle w:val="FootnoteText"/>
      </w:pPr>
      <w:r>
        <w:rPr>
          <w:rStyle w:val="FootnoteReference"/>
        </w:rPr>
        <w:footnoteRef/>
      </w:r>
      <w:r>
        <w:t xml:space="preserve"> Electronic Code of Federal Regulations (e-CFR), Title 10: Energy, Part 430: Energy Conservation Program for Consumer Products, Subpart B - Test Procedures, §430.23 Test procedures for the measurement of energy and water consumption, </w:t>
      </w:r>
      <w:r w:rsidRPr="00601B99">
        <w:t>https://www.ecfr.gov/cgi-bin/retrieveECFR?gp=&amp;SID=427412b55319a41fcea2bf7f0595469b&amp;mc=true&amp;n=pt10.3.430&amp;r=PART&amp;ty=HTML#se10.3.430_123</w:t>
      </w:r>
    </w:p>
  </w:footnote>
  <w:footnote w:id="26">
    <w:p w14:paraId="58FF2A76" w14:textId="5DDC76B9" w:rsidR="00A06D5C" w:rsidRDefault="00A06D5C">
      <w:pPr>
        <w:pStyle w:val="FootnoteText"/>
      </w:pPr>
      <w:r>
        <w:rPr>
          <w:rStyle w:val="FootnoteReference"/>
        </w:rPr>
        <w:footnoteRef/>
      </w:r>
      <w:r>
        <w:t xml:space="preserve"> </w:t>
      </w:r>
      <w:r w:rsidRPr="00F14FC4">
        <w:t>Electronic Code of Federal Regulations (e-CFR), Title 10: Energy, Chapter II, Subchapter D, Part 429—Certification, Compliance, and Enforcement for Consumer Products and Commercial and Industrial Equipment https://www.ecfr.gov/cgi-bin/text-idx?c=ecfr&amp;rgn=div5&amp;view=text&amp;node=10:3.0.1.4.17&amp;idno=10</w:t>
      </w:r>
    </w:p>
  </w:footnote>
  <w:footnote w:id="27">
    <w:p w14:paraId="71966228" w14:textId="5CA0E334" w:rsidR="00A06D5C" w:rsidRDefault="00A06D5C">
      <w:pPr>
        <w:pStyle w:val="FootnoteText"/>
      </w:pPr>
      <w:r>
        <w:rPr>
          <w:rStyle w:val="FootnoteReference"/>
        </w:rPr>
        <w:footnoteRef/>
      </w:r>
      <w:r>
        <w:t xml:space="preserve"> </w:t>
      </w:r>
      <w:r w:rsidRPr="00804373">
        <w:t>https://www.ftc.gov/enforcement/rules/rulemaking-regulatory-reform-proceedings/energy-water-use-labeling-consumer</w:t>
      </w:r>
    </w:p>
  </w:footnote>
  <w:footnote w:id="28">
    <w:p w14:paraId="002DCD21" w14:textId="1262644E" w:rsidR="00A06D5C" w:rsidRDefault="00A06D5C">
      <w:pPr>
        <w:pStyle w:val="FootnoteText"/>
      </w:pPr>
      <w:r>
        <w:rPr>
          <w:rStyle w:val="FootnoteReference"/>
        </w:rPr>
        <w:footnoteRef/>
      </w:r>
      <w:r>
        <w:t xml:space="preserve"> Electronic Code of Federal Regulations (e-CFR), Title 16, Chapter 1, Subchapter C, Subpart </w:t>
      </w:r>
      <w:r w:rsidRPr="007C68E6">
        <w:t>PART 305—E</w:t>
      </w:r>
      <w:r>
        <w:t>nergy and Water Use Labeling for Consumer Products under the Energy Policy and Conservation Act</w:t>
      </w:r>
      <w:r w:rsidRPr="007C68E6">
        <w:t xml:space="preserve"> (“E</w:t>
      </w:r>
      <w:r>
        <w:t>nergy Labeling Rule</w:t>
      </w:r>
      <w:r w:rsidRPr="007C68E6">
        <w:t>”)</w:t>
      </w:r>
      <w:r>
        <w:t xml:space="preserve"> </w:t>
      </w:r>
      <w:r w:rsidRPr="007C68E6">
        <w:t xml:space="preserve">https://www.ecfr.gov/cgi-bin/text-idx?SID=ab72ada968fad7ddeec166e4b9f76f79&amp;mc=true&amp;node=pt16.1.305&amp;rgn=div5 </w:t>
      </w:r>
    </w:p>
  </w:footnote>
  <w:footnote w:id="29">
    <w:p w14:paraId="5C20AC8C" w14:textId="54F2DBAE" w:rsidR="00A06D5C" w:rsidRDefault="00A06D5C">
      <w:pPr>
        <w:pStyle w:val="FootnoteText"/>
      </w:pPr>
      <w:r>
        <w:rPr>
          <w:rStyle w:val="FootnoteReference"/>
        </w:rPr>
        <w:footnoteRef/>
      </w:r>
      <w:r w:rsidRPr="0021036E">
        <w:t>https://energy.gov/eere/buildings/energy-star</w:t>
      </w:r>
      <w:r>
        <w:t xml:space="preserve"> </w:t>
      </w:r>
    </w:p>
  </w:footnote>
  <w:footnote w:id="30">
    <w:p w14:paraId="5DC1CC86" w14:textId="7ED2F7F0" w:rsidR="00A06D5C" w:rsidRPr="0015120E" w:rsidRDefault="00A06D5C">
      <w:pPr>
        <w:pStyle w:val="FootnoteText"/>
      </w:pPr>
      <w:r>
        <w:rPr>
          <w:rStyle w:val="FootnoteReference"/>
        </w:rPr>
        <w:footnoteRef/>
      </w:r>
      <w:r w:rsidRPr="0015120E">
        <w:t xml:space="preserve"> Federal Register, Vol. 81, No. 52, Part II Department of Energy, 10 CFR Parts 429 and 430 Energy Conservation Program:</w:t>
      </w:r>
      <w:r>
        <w:t xml:space="preserve"> Energy Conservation Standards for General Service Lamps; Proposed Rule, March 17, 2016.</w:t>
      </w:r>
    </w:p>
  </w:footnote>
  <w:footnote w:id="31">
    <w:p w14:paraId="7DD47D62" w14:textId="0A3D5B71" w:rsidR="00A06D5C" w:rsidRPr="0053345F" w:rsidRDefault="00A06D5C">
      <w:pPr>
        <w:pStyle w:val="FootnoteText"/>
        <w:rPr>
          <w:lang w:val="es-ES"/>
        </w:rPr>
      </w:pPr>
      <w:r>
        <w:rPr>
          <w:rStyle w:val="FootnoteReference"/>
        </w:rPr>
        <w:footnoteRef/>
      </w:r>
      <w:r w:rsidRPr="0053345F">
        <w:rPr>
          <w:lang w:val="es-ES"/>
        </w:rPr>
        <w:t xml:space="preserve"> </w:t>
      </w:r>
      <w:r>
        <w:rPr>
          <w:lang w:val="es-ES"/>
        </w:rPr>
        <w:t xml:space="preserve">Véase el Anexo 3 para una compilación de los valores límites de los productos incluidos en la figura. </w:t>
      </w:r>
      <w:r w:rsidRPr="0053345F">
        <w:rPr>
          <w:lang w:val="es-ES"/>
        </w:rPr>
        <w:t>Para los valores límites de todos productos regulados véase e-CFR, Title 10, Chapter II, Subchapter D, Part 430, §430.32</w:t>
      </w:r>
      <w:r>
        <w:rPr>
          <w:lang w:val="es-ES"/>
        </w:rPr>
        <w:t xml:space="preserve">, numerales (n), (x)(1) y </w:t>
      </w:r>
      <w:r w:rsidRPr="0053345F">
        <w:rPr>
          <w:lang w:val="es-ES"/>
        </w:rPr>
        <w:t xml:space="preserve"> Federal Register, Vol. 81, No. 52, Part I</w:t>
      </w:r>
      <w:r>
        <w:rPr>
          <w:lang w:val="es-ES"/>
        </w:rPr>
        <w:t xml:space="preserve">, </w:t>
      </w:r>
      <w:r w:rsidRPr="0053345F">
        <w:rPr>
          <w:lang w:val="es-ES"/>
        </w:rPr>
        <w:t>10 CFR Parts 429 and 430 Energy Conservation Program: Energy Conservation Standards for General Service Lamps; Proposed Rule.</w:t>
      </w:r>
    </w:p>
  </w:footnote>
  <w:footnote w:id="32">
    <w:p w14:paraId="5F3332DF" w14:textId="64DF6280" w:rsidR="00A06D5C" w:rsidRPr="00485769" w:rsidRDefault="00A06D5C">
      <w:pPr>
        <w:pStyle w:val="FootnoteText"/>
        <w:rPr>
          <w:lang w:val="es-ES"/>
        </w:rPr>
      </w:pPr>
      <w:r>
        <w:rPr>
          <w:rStyle w:val="FootnoteReference"/>
        </w:rPr>
        <w:footnoteRef/>
      </w:r>
      <w:r w:rsidRPr="00EE726D">
        <w:rPr>
          <w:lang w:val="es-ES"/>
        </w:rPr>
        <w:t xml:space="preserve"> Esta situación refleja la discusión continua sobre los límites de desempe</w:t>
      </w:r>
      <w:r>
        <w:rPr>
          <w:lang w:val="es-ES"/>
        </w:rPr>
        <w:t xml:space="preserve">ño energético de lámparas en EE.UU., que puede resultar en límites distintos en el futuro </w:t>
      </w:r>
      <w:r w:rsidRPr="009512F0">
        <w:rPr>
          <w:i/>
          <w:lang w:val="es-ES"/>
        </w:rPr>
        <w:t>Final Rule</w:t>
      </w:r>
      <w:r>
        <w:rPr>
          <w:lang w:val="es-ES"/>
        </w:rPr>
        <w:t xml:space="preserve">. La discontinuidad de los límites para lámparas de baja y alta luminosidad (2.000 lm) es debido a que </w:t>
      </w:r>
      <w:r w:rsidRPr="009512F0">
        <w:rPr>
          <w:lang w:val="es-ES"/>
        </w:rPr>
        <w:t>–</w:t>
      </w:r>
      <w:r>
        <w:rPr>
          <w:lang w:val="es-ES"/>
        </w:rPr>
        <w:t xml:space="preserve"> en el momento de elaboración del </w:t>
      </w:r>
      <w:r w:rsidRPr="009512F0">
        <w:rPr>
          <w:i/>
          <w:lang w:val="es-ES"/>
        </w:rPr>
        <w:t>Proposed Rule</w:t>
      </w:r>
      <w:r>
        <w:rPr>
          <w:lang w:val="es-ES"/>
        </w:rPr>
        <w:t xml:space="preserve"> </w:t>
      </w:r>
      <w:r w:rsidRPr="009512F0">
        <w:rPr>
          <w:lang w:val="es-ES"/>
        </w:rPr>
        <w:t>–</w:t>
      </w:r>
      <w:r>
        <w:rPr>
          <w:lang w:val="es-ES"/>
        </w:rPr>
        <w:t xml:space="preserve"> no existieron lámparas LED de alta luminosidad (&gt; 2.000 lm), Comunicación personal My Ton, P&amp;R Energy LLC, EE.UU., 31 de enero de 2018. </w:t>
      </w:r>
      <w:r w:rsidRPr="00485769">
        <w:rPr>
          <w:lang w:val="es-ES"/>
        </w:rPr>
        <w:t>Con respecto a la probable aplicación del "</w:t>
      </w:r>
      <w:r w:rsidRPr="00485769">
        <w:rPr>
          <w:i/>
          <w:lang w:val="es-ES"/>
        </w:rPr>
        <w:t>backstop standard</w:t>
      </w:r>
      <w:r w:rsidRPr="00485769">
        <w:rPr>
          <w:lang w:val="es-ES"/>
        </w:rPr>
        <w:t xml:space="preserve">" véase  https://appliance-standards.org/sites/default/files/AESPFeb2018-Granda2020Standards.pdf </w:t>
      </w:r>
    </w:p>
  </w:footnote>
  <w:footnote w:id="33">
    <w:p w14:paraId="79DF57D7" w14:textId="262C5E8A" w:rsidR="00A06D5C" w:rsidRPr="00277945" w:rsidRDefault="00A06D5C">
      <w:pPr>
        <w:pStyle w:val="FootnoteText"/>
      </w:pPr>
      <w:r>
        <w:rPr>
          <w:rStyle w:val="FootnoteReference"/>
        </w:rPr>
        <w:footnoteRef/>
      </w:r>
      <w:r w:rsidRPr="00277945">
        <w:t xml:space="preserve">   Federal Register, Vol. 8</w:t>
      </w:r>
      <w:r>
        <w:t>0</w:t>
      </w:r>
      <w:r w:rsidRPr="00277945">
        <w:t xml:space="preserve">, No. </w:t>
      </w:r>
      <w:r>
        <w:t>236</w:t>
      </w:r>
      <w:r w:rsidRPr="00277945">
        <w:t>, Part II Department of Energy, 10 CFR Part 43</w:t>
      </w:r>
      <w:r>
        <w:t>1</w:t>
      </w:r>
      <w:r w:rsidRPr="00277945">
        <w:t xml:space="preserve"> Energy Conservation Program: Energy Conservation Standards for </w:t>
      </w:r>
      <w:r>
        <w:t>High-Intensity Discharge Lamps</w:t>
      </w:r>
      <w:r w:rsidRPr="00277945">
        <w:t xml:space="preserve">; </w:t>
      </w:r>
      <w:r>
        <w:t>Final Determination</w:t>
      </w:r>
      <w:r w:rsidRPr="00277945">
        <w:t>.</w:t>
      </w:r>
    </w:p>
  </w:footnote>
  <w:footnote w:id="34">
    <w:p w14:paraId="3469ADC6" w14:textId="09AE7906" w:rsidR="00A06D5C" w:rsidRDefault="00A06D5C">
      <w:pPr>
        <w:pStyle w:val="FootnoteText"/>
      </w:pPr>
      <w:r>
        <w:rPr>
          <w:rStyle w:val="FootnoteReference"/>
        </w:rPr>
        <w:footnoteRef/>
      </w:r>
      <w:r>
        <w:t xml:space="preserve"> </w:t>
      </w:r>
      <w:r w:rsidRPr="00500A65">
        <w:t>https://www.energystar.gov/products/spec/lamps_specification_version_2_0_pd</w:t>
      </w:r>
    </w:p>
  </w:footnote>
  <w:footnote w:id="35">
    <w:p w14:paraId="1BFC5FB8" w14:textId="67680C00" w:rsidR="00A06D5C" w:rsidRPr="00263A41" w:rsidRDefault="00A06D5C" w:rsidP="00706BFF">
      <w:pPr>
        <w:pStyle w:val="FootnoteText"/>
        <w:jc w:val="left"/>
      </w:pPr>
      <w:r>
        <w:rPr>
          <w:rStyle w:val="FootnoteReference"/>
        </w:rPr>
        <w:footnoteRef/>
      </w:r>
      <w:r w:rsidRPr="00263A41">
        <w:t xml:space="preserve"> https://www.ecfr.gov/cgi-bin/retrieveECFR?gp=&amp;SID=427412b55319a41fcea2bf7f0595469b&amp;mc=true&amp;n=pt10.3.430&amp;r=PART&amp;ty=HTML#se10.3.430_123</w:t>
      </w:r>
    </w:p>
  </w:footnote>
  <w:footnote w:id="36">
    <w:p w14:paraId="4C21294F" w14:textId="4202EA0A" w:rsidR="00A06D5C" w:rsidRPr="00263A41" w:rsidRDefault="00A06D5C" w:rsidP="00915FCA">
      <w:pPr>
        <w:pStyle w:val="FootnoteText"/>
      </w:pPr>
      <w:r>
        <w:rPr>
          <w:rStyle w:val="FootnoteReference"/>
        </w:rPr>
        <w:footnoteRef/>
      </w:r>
      <w:r w:rsidRPr="00263A41">
        <w:t xml:space="preserve"> Las normas incorporadas por referencia están incluidas en el </w:t>
      </w:r>
      <w:r w:rsidRPr="00263A41">
        <w:rPr>
          <w:rFonts w:cs="Calibri"/>
        </w:rPr>
        <w:t>§</w:t>
      </w:r>
      <w:r w:rsidRPr="00263A41">
        <w:t>430.3 "Materials incorporated by reference", Electronic Code of Federal Regulations (e-CFR), Title 10: Energy, Part 430: Energy Conservation Program for Consumer Products, Subpart A: General Provisions</w:t>
      </w:r>
      <w:r>
        <w:t>.</w:t>
      </w:r>
    </w:p>
  </w:footnote>
  <w:footnote w:id="37">
    <w:p w14:paraId="5D439896" w14:textId="3F65FA83" w:rsidR="00A06D5C" w:rsidRPr="00531FE5" w:rsidRDefault="00A06D5C" w:rsidP="00260962">
      <w:pPr>
        <w:pStyle w:val="FootnoteText"/>
      </w:pPr>
      <w:r>
        <w:rPr>
          <w:rStyle w:val="FootnoteReference"/>
        </w:rPr>
        <w:footnoteRef/>
      </w:r>
      <w:r w:rsidRPr="00531FE5">
        <w:t xml:space="preserve"> Comunicación personal Dr Yoshi Ohno, National Ins</w:t>
      </w:r>
      <w:r>
        <w:t>t</w:t>
      </w:r>
      <w:r w:rsidRPr="00531FE5">
        <w:t>itute of Standards and Technology (NIST), EE.UU., 1 de febrero de 2018.</w:t>
      </w:r>
    </w:p>
  </w:footnote>
  <w:footnote w:id="38">
    <w:p w14:paraId="1D956C83" w14:textId="64365085" w:rsidR="00A06D5C" w:rsidRPr="003260C8" w:rsidRDefault="00A06D5C">
      <w:pPr>
        <w:pStyle w:val="FootnoteText"/>
      </w:pPr>
      <w:r>
        <w:rPr>
          <w:rStyle w:val="FootnoteReference"/>
        </w:rPr>
        <w:footnoteRef/>
      </w:r>
      <w:r w:rsidRPr="003260C8">
        <w:t xml:space="preserve"> https://www.ecfr.gov/cgi-bin/text-idx?c=ecfr&amp;rgn=div5&amp;view=text&amp;node=10:3.0.1.4.17&amp;idno=10</w:t>
      </w:r>
    </w:p>
  </w:footnote>
  <w:footnote w:id="39">
    <w:p w14:paraId="0BE1197F" w14:textId="34B1F23F" w:rsidR="00A06D5C" w:rsidRPr="00E855CE" w:rsidRDefault="00A06D5C">
      <w:pPr>
        <w:pStyle w:val="FootnoteText"/>
        <w:rPr>
          <w:lang w:val="es-ES"/>
        </w:rPr>
      </w:pPr>
      <w:r>
        <w:rPr>
          <w:rStyle w:val="FootnoteReference"/>
        </w:rPr>
        <w:footnoteRef/>
      </w:r>
      <w:r w:rsidRPr="00E855CE">
        <w:rPr>
          <w:lang w:val="es-ES"/>
        </w:rPr>
        <w:t xml:space="preserve"> Véase https://www.ecfr.gov/cgi-bin/text-idx?c=ecfr&amp;rgn=div5&amp;view=text&amp;node=10:3.0.1.4.17&amp;idno=10, </w:t>
      </w:r>
      <w:r w:rsidRPr="00E855CE">
        <w:rPr>
          <w:rFonts w:cs="Calibri"/>
          <w:lang w:val="es-ES"/>
        </w:rPr>
        <w:t>§</w:t>
      </w:r>
      <w:r w:rsidRPr="00E855CE">
        <w:rPr>
          <w:lang w:val="es-ES"/>
        </w:rPr>
        <w:t>429.12</w:t>
      </w:r>
    </w:p>
  </w:footnote>
  <w:footnote w:id="40">
    <w:p w14:paraId="679EAA29" w14:textId="1D9D7D27" w:rsidR="00A06D5C" w:rsidRPr="00E855CE" w:rsidRDefault="00A06D5C">
      <w:pPr>
        <w:pStyle w:val="FootnoteText"/>
        <w:rPr>
          <w:lang w:val="es-ES"/>
        </w:rPr>
      </w:pPr>
      <w:r>
        <w:rPr>
          <w:rStyle w:val="FootnoteReference"/>
        </w:rPr>
        <w:footnoteRef/>
      </w:r>
      <w:r w:rsidRPr="00E855CE">
        <w:rPr>
          <w:lang w:val="es-ES"/>
        </w:rPr>
        <w:t xml:space="preserve"> https://www.regulations.doe.gov/ccms/ccms/templates</w:t>
      </w:r>
    </w:p>
  </w:footnote>
  <w:footnote w:id="41">
    <w:p w14:paraId="543C64FF" w14:textId="2DE30204" w:rsidR="00A06D5C" w:rsidRPr="00BE524B" w:rsidRDefault="00A06D5C">
      <w:pPr>
        <w:pStyle w:val="FootnoteText"/>
        <w:rPr>
          <w:color w:val="auto"/>
        </w:rPr>
      </w:pPr>
      <w:r w:rsidRPr="00BE524B">
        <w:rPr>
          <w:rStyle w:val="FootnoteReference"/>
          <w:color w:val="auto"/>
        </w:rPr>
        <w:footnoteRef/>
      </w:r>
      <w:r w:rsidRPr="00BE524B">
        <w:rPr>
          <w:color w:val="auto"/>
        </w:rPr>
        <w:t xml:space="preserve"> Electronic Code of Federal Regulations (e-CFR), Title 16, Chapter 1, Subchapter C, Subpart PART 305, </w:t>
      </w:r>
      <w:r w:rsidRPr="00BE524B">
        <w:rPr>
          <w:rFonts w:cs="Calibri"/>
          <w:color w:val="auto"/>
        </w:rPr>
        <w:t>§</w:t>
      </w:r>
      <w:r w:rsidRPr="00BE524B">
        <w:rPr>
          <w:color w:val="auto"/>
        </w:rPr>
        <w:t>305.15 Labeling for Lighting Products, Appendix L to Part 305 Sample Labels.</w:t>
      </w:r>
    </w:p>
  </w:footnote>
  <w:footnote w:id="42">
    <w:p w14:paraId="422B0845" w14:textId="5B425233" w:rsidR="00A06D5C" w:rsidRPr="00DF1DBE" w:rsidRDefault="00A06D5C" w:rsidP="00DF1DBE">
      <w:pPr>
        <w:pStyle w:val="FootnoteText"/>
        <w:rPr>
          <w:lang w:val="es-ES"/>
        </w:rPr>
      </w:pPr>
      <w:r>
        <w:rPr>
          <w:rStyle w:val="FootnoteReference"/>
        </w:rPr>
        <w:footnoteRef/>
      </w:r>
      <w:r w:rsidRPr="00DF1DBE">
        <w:rPr>
          <w:lang w:val="es-ES"/>
        </w:rPr>
        <w:t xml:space="preserve"> Directiva 2009/125/CE </w:t>
      </w:r>
      <w:r>
        <w:rPr>
          <w:lang w:val="es-ES"/>
        </w:rPr>
        <w:t xml:space="preserve">del </w:t>
      </w:r>
      <w:r w:rsidRPr="00DF1DBE">
        <w:rPr>
          <w:lang w:val="es-ES"/>
        </w:rPr>
        <w:t>P</w:t>
      </w:r>
      <w:r>
        <w:rPr>
          <w:lang w:val="es-ES"/>
        </w:rPr>
        <w:t>arlamento</w:t>
      </w:r>
      <w:r w:rsidRPr="00DF1DBE">
        <w:rPr>
          <w:lang w:val="es-ES"/>
        </w:rPr>
        <w:t xml:space="preserve"> E</w:t>
      </w:r>
      <w:r>
        <w:rPr>
          <w:lang w:val="es-ES"/>
        </w:rPr>
        <w:t xml:space="preserve">uropeo y del Consejo </w:t>
      </w:r>
      <w:r w:rsidRPr="00DF1DBE">
        <w:rPr>
          <w:lang w:val="es-ES"/>
        </w:rPr>
        <w:t>de 21 de octubre de 2009</w:t>
      </w:r>
      <w:r>
        <w:rPr>
          <w:lang w:val="es-ES"/>
        </w:rPr>
        <w:t xml:space="preserve"> </w:t>
      </w:r>
      <w:r w:rsidRPr="00DF1DBE">
        <w:rPr>
          <w:lang w:val="es-ES"/>
        </w:rPr>
        <w:t>por la que se instaura un marco para el establecimiento de requisitos de diseño ecológico aplicables a los productos relacionados con la energía</w:t>
      </w:r>
    </w:p>
    <w:p w14:paraId="2673137F" w14:textId="65466D36" w:rsidR="00A06D5C" w:rsidRPr="00DF1DBE" w:rsidRDefault="00A06D5C" w:rsidP="00DF1DBE">
      <w:pPr>
        <w:pStyle w:val="FootnoteText"/>
        <w:rPr>
          <w:lang w:val="es-ES"/>
        </w:rPr>
      </w:pPr>
      <w:r w:rsidRPr="00DF1DBE">
        <w:rPr>
          <w:lang w:val="es-ES"/>
        </w:rPr>
        <w:t>(refundición).</w:t>
      </w:r>
    </w:p>
  </w:footnote>
  <w:footnote w:id="43">
    <w:p w14:paraId="5BE001A7" w14:textId="5A6B5B2A" w:rsidR="00A06D5C" w:rsidRPr="00DF1DBE" w:rsidRDefault="00A06D5C">
      <w:pPr>
        <w:pStyle w:val="FootnoteText"/>
        <w:rPr>
          <w:lang w:val="es-ES"/>
        </w:rPr>
      </w:pPr>
      <w:r>
        <w:rPr>
          <w:rStyle w:val="FootnoteReference"/>
        </w:rPr>
        <w:footnoteRef/>
      </w:r>
      <w:r w:rsidRPr="00DF1DBE">
        <w:rPr>
          <w:lang w:val="es-ES"/>
        </w:rPr>
        <w:t xml:space="preserve"> Véase https://ec.europa.eu/energy/en/topics/energy-efficiency/energy-efficient-products</w:t>
      </w:r>
    </w:p>
  </w:footnote>
  <w:footnote w:id="44">
    <w:p w14:paraId="4AD45302" w14:textId="28056617" w:rsidR="00A06D5C" w:rsidRPr="00571C61" w:rsidRDefault="00A06D5C">
      <w:pPr>
        <w:pStyle w:val="FootnoteText"/>
        <w:rPr>
          <w:lang w:val="es-ES"/>
        </w:rPr>
      </w:pPr>
      <w:r>
        <w:rPr>
          <w:rStyle w:val="FootnoteReference"/>
        </w:rPr>
        <w:footnoteRef/>
      </w:r>
      <w:r w:rsidRPr="00571C61">
        <w:rPr>
          <w:lang w:val="es-ES"/>
        </w:rPr>
        <w:t xml:space="preserve"> https://ec.europa.eu/energy/sites/ener/files/documents/com_2016_773.en_.pdf</w:t>
      </w:r>
    </w:p>
  </w:footnote>
  <w:footnote w:id="45">
    <w:p w14:paraId="2415DB7E" w14:textId="236251D2" w:rsidR="00A06D5C" w:rsidRPr="00D24C6E" w:rsidRDefault="00A06D5C" w:rsidP="00D24C6E">
      <w:pPr>
        <w:pStyle w:val="FootnoteText"/>
        <w:rPr>
          <w:lang w:val="es-ES"/>
        </w:rPr>
      </w:pPr>
      <w:r>
        <w:rPr>
          <w:rStyle w:val="FootnoteReference"/>
        </w:rPr>
        <w:footnoteRef/>
      </w:r>
      <w:r w:rsidRPr="00D24C6E">
        <w:rPr>
          <w:lang w:val="es-ES"/>
        </w:rPr>
        <w:t xml:space="preserve"> Directiva 2009/125/CE, Artículo 10: Normas armonizadas.</w:t>
      </w:r>
    </w:p>
  </w:footnote>
  <w:footnote w:id="46">
    <w:p w14:paraId="6F7EAD08" w14:textId="74F077C7" w:rsidR="00A06D5C" w:rsidRPr="00D24C6E" w:rsidRDefault="00A06D5C">
      <w:pPr>
        <w:pStyle w:val="FootnoteText"/>
        <w:rPr>
          <w:lang w:val="es-ES"/>
        </w:rPr>
      </w:pPr>
      <w:r>
        <w:rPr>
          <w:rStyle w:val="FootnoteReference"/>
        </w:rPr>
        <w:footnoteRef/>
      </w:r>
      <w:r w:rsidRPr="00D24C6E">
        <w:rPr>
          <w:lang w:val="es-ES"/>
        </w:rPr>
        <w:t xml:space="preserve"> En la mayoría de casos son revisiones (nuevas ediciones</w:t>
      </w:r>
      <w:r>
        <w:rPr>
          <w:lang w:val="es-ES"/>
        </w:rPr>
        <w:t>)</w:t>
      </w:r>
      <w:r w:rsidRPr="00D24C6E">
        <w:rPr>
          <w:lang w:val="es-ES"/>
        </w:rPr>
        <w:t xml:space="preserve"> de normas europeas EN </w:t>
      </w:r>
      <w:r>
        <w:rPr>
          <w:lang w:val="es-ES"/>
        </w:rPr>
        <w:t>ya existentes. En base del "Acuerdo de Viena" mencionado anteriormente, se actualizaron en paralelo las normas internacionales IEC correspondientes (véase la sección 3.3.2).</w:t>
      </w:r>
    </w:p>
  </w:footnote>
  <w:footnote w:id="47">
    <w:p w14:paraId="6E7F2C78" w14:textId="5354AF19" w:rsidR="00A06D5C" w:rsidRPr="00586140" w:rsidRDefault="00A06D5C" w:rsidP="00586140">
      <w:pPr>
        <w:pStyle w:val="FootnoteText"/>
        <w:rPr>
          <w:lang w:val="es-ES"/>
        </w:rPr>
      </w:pPr>
      <w:r>
        <w:rPr>
          <w:rStyle w:val="FootnoteReference"/>
        </w:rPr>
        <w:footnoteRef/>
      </w:r>
      <w:r w:rsidRPr="00291534">
        <w:rPr>
          <w:lang w:val="es-ES"/>
        </w:rPr>
        <w:t xml:space="preserve"> D</w:t>
      </w:r>
      <w:r>
        <w:rPr>
          <w:lang w:val="es-ES"/>
        </w:rPr>
        <w:t>irectiva</w:t>
      </w:r>
      <w:r w:rsidRPr="00291534">
        <w:rPr>
          <w:lang w:val="es-ES"/>
        </w:rPr>
        <w:t xml:space="preserve"> 2010/30/UE </w:t>
      </w:r>
      <w:r>
        <w:rPr>
          <w:lang w:val="es-ES"/>
        </w:rPr>
        <w:t xml:space="preserve">del Parlamento Europeo y del Consejo </w:t>
      </w:r>
      <w:r w:rsidRPr="00291534">
        <w:rPr>
          <w:lang w:val="es-ES"/>
        </w:rPr>
        <w:t>de 19 de mayo de 2010</w:t>
      </w:r>
      <w:r>
        <w:rPr>
          <w:lang w:val="es-ES"/>
        </w:rPr>
        <w:t xml:space="preserve"> </w:t>
      </w:r>
      <w:r w:rsidRPr="00291534">
        <w:rPr>
          <w:lang w:val="es-ES"/>
        </w:rPr>
        <w:t>relativa a la indicación del consumo de energía y otros recursos por parte de los productos relacionados con la energía, mediante el etiquetado y una información normalizada</w:t>
      </w:r>
      <w:r>
        <w:rPr>
          <w:lang w:val="es-ES"/>
        </w:rPr>
        <w:t xml:space="preserve"> </w:t>
      </w:r>
      <w:r w:rsidRPr="00291534">
        <w:rPr>
          <w:lang w:val="es-ES"/>
        </w:rPr>
        <w:t>(refundición)</w:t>
      </w:r>
      <w:r>
        <w:rPr>
          <w:lang w:val="es-ES"/>
        </w:rPr>
        <w:t xml:space="preserve">. </w:t>
      </w:r>
    </w:p>
  </w:footnote>
  <w:footnote w:id="48">
    <w:p w14:paraId="746E0A3B" w14:textId="6484F955" w:rsidR="00A06D5C" w:rsidRPr="00B84B59" w:rsidRDefault="00A06D5C">
      <w:pPr>
        <w:pStyle w:val="FootnoteText"/>
        <w:rPr>
          <w:lang w:val="es-ES"/>
        </w:rPr>
      </w:pPr>
      <w:r>
        <w:rPr>
          <w:rStyle w:val="FootnoteReference"/>
        </w:rPr>
        <w:footnoteRef/>
      </w:r>
      <w:r w:rsidRPr="00B84B59">
        <w:rPr>
          <w:lang w:val="es-ES"/>
        </w:rPr>
        <w:t xml:space="preserve"> </w:t>
      </w:r>
      <w:r w:rsidRPr="0034543C">
        <w:rPr>
          <w:lang w:val="es-ES"/>
        </w:rPr>
        <w:t>La Directiva 2010/30/UE fue reemplazada e</w:t>
      </w:r>
      <w:r>
        <w:rPr>
          <w:lang w:val="es-ES"/>
        </w:rPr>
        <w:t>l</w:t>
      </w:r>
      <w:r w:rsidRPr="0034543C">
        <w:rPr>
          <w:lang w:val="es-ES"/>
        </w:rPr>
        <w:t xml:space="preserve"> </w:t>
      </w:r>
      <w:r>
        <w:rPr>
          <w:lang w:val="es-ES"/>
        </w:rPr>
        <w:t xml:space="preserve">1 de </w:t>
      </w:r>
      <w:r w:rsidRPr="0034543C">
        <w:rPr>
          <w:lang w:val="es-ES"/>
        </w:rPr>
        <w:t>agosto 2017 por el Reglamento (UE) 2017/1369 del Parlamento Europeo y del Consejo de 4 de julio de 2017 por el cual se establece un marco para el etiquetado energético y se deroga la Directiva 2010/30/UE.</w:t>
      </w:r>
      <w:r>
        <w:rPr>
          <w:lang w:val="es-ES"/>
        </w:rPr>
        <w:t xml:space="preserve"> El Reglamento (UE) 2017/1369 mantiene esencialmente el mismo ámbito de aplicación de la Directiva 2010/30/UE, pero modifica y refuerza algunas de sus disposiciones. Por ejemplo, el reglamento introduce una base de datos de los productos introducidos en el mercado e introduce un reescalado de las etiquetas a las clases de eficiencia energética A </w:t>
      </w:r>
      <w:r w:rsidRPr="00D45C85">
        <w:rPr>
          <w:lang w:val="es-ES"/>
        </w:rPr>
        <w:t>–</w:t>
      </w:r>
      <w:r>
        <w:rPr>
          <w:lang w:val="es-ES"/>
        </w:rPr>
        <w:t xml:space="preserve"> G. Establece también plazos para la elaboración y revisión de los reglamentos delegados, incluido el Reglamento Delegado (UE) </w:t>
      </w:r>
      <w:r w:rsidRPr="00B84B59">
        <w:rPr>
          <w:lang w:val="es-ES"/>
        </w:rPr>
        <w:t>874/2012</w:t>
      </w:r>
      <w:r>
        <w:rPr>
          <w:lang w:val="es-ES"/>
        </w:rPr>
        <w:t xml:space="preserve"> para lámparas y luminarias.</w:t>
      </w:r>
    </w:p>
  </w:footnote>
  <w:footnote w:id="49">
    <w:p w14:paraId="1BD141AB" w14:textId="60B0BF58" w:rsidR="00A06D5C" w:rsidRPr="00291534" w:rsidRDefault="00A06D5C">
      <w:pPr>
        <w:pStyle w:val="FootnoteText"/>
        <w:rPr>
          <w:lang w:val="es-ES"/>
        </w:rPr>
      </w:pPr>
      <w:r>
        <w:rPr>
          <w:rStyle w:val="FootnoteReference"/>
        </w:rPr>
        <w:footnoteRef/>
      </w:r>
      <w:r w:rsidRPr="00291534">
        <w:rPr>
          <w:lang w:val="es-ES"/>
        </w:rPr>
        <w:t xml:space="preserve"> </w:t>
      </w:r>
      <w:r>
        <w:rPr>
          <w:lang w:val="es-ES"/>
        </w:rPr>
        <w:t xml:space="preserve">Reglamentos Delegados de la Comisión Europea </w:t>
      </w:r>
      <w:r w:rsidRPr="00291534">
        <w:rPr>
          <w:lang w:val="es-ES"/>
        </w:rPr>
        <w:t xml:space="preserve">por </w:t>
      </w:r>
      <w:r>
        <w:rPr>
          <w:lang w:val="es-ES"/>
        </w:rPr>
        <w:t xml:space="preserve">los </w:t>
      </w:r>
      <w:r w:rsidRPr="00291534">
        <w:rPr>
          <w:lang w:val="es-ES"/>
        </w:rPr>
        <w:t xml:space="preserve">que se complementa la Directiva 2010/30/UE del Parlamento Europeo y del Consejo en lo relativo al etiquetado </w:t>
      </w:r>
      <w:r>
        <w:rPr>
          <w:lang w:val="es-ES"/>
        </w:rPr>
        <w:t>de ciertos productos.</w:t>
      </w:r>
    </w:p>
  </w:footnote>
  <w:footnote w:id="50">
    <w:p w14:paraId="49271ADA" w14:textId="36F927F9" w:rsidR="00A06D5C" w:rsidRPr="00B4298E" w:rsidRDefault="00A06D5C" w:rsidP="00B4298E">
      <w:pPr>
        <w:pStyle w:val="FootnoteText"/>
        <w:rPr>
          <w:lang w:val="es-ES"/>
        </w:rPr>
      </w:pPr>
      <w:r>
        <w:rPr>
          <w:rStyle w:val="FootnoteReference"/>
        </w:rPr>
        <w:footnoteRef/>
      </w:r>
      <w:r w:rsidRPr="00B4298E">
        <w:rPr>
          <w:lang w:val="es-ES"/>
        </w:rPr>
        <w:t xml:space="preserve"> </w:t>
      </w:r>
      <w:r>
        <w:rPr>
          <w:lang w:val="es-ES"/>
        </w:rPr>
        <w:t>Reglamento Delegado (U</w:t>
      </w:r>
      <w:r w:rsidRPr="00B4298E">
        <w:rPr>
          <w:lang w:val="es-ES"/>
        </w:rPr>
        <w:t xml:space="preserve">E) No 874/2012 </w:t>
      </w:r>
      <w:r>
        <w:rPr>
          <w:lang w:val="es-ES"/>
        </w:rPr>
        <w:t xml:space="preserve">de la Comisión </w:t>
      </w:r>
      <w:r w:rsidRPr="00B4298E">
        <w:rPr>
          <w:lang w:val="es-ES"/>
        </w:rPr>
        <w:t>de 12 de julio de 2012</w:t>
      </w:r>
      <w:r>
        <w:rPr>
          <w:lang w:val="es-ES"/>
        </w:rPr>
        <w:t xml:space="preserve"> </w:t>
      </w:r>
      <w:r w:rsidRPr="00B4298E">
        <w:rPr>
          <w:lang w:val="es-ES"/>
        </w:rPr>
        <w:t>por el que se complementa la Directiva 2010/30/UE del Parlamento Europeo y del Consejo en lo relativo al etiquetado energético de las lámparas eléctricas y las luminarias</w:t>
      </w:r>
      <w:r>
        <w:rPr>
          <w:lang w:val="es-ES"/>
        </w:rPr>
        <w:t xml:space="preserve">: </w:t>
      </w:r>
      <w:r w:rsidRPr="00B4298E">
        <w:rPr>
          <w:lang w:val="es-ES"/>
        </w:rPr>
        <w:t>http://eur-lex.europa.eu/legal-content/ES/TXT/PDF/?uri=CELEX:32012R0874&amp;from=EN</w:t>
      </w:r>
      <w:r>
        <w:rPr>
          <w:lang w:val="es-ES"/>
        </w:rPr>
        <w:t xml:space="preserve"> </w:t>
      </w:r>
    </w:p>
  </w:footnote>
  <w:footnote w:id="51">
    <w:p w14:paraId="7700BE94" w14:textId="69377817" w:rsidR="00A06D5C" w:rsidRPr="006E1CB8" w:rsidRDefault="00A06D5C" w:rsidP="00F26701">
      <w:pPr>
        <w:pStyle w:val="FootnoteText"/>
        <w:rPr>
          <w:lang w:val="es-ES"/>
        </w:rPr>
      </w:pPr>
      <w:r>
        <w:rPr>
          <w:rStyle w:val="FootnoteReference"/>
        </w:rPr>
        <w:footnoteRef/>
      </w:r>
      <w:r w:rsidRPr="006E1CB8">
        <w:rPr>
          <w:lang w:val="es-ES"/>
        </w:rPr>
        <w:t xml:space="preserve"> Reglamento (UE) 2017/1369 del Parlamento Europeo y del Consejo de 4 de julio de 2017 por el cual se establece un marco para el etiquetado energético y se deroga la Directiva 2010/30/UE.</w:t>
      </w:r>
    </w:p>
  </w:footnote>
  <w:footnote w:id="52">
    <w:p w14:paraId="54B25C0D" w14:textId="1006E878" w:rsidR="00A06D5C" w:rsidRPr="00543D1A" w:rsidRDefault="00A06D5C">
      <w:pPr>
        <w:pStyle w:val="FootnoteText"/>
      </w:pPr>
      <w:r>
        <w:rPr>
          <w:rStyle w:val="FootnoteReference"/>
        </w:rPr>
        <w:footnoteRef/>
      </w:r>
      <w:r w:rsidRPr="00543D1A">
        <w:t xml:space="preserve"> DRAFT Commission Delegated </w:t>
      </w:r>
      <w:r>
        <w:t>(</w:t>
      </w:r>
      <w:r w:rsidRPr="00543D1A">
        <w:t>EU</w:t>
      </w:r>
      <w:r>
        <w:t>)</w:t>
      </w:r>
      <w:r w:rsidRPr="00543D1A">
        <w:t xml:space="preserve"> ..</w:t>
      </w:r>
      <w:r>
        <w:t xml:space="preserve">./... </w:t>
      </w:r>
      <w:r w:rsidRPr="00543D1A">
        <w:t xml:space="preserve">Regulation </w:t>
      </w:r>
      <w:r>
        <w:t>of XXX supplementing Regulation (EU) 2017/1369 of the European Parliament and the Council with regard to energy labelling of light sources repealing Regulation (EU) No 874/2012 with regard to energy labelling of electrical lamps and luminaires, Annex III, sin fecha.</w:t>
      </w:r>
    </w:p>
  </w:footnote>
  <w:footnote w:id="53">
    <w:p w14:paraId="6AD34B32" w14:textId="1B072789" w:rsidR="00A06D5C" w:rsidRPr="00BF7375" w:rsidRDefault="00A06D5C">
      <w:pPr>
        <w:pStyle w:val="FootnoteText"/>
        <w:rPr>
          <w:lang w:val="es-ES"/>
        </w:rPr>
      </w:pPr>
      <w:r>
        <w:rPr>
          <w:rStyle w:val="FootnoteReference"/>
        </w:rPr>
        <w:footnoteRef/>
      </w:r>
      <w:r w:rsidRPr="00BF7375">
        <w:rPr>
          <w:lang w:val="es-ES"/>
        </w:rPr>
        <w:t xml:space="preserve"> Véase https://ec.europa.eu/energy/en/topics/energy-efficiency/energy-efficient-products/lighting</w:t>
      </w:r>
    </w:p>
  </w:footnote>
  <w:footnote w:id="54">
    <w:p w14:paraId="0C5DA31C" w14:textId="43E7054D" w:rsidR="00A06D5C" w:rsidRPr="00E42977" w:rsidRDefault="00A06D5C">
      <w:pPr>
        <w:pStyle w:val="FootnoteText"/>
        <w:rPr>
          <w:lang w:val="es-ES"/>
        </w:rPr>
      </w:pPr>
      <w:r>
        <w:rPr>
          <w:rStyle w:val="FootnoteReference"/>
        </w:rPr>
        <w:footnoteRef/>
      </w:r>
      <w:r w:rsidRPr="00746D4E">
        <w:rPr>
          <w:lang w:val="es-ES"/>
        </w:rPr>
        <w:t xml:space="preserve"> "</w:t>
      </w:r>
      <w:r w:rsidRPr="00746D4E">
        <w:rPr>
          <w:i/>
          <w:lang w:val="es-ES"/>
        </w:rPr>
        <w:t>Technology neutral</w:t>
      </w:r>
      <w:r w:rsidRPr="00746D4E">
        <w:rPr>
          <w:lang w:val="es-ES"/>
        </w:rPr>
        <w:t xml:space="preserve">" en </w:t>
      </w:r>
      <w:r w:rsidRPr="00E42977">
        <w:rPr>
          <w:lang w:val="es-ES"/>
        </w:rPr>
        <w:t>la terminología anglosajona.</w:t>
      </w:r>
    </w:p>
  </w:footnote>
  <w:footnote w:id="55">
    <w:p w14:paraId="42175A33" w14:textId="4EB7BB33" w:rsidR="00A06D5C" w:rsidRDefault="00A06D5C">
      <w:pPr>
        <w:pStyle w:val="FootnoteText"/>
      </w:pPr>
      <w:r>
        <w:rPr>
          <w:rStyle w:val="FootnoteReference"/>
        </w:rPr>
        <w:footnoteRef/>
      </w:r>
      <w:r>
        <w:t xml:space="preserve"> European Commission: </w:t>
      </w:r>
      <w:r w:rsidRPr="00A22315">
        <w:t>Report to the Ecodesign Consultation Forum on the review and preparatory study concerning Lighting Products ('Lot 8/9/19')</w:t>
      </w:r>
      <w:r>
        <w:t>, 30 October 2015;</w:t>
      </w:r>
      <w:r w:rsidRPr="00A22315">
        <w:t xml:space="preserve"> </w:t>
      </w:r>
      <w:r>
        <w:t xml:space="preserve">PRELIMINARY DRAFT </w:t>
      </w:r>
      <w:r w:rsidRPr="00A74BF2">
        <w:t>C</w:t>
      </w:r>
      <w:r>
        <w:t xml:space="preserve">ommission Regulation </w:t>
      </w:r>
      <w:r w:rsidRPr="00A74BF2">
        <w:t>(EU) …/… of XXX implementing Directive 2009/125/EC of the European Parliament and of the Council with regard to ecodesign requirements for lighting products</w:t>
      </w:r>
      <w:r>
        <w:t>, sin fecha.</w:t>
      </w:r>
    </w:p>
  </w:footnote>
  <w:footnote w:id="56">
    <w:p w14:paraId="312490D2" w14:textId="7410FC76" w:rsidR="00A06D5C" w:rsidRDefault="00A06D5C">
      <w:pPr>
        <w:pStyle w:val="FootnoteText"/>
      </w:pPr>
      <w:r>
        <w:rPr>
          <w:rStyle w:val="FootnoteReference"/>
        </w:rPr>
        <w:footnoteRef/>
      </w:r>
      <w:r>
        <w:t xml:space="preserve"> DRAFT </w:t>
      </w:r>
      <w:r w:rsidRPr="00A74BF2">
        <w:t xml:space="preserve">Commission Regulation (EU) .../.. of XXX implementing Directive 2009/125/EC of the European Parliament and of the Council with regard to ecodesign requirements for light sources and separate control gears, repealing Regulation (EC) No 244/2009 with regard to ecodesign requirements for non-directional household lamps, Regulation (EC) No 245/2009 with regard to ecodesign requirements for fluorescent lamps without integrated ballast, for high intensity discharge lamps, and for ballasts and luminaires able to operate such lamps, and, Regulation (EU) No 1194/2012 with regard to ecodesign requirements for directional lamps, light emitting diode lamps and related equipment, </w:t>
      </w:r>
      <w:r>
        <w:t>sin fecha.</w:t>
      </w:r>
      <w:r w:rsidRPr="00A74BF2">
        <w:t xml:space="preserve">   </w:t>
      </w:r>
    </w:p>
  </w:footnote>
  <w:footnote w:id="57">
    <w:p w14:paraId="6FB30962" w14:textId="31CA9C49" w:rsidR="00A06D5C" w:rsidRDefault="00A06D5C" w:rsidP="00521747">
      <w:pPr>
        <w:pStyle w:val="FootnoteText"/>
      </w:pPr>
      <w:r>
        <w:rPr>
          <w:rStyle w:val="FootnoteReference"/>
        </w:rPr>
        <w:footnoteRef/>
      </w:r>
      <w:r w:rsidRPr="00521747">
        <w:t xml:space="preserve"> Véase los siguientes mandatos expedidos por la Comisión Europea: (i) M/495 EN Standardisation mandate to CEN, CENELEC and ETSI under Directive 2009/125/EC relating to harmonised standards in the field of Ecodesign, 2011 (incluye lámparas domésticas no direccionales, lámparas direccionales y luminarias domésticas); (ii) </w:t>
      </w:r>
      <w:r>
        <w:t xml:space="preserve">M/485 EN Mandate to CEN, CENELEC and ETSI for standardisation in the field of fluorescent lamps, high intensity discharge lamps, and ballasts and luminaires able to operate such lamps, 2011; </w:t>
      </w:r>
      <w:r w:rsidRPr="00521747">
        <w:t xml:space="preserve">(iii) </w:t>
      </w:r>
      <w:r>
        <w:t>M</w:t>
      </w:r>
      <w:r w:rsidRPr="00521747">
        <w:t xml:space="preserve">/495 Am.3 EN Amendment No. 3 to </w:t>
      </w:r>
      <w:r>
        <w:t>M/495 Technical Update (Annex B of M/495), Product groups: Electrical Lamps and related equipment (except products covered by Mandate M/485), Details of request to CEN,CENELEC and ETSI for standardisation in the field of electrical lamps related equipment under Commission Regulations 244/2009, 874/2012 and 1194/2012, 2013; (iv) M/519 EN</w:t>
      </w:r>
      <w:r w:rsidRPr="00A5659A">
        <w:t xml:space="preserve"> Mandate addressed to CEN, CENELEC and ETSI to develop standardisation in the field of Light Emitting Diodes (LEDs), 2013</w:t>
      </w:r>
      <w:r>
        <w:t>.</w:t>
      </w:r>
    </w:p>
  </w:footnote>
  <w:footnote w:id="58">
    <w:p w14:paraId="35B8F13B" w14:textId="45648BA3" w:rsidR="00A06D5C" w:rsidRDefault="00A06D5C">
      <w:pPr>
        <w:pStyle w:val="FootnoteText"/>
      </w:pPr>
      <w:r>
        <w:rPr>
          <w:rStyle w:val="FootnoteReference"/>
        </w:rPr>
        <w:footnoteRef/>
      </w:r>
      <w:r>
        <w:t xml:space="preserve"> </w:t>
      </w:r>
      <w:r w:rsidRPr="00F008E4">
        <w:t>EC Communication 10.</w:t>
      </w:r>
      <w:r>
        <w:t>0</w:t>
      </w:r>
      <w:r w:rsidRPr="00F008E4">
        <w:t>4.2010 Publication of titles and references of transitional methods of measurement: EC regulation No 245/2009 (Ecodesign) (amended by EU regulation No 347/2010) and EU regulation No 874/2012 (Energy Labelling)</w:t>
      </w:r>
      <w:r>
        <w:t xml:space="preserve">; </w:t>
      </w:r>
      <w:r w:rsidRPr="00F008E4">
        <w:t>EC Communication 24.</w:t>
      </w:r>
      <w:r>
        <w:t>0</w:t>
      </w:r>
      <w:r w:rsidRPr="00F008E4">
        <w:t>1.2014 Publication of titles and references of transitional methods of measurement: EC regulation No 244/2009 (Ecodesign) (amended by EC regulation No 859/2009) and EU regulation No 874/2012 (Energy Labelling)</w:t>
      </w:r>
      <w:r>
        <w:t xml:space="preserve">; </w:t>
      </w:r>
      <w:r w:rsidRPr="00F008E4">
        <w:t>EC Communication 24.01.2014 Publication of titles and references of transitional methods of measurement: EU regulation No 1194/2012 (Ecodesign) &amp; EU regulation No 874/2012 (Energy Labelling)</w:t>
      </w:r>
      <w:r>
        <w:t xml:space="preserve">. </w:t>
      </w:r>
    </w:p>
  </w:footnote>
  <w:footnote w:id="59">
    <w:p w14:paraId="47D18E82" w14:textId="385B5B07" w:rsidR="00A06D5C" w:rsidRPr="006F3C78" w:rsidRDefault="00A06D5C">
      <w:pPr>
        <w:pStyle w:val="FootnoteText"/>
        <w:rPr>
          <w:lang w:val="es-ES"/>
        </w:rPr>
      </w:pPr>
      <w:r>
        <w:rPr>
          <w:rStyle w:val="FootnoteReference"/>
        </w:rPr>
        <w:footnoteRef/>
      </w:r>
      <w:r w:rsidRPr="006F3C78">
        <w:rPr>
          <w:lang w:val="es-ES"/>
        </w:rPr>
        <w:t xml:space="preserve"> Varias de las normas UNE-EN homologadas son disponibles en español.</w:t>
      </w:r>
    </w:p>
  </w:footnote>
  <w:footnote w:id="60">
    <w:p w14:paraId="793D9CE8" w14:textId="1AAE4CBA" w:rsidR="00A06D5C" w:rsidRPr="000A0FC7" w:rsidRDefault="00A06D5C">
      <w:pPr>
        <w:pStyle w:val="FootnoteText"/>
        <w:rPr>
          <w:lang w:val="es-ES"/>
        </w:rPr>
      </w:pPr>
      <w:r>
        <w:rPr>
          <w:rStyle w:val="FootnoteReference"/>
        </w:rPr>
        <w:footnoteRef/>
      </w:r>
      <w:r w:rsidRPr="000A0FC7">
        <w:rPr>
          <w:lang w:val="es-ES"/>
        </w:rPr>
        <w:t xml:space="preserve"> </w:t>
      </w:r>
      <w:r>
        <w:rPr>
          <w:lang w:val="es-ES"/>
        </w:rPr>
        <w:t>Directiva 2009/125/CE. Artículo 8.2, Anexos IV y V.</w:t>
      </w:r>
    </w:p>
  </w:footnote>
  <w:footnote w:id="61">
    <w:p w14:paraId="48B7A465" w14:textId="3484E0EB" w:rsidR="00A06D5C" w:rsidRPr="006A44D1" w:rsidRDefault="00A06D5C" w:rsidP="006A44D1">
      <w:pPr>
        <w:pStyle w:val="FootnoteText"/>
        <w:rPr>
          <w:lang w:val="es-ES"/>
        </w:rPr>
      </w:pPr>
      <w:r>
        <w:rPr>
          <w:rStyle w:val="FootnoteReference"/>
        </w:rPr>
        <w:footnoteRef/>
      </w:r>
      <w:r w:rsidRPr="006A44D1">
        <w:rPr>
          <w:lang w:val="es-ES"/>
        </w:rPr>
        <w:t xml:space="preserve"> D</w:t>
      </w:r>
      <w:r>
        <w:rPr>
          <w:lang w:val="es-ES"/>
        </w:rPr>
        <w:t>ecisión</w:t>
      </w:r>
      <w:r w:rsidRPr="006A44D1">
        <w:rPr>
          <w:lang w:val="es-ES"/>
        </w:rPr>
        <w:t xml:space="preserve"> No 768/2008/CE </w:t>
      </w:r>
      <w:r>
        <w:rPr>
          <w:lang w:val="es-ES"/>
        </w:rPr>
        <w:t xml:space="preserve">del Parlamento Europeo y del Consejo </w:t>
      </w:r>
      <w:r w:rsidRPr="006A44D1">
        <w:rPr>
          <w:lang w:val="es-ES"/>
        </w:rPr>
        <w:t>de 9 de julio de 2008</w:t>
      </w:r>
      <w:r>
        <w:rPr>
          <w:lang w:val="es-ES"/>
        </w:rPr>
        <w:t xml:space="preserve"> </w:t>
      </w:r>
      <w:r w:rsidRPr="006A44D1">
        <w:rPr>
          <w:lang w:val="es-ES"/>
        </w:rPr>
        <w:t>sobre un marco común para la comercialización de los productos y por la que se deroga la Decisión</w:t>
      </w:r>
      <w:r>
        <w:rPr>
          <w:lang w:val="es-ES"/>
        </w:rPr>
        <w:t xml:space="preserve"> </w:t>
      </w:r>
      <w:r w:rsidRPr="006A44D1">
        <w:rPr>
          <w:lang w:val="es-ES"/>
        </w:rPr>
        <w:t>93/465/CEE del Consejo</w:t>
      </w:r>
      <w:r>
        <w:rPr>
          <w:lang w:val="es-ES"/>
        </w:rPr>
        <w:t xml:space="preserve">, Anexo II </w:t>
      </w:r>
      <w:r w:rsidRPr="006A44D1">
        <w:rPr>
          <w:lang w:val="es-ES"/>
        </w:rPr>
        <w:t>P</w:t>
      </w:r>
      <w:r>
        <w:rPr>
          <w:lang w:val="es-ES"/>
        </w:rPr>
        <w:t>rocedimientos de Evaluación de la Conformidad.</w:t>
      </w:r>
    </w:p>
  </w:footnote>
  <w:footnote w:id="62">
    <w:p w14:paraId="3097EF79" w14:textId="5598FBA5" w:rsidR="00A06D5C" w:rsidRPr="00F06A6C" w:rsidRDefault="00A06D5C">
      <w:pPr>
        <w:pStyle w:val="FootnoteText"/>
      </w:pPr>
      <w:r>
        <w:rPr>
          <w:rStyle w:val="FootnoteReference"/>
        </w:rPr>
        <w:footnoteRef/>
      </w:r>
      <w:r w:rsidRPr="00F06A6C">
        <w:t xml:space="preserve"> EN ISO 9001:2015 Quality Management Systems -- Requirements.</w:t>
      </w:r>
    </w:p>
  </w:footnote>
  <w:footnote w:id="63">
    <w:p w14:paraId="30BB89AB" w14:textId="38AF40E4" w:rsidR="00A06D5C" w:rsidRPr="000A0FC7" w:rsidRDefault="00A06D5C">
      <w:pPr>
        <w:pStyle w:val="FootnoteText"/>
        <w:rPr>
          <w:lang w:val="es-ES"/>
        </w:rPr>
      </w:pPr>
      <w:r>
        <w:rPr>
          <w:rStyle w:val="FootnoteReference"/>
        </w:rPr>
        <w:footnoteRef/>
      </w:r>
      <w:r w:rsidRPr="000A0FC7">
        <w:rPr>
          <w:lang w:val="es-ES"/>
        </w:rPr>
        <w:t xml:space="preserve"> </w:t>
      </w:r>
      <w:r>
        <w:rPr>
          <w:lang w:val="es-ES"/>
        </w:rPr>
        <w:t>Directiva 2009/125/CE, Artículo 9 y Anexo III.</w:t>
      </w:r>
    </w:p>
  </w:footnote>
  <w:footnote w:id="64">
    <w:p w14:paraId="4E03C4BE" w14:textId="6274BFE5" w:rsidR="00A06D5C" w:rsidRPr="004048F1" w:rsidRDefault="00A06D5C">
      <w:pPr>
        <w:pStyle w:val="FootnoteText"/>
        <w:rPr>
          <w:lang w:val="es-ES"/>
        </w:rPr>
      </w:pPr>
      <w:r>
        <w:rPr>
          <w:rStyle w:val="FootnoteReference"/>
        </w:rPr>
        <w:footnoteRef/>
      </w:r>
      <w:r w:rsidRPr="004048F1">
        <w:rPr>
          <w:lang w:val="es-ES"/>
        </w:rPr>
        <w:t xml:space="preserve"> El Reglamento Delegado </w:t>
      </w:r>
      <w:r>
        <w:rPr>
          <w:lang w:val="es-ES"/>
        </w:rPr>
        <w:t xml:space="preserve">(UE) 874/2012 estipula </w:t>
      </w:r>
      <w:r w:rsidRPr="004048F1">
        <w:rPr>
          <w:lang w:val="es-ES"/>
        </w:rPr>
        <w:t>además etiquetas para luminarias</w:t>
      </w:r>
      <w:r>
        <w:rPr>
          <w:lang w:val="es-ES"/>
        </w:rPr>
        <w:t>, que no están previstas en la propuesta del nuevo reglamento.</w:t>
      </w:r>
    </w:p>
  </w:footnote>
  <w:footnote w:id="65">
    <w:p w14:paraId="1375C0C4" w14:textId="4319E35E" w:rsidR="00A06D5C" w:rsidRPr="007F4BC8" w:rsidRDefault="00A06D5C">
      <w:pPr>
        <w:pStyle w:val="FootnoteText"/>
        <w:rPr>
          <w:lang w:val="es-ES"/>
        </w:rPr>
      </w:pPr>
      <w:r>
        <w:rPr>
          <w:rStyle w:val="FootnoteReference"/>
        </w:rPr>
        <w:footnoteRef/>
      </w:r>
      <w:r w:rsidRPr="007F4BC8">
        <w:rPr>
          <w:lang w:val="es-ES"/>
        </w:rPr>
        <w:t xml:space="preserve"> </w:t>
      </w:r>
      <w:r>
        <w:rPr>
          <w:lang w:val="es-ES"/>
        </w:rPr>
        <w:t xml:space="preserve">Reglamento Delegado </w:t>
      </w:r>
      <w:r w:rsidRPr="007F4BC8">
        <w:rPr>
          <w:lang w:val="es-ES"/>
        </w:rPr>
        <w:t xml:space="preserve">(UE) No 518/2014 </w:t>
      </w:r>
      <w:r>
        <w:rPr>
          <w:lang w:val="es-ES"/>
        </w:rPr>
        <w:t>de la Comisión</w:t>
      </w:r>
      <w:r w:rsidRPr="007F4BC8">
        <w:rPr>
          <w:lang w:val="es-ES"/>
        </w:rPr>
        <w:t xml:space="preserve"> de 5 de marzo de 2014 por el que se modifican los Reglamentos Delegados (UE) no 1059/2010, (UE) no 1060/2010, (UE) no 1061/2010, (UE) no 1062/2010, (UE) no 626/2011, (UE) no 392/2012, (UE) no 874/2012, (UE) no 665/2013, (UE) no 811/2013 y (UE) no 812/2013 en lo relativo al etiquetado de los productos relacionados con la energía en internet</w:t>
      </w:r>
      <w:r>
        <w:rPr>
          <w:lang w:val="es-ES"/>
        </w:rPr>
        <w:t>.</w:t>
      </w:r>
    </w:p>
  </w:footnote>
  <w:footnote w:id="66">
    <w:p w14:paraId="4AC17097" w14:textId="41AD8E86" w:rsidR="00A06D5C" w:rsidRPr="00BF7375" w:rsidRDefault="00A06D5C">
      <w:pPr>
        <w:pStyle w:val="FootnoteText"/>
        <w:rPr>
          <w:lang w:val="es-ES"/>
        </w:rPr>
      </w:pPr>
      <w:r>
        <w:rPr>
          <w:rStyle w:val="FootnoteReference"/>
        </w:rPr>
        <w:footnoteRef/>
      </w:r>
      <w:r w:rsidRPr="00BF7375">
        <w:rPr>
          <w:lang w:val="es-ES"/>
        </w:rPr>
        <w:t xml:space="preserve"> Para detalles véase (CE) 244/2009, Anexo II; (CE) 245/2009, Anexo III; (CE) 1194/2012, Anexo III.</w:t>
      </w:r>
    </w:p>
  </w:footnote>
  <w:footnote w:id="67">
    <w:p w14:paraId="5BE75132" w14:textId="77260908" w:rsidR="00A06D5C" w:rsidRPr="00CF1C3C" w:rsidRDefault="00A06D5C">
      <w:pPr>
        <w:pStyle w:val="FootnoteText"/>
        <w:rPr>
          <w:lang w:val="es-ES"/>
        </w:rPr>
      </w:pPr>
      <w:r>
        <w:rPr>
          <w:rStyle w:val="FootnoteReference"/>
        </w:rPr>
        <w:footnoteRef/>
      </w:r>
      <w:r w:rsidRPr="00CF1C3C">
        <w:rPr>
          <w:lang w:val="es-ES"/>
        </w:rPr>
        <w:t xml:space="preserve"> Por ejemplo: NOM-015-ENER-2012 para refrigera</w:t>
      </w:r>
      <w:r>
        <w:rPr>
          <w:lang w:val="es-ES"/>
        </w:rPr>
        <w:t>d</w:t>
      </w:r>
      <w:r w:rsidRPr="00CF1C3C">
        <w:rPr>
          <w:lang w:val="es-ES"/>
        </w:rPr>
        <w:t>ores y congeladores incluyen en detalle los m</w:t>
      </w:r>
      <w:r>
        <w:rPr>
          <w:lang w:val="es-ES"/>
        </w:rPr>
        <w:t xml:space="preserve">étodos de prueba y los procedimientos de evaluación de conformidad, otras NOM-ENER (p.ej. para acondicionadores de aire), incluyen los PEC por referencia a la Ley Federal de Metrología y su Reglamento (con la excepción de NOM-026-ENER-2015). Las NOM-ENER para productos de iluminación incluyen referencias a normas de medición NMX, mientras que incluyen los procedimientos de evaluación de conformidad de forma </w:t>
      </w:r>
      <w:r w:rsidRPr="008171F4">
        <w:rPr>
          <w:lang w:val="es-ES"/>
        </w:rPr>
        <w:t>integral, como se verá en las secciones 3.4.2 y 3.4.3.</w:t>
      </w:r>
      <w:r>
        <w:rPr>
          <w:lang w:val="es-ES"/>
        </w:rPr>
        <w:t xml:space="preserve"> </w:t>
      </w:r>
    </w:p>
  </w:footnote>
  <w:footnote w:id="68">
    <w:p w14:paraId="5219CF32" w14:textId="209C57BC" w:rsidR="00A06D5C" w:rsidRPr="00390341" w:rsidRDefault="00A06D5C">
      <w:pPr>
        <w:pStyle w:val="FootnoteText"/>
        <w:rPr>
          <w:lang w:val="es-ES"/>
        </w:rPr>
      </w:pPr>
      <w:r>
        <w:rPr>
          <w:rStyle w:val="FootnoteReference"/>
        </w:rPr>
        <w:footnoteRef/>
      </w:r>
      <w:r w:rsidRPr="00390341">
        <w:rPr>
          <w:lang w:val="es-ES"/>
        </w:rPr>
        <w:t xml:space="preserve"> https://www.gob.mx/conuee/documentos/normas-oficiales-mexicanas-de-eficiencia-energetica-89073?idiom=es</w:t>
      </w:r>
    </w:p>
  </w:footnote>
  <w:footnote w:id="69">
    <w:p w14:paraId="5614D14C" w14:textId="48BE3125" w:rsidR="00A06D5C" w:rsidRPr="001958BF" w:rsidRDefault="00A06D5C">
      <w:pPr>
        <w:pStyle w:val="FootnoteText"/>
        <w:rPr>
          <w:lang w:val="es-ES"/>
        </w:rPr>
      </w:pPr>
      <w:r>
        <w:rPr>
          <w:rStyle w:val="FootnoteReference"/>
        </w:rPr>
        <w:footnoteRef/>
      </w:r>
      <w:r w:rsidRPr="001958BF">
        <w:rPr>
          <w:lang w:val="es-ES"/>
        </w:rPr>
        <w:t xml:space="preserve"> </w:t>
      </w:r>
      <w:r>
        <w:rPr>
          <w:lang w:val="es-ES"/>
        </w:rPr>
        <w:t xml:space="preserve">El PROY-NOM-028-ENER-2017 fue aprobado el 9 de marzo de 2018 como NOM-028-ENER-2017, con diferencias mínimas con respecto al proyecto de la norma (véase el Anexo 7).  </w:t>
      </w:r>
    </w:p>
  </w:footnote>
  <w:footnote w:id="70">
    <w:p w14:paraId="5D905D5F" w14:textId="3FDB1AC3" w:rsidR="00A06D5C" w:rsidRPr="00A26E82" w:rsidRDefault="00A06D5C">
      <w:pPr>
        <w:pStyle w:val="FootnoteText"/>
        <w:rPr>
          <w:lang w:val="es-ES"/>
        </w:rPr>
      </w:pPr>
      <w:r>
        <w:rPr>
          <w:rStyle w:val="FootnoteReference"/>
        </w:rPr>
        <w:footnoteRef/>
      </w:r>
      <w:r w:rsidRPr="00A26E82">
        <w:rPr>
          <w:lang w:val="es-ES"/>
        </w:rPr>
        <w:t xml:space="preserve"> </w:t>
      </w:r>
      <w:r>
        <w:rPr>
          <w:lang w:val="es-ES"/>
        </w:rPr>
        <w:t>Estos requisitos son básicos en el caso de NOM-028-ENER-2010 y NOM-017-ENER/SCFI-2012, mientras que son más amplios en el caso de NOM-030-ENER-2016 y NOM-031-ENER-2012.</w:t>
      </w:r>
    </w:p>
  </w:footnote>
  <w:footnote w:id="71">
    <w:p w14:paraId="412383F9" w14:textId="22D7A0F0" w:rsidR="00A06D5C" w:rsidRPr="005030E1" w:rsidRDefault="00A06D5C">
      <w:pPr>
        <w:pStyle w:val="FootnoteText"/>
        <w:rPr>
          <w:lang w:val="es-ES"/>
        </w:rPr>
      </w:pPr>
      <w:r>
        <w:rPr>
          <w:rStyle w:val="FootnoteReference"/>
        </w:rPr>
        <w:footnoteRef/>
      </w:r>
      <w:r w:rsidRPr="005030E1">
        <w:rPr>
          <w:lang w:val="es-ES"/>
        </w:rPr>
        <w:t xml:space="preserve"> </w:t>
      </w:r>
      <w:r w:rsidRPr="00D46C97">
        <w:rPr>
          <w:color w:val="FF0000"/>
          <w:lang w:val="es-ES"/>
        </w:rPr>
        <w:t>Existen normas IEC/EN para módulos LED y para luminarias de LED (véase la tabla 4).</w:t>
      </w:r>
    </w:p>
  </w:footnote>
  <w:footnote w:id="72">
    <w:p w14:paraId="7A41A77A" w14:textId="342778CC" w:rsidR="00A06D5C" w:rsidRPr="008C6B1E" w:rsidRDefault="00A06D5C">
      <w:pPr>
        <w:pStyle w:val="FootnoteText"/>
        <w:rPr>
          <w:lang w:val="es-ES"/>
        </w:rPr>
      </w:pPr>
      <w:r>
        <w:rPr>
          <w:rStyle w:val="FootnoteReference"/>
        </w:rPr>
        <w:footnoteRef/>
      </w:r>
      <w:r w:rsidRPr="008C6B1E">
        <w:rPr>
          <w:lang w:val="es-ES"/>
        </w:rPr>
        <w:t xml:space="preserve"> Ley Federal sobre Metrología y Normalización del 1 de julio de 1999 (última reforma 30 de abril de 2009).</w:t>
      </w:r>
    </w:p>
  </w:footnote>
  <w:footnote w:id="73">
    <w:p w14:paraId="25CAD701" w14:textId="6282B38B" w:rsidR="00A06D5C" w:rsidRPr="008C6B1E" w:rsidRDefault="00A06D5C">
      <w:pPr>
        <w:pStyle w:val="FootnoteText"/>
        <w:rPr>
          <w:lang w:val="es-ES"/>
        </w:rPr>
      </w:pPr>
      <w:r>
        <w:rPr>
          <w:rStyle w:val="FootnoteReference"/>
        </w:rPr>
        <w:footnoteRef/>
      </w:r>
      <w:r w:rsidRPr="008C6B1E">
        <w:rPr>
          <w:lang w:val="es-ES"/>
        </w:rPr>
        <w:t xml:space="preserve"> Reglamento de la Ley Federal sobre Metrología y Normalización del 14 de enero de 1999.</w:t>
      </w:r>
    </w:p>
  </w:footnote>
  <w:footnote w:id="74">
    <w:p w14:paraId="030EEA0F" w14:textId="2073F5A1" w:rsidR="00A06D5C" w:rsidRPr="00FF1CF8" w:rsidRDefault="00A06D5C">
      <w:pPr>
        <w:pStyle w:val="FootnoteText"/>
        <w:rPr>
          <w:lang w:val="es-ES"/>
        </w:rPr>
      </w:pPr>
      <w:r>
        <w:rPr>
          <w:rStyle w:val="FootnoteReference"/>
        </w:rPr>
        <w:footnoteRef/>
      </w:r>
      <w:r w:rsidRPr="00FF1CF8">
        <w:rPr>
          <w:lang w:val="es-ES"/>
        </w:rPr>
        <w:t xml:space="preserve"> Véase también la discusión.de</w:t>
      </w:r>
      <w:r>
        <w:rPr>
          <w:lang w:val="es-ES"/>
        </w:rPr>
        <w:t xml:space="preserve"> los PEC de acuerdo a las NOM-ENER en comparación con los procedimientos definidos en la norma internacional ISO/IEC 17067 (</w:t>
      </w:r>
      <w:r w:rsidRPr="00FF1CF8">
        <w:rPr>
          <w:i/>
          <w:lang w:val="es-ES"/>
        </w:rPr>
        <w:t>Conformity Assessment – Fundamentals of product certification and guidelines for product certification schemes</w:t>
      </w:r>
      <w:r>
        <w:rPr>
          <w:lang w:val="es-ES"/>
        </w:rPr>
        <w:t xml:space="preserve">), </w:t>
      </w:r>
      <w:r w:rsidRPr="00FF1CF8">
        <w:rPr>
          <w:lang w:val="es-ES"/>
        </w:rPr>
        <w:t>en la Secci</w:t>
      </w:r>
      <w:r>
        <w:rPr>
          <w:lang w:val="es-ES"/>
        </w:rPr>
        <w:t xml:space="preserve">ón </w:t>
      </w:r>
      <w:r w:rsidRPr="00FF1CF8">
        <w:rPr>
          <w:lang w:val="es-ES"/>
        </w:rPr>
        <w:t>3.2.2 del informe Guía de Implementación, Fase II</w:t>
      </w:r>
      <w:r>
        <w:rPr>
          <w:lang w:val="es-ES"/>
        </w:rPr>
        <w:t>.</w:t>
      </w:r>
    </w:p>
  </w:footnote>
  <w:footnote w:id="75">
    <w:p w14:paraId="20470969" w14:textId="2221E431" w:rsidR="00A06D5C" w:rsidRPr="00D80C67" w:rsidRDefault="00A06D5C">
      <w:pPr>
        <w:pStyle w:val="FootnoteText"/>
        <w:rPr>
          <w:lang w:val="es-ES"/>
        </w:rPr>
      </w:pPr>
      <w:r>
        <w:rPr>
          <w:rStyle w:val="FootnoteReference"/>
        </w:rPr>
        <w:footnoteRef/>
      </w:r>
      <w:r w:rsidRPr="00D80C67">
        <w:rPr>
          <w:lang w:val="es-ES"/>
        </w:rPr>
        <w:t xml:space="preserve"> </w:t>
      </w:r>
      <w:r>
        <w:rPr>
          <w:lang w:val="es-ES"/>
        </w:rPr>
        <w:t xml:space="preserve">Los procedimientos de evaluación de conformidad seguirán válidos de acuerdo al PROY-NOM-028-ENER-2017. Los PEC incluidos en las normas NOM-030-ENER-2016 (Lámparas LED integradas) y NOM-031-ENER-2012 (Luminarios con elementos LED) difieren de las demás NOM-ENER para lámparas por el muestreo, los ensayos de vida útil y otros detalles. </w:t>
      </w:r>
    </w:p>
  </w:footnote>
  <w:footnote w:id="76">
    <w:p w14:paraId="6C0E54E3" w14:textId="44DA6D4B" w:rsidR="00A06D5C" w:rsidRPr="00803960" w:rsidRDefault="00A06D5C">
      <w:pPr>
        <w:pStyle w:val="FootnoteText"/>
        <w:rPr>
          <w:lang w:val="es-ES"/>
        </w:rPr>
      </w:pPr>
      <w:r>
        <w:rPr>
          <w:rStyle w:val="FootnoteReference"/>
        </w:rPr>
        <w:footnoteRef/>
      </w:r>
      <w:r w:rsidRPr="00803960">
        <w:rPr>
          <w:lang w:val="es-ES"/>
        </w:rPr>
        <w:t xml:space="preserve"> PROY-NOM-028-ENER-2017</w:t>
      </w:r>
      <w:r>
        <w:rPr>
          <w:lang w:val="es-ES"/>
        </w:rPr>
        <w:t>, Sección 10</w:t>
      </w:r>
      <w:r w:rsidRPr="00803960">
        <w:rPr>
          <w:lang w:val="es-ES"/>
        </w:rPr>
        <w:t xml:space="preserve">. </w:t>
      </w:r>
      <w:r>
        <w:rPr>
          <w:lang w:val="es-ES"/>
        </w:rPr>
        <w:t>Mientras que l</w:t>
      </w:r>
      <w:r w:rsidRPr="00803960">
        <w:rPr>
          <w:lang w:val="es-ES"/>
        </w:rPr>
        <w:t>os procedimientos de evaluaci</w:t>
      </w:r>
      <w:r>
        <w:rPr>
          <w:lang w:val="es-ES"/>
        </w:rPr>
        <w:t>ón de la conformidad de las cuatro NOM-ENER para productos de iluminación vigentes son en principio equivalentes, se distinguen por el grado de detalle de las estipulaciones con respecto a los procedimientos de certificación de la conformidad, del muestreo y de la vigencia de los certificados.</w:t>
      </w:r>
    </w:p>
  </w:footnote>
  <w:footnote w:id="77">
    <w:p w14:paraId="20B54E3F" w14:textId="6B05B362" w:rsidR="00A06D5C" w:rsidRPr="00F647F8" w:rsidRDefault="00A06D5C">
      <w:pPr>
        <w:pStyle w:val="FootnoteText"/>
      </w:pPr>
      <w:r>
        <w:rPr>
          <w:rStyle w:val="FootnoteReference"/>
        </w:rPr>
        <w:footnoteRef/>
      </w:r>
      <w:r w:rsidRPr="00F647F8">
        <w:t xml:space="preserve"> Véase, por ejemplo: (i) los </w:t>
      </w:r>
      <w:r w:rsidRPr="00F647F8">
        <w:rPr>
          <w:i/>
        </w:rPr>
        <w:t>Final Rules</w:t>
      </w:r>
      <w:r w:rsidRPr="00F647F8">
        <w:t xml:space="preserve"> y </w:t>
      </w:r>
      <w:r w:rsidRPr="00F647F8">
        <w:rPr>
          <w:i/>
        </w:rPr>
        <w:t>Proposed Rule</w:t>
      </w:r>
      <w:r w:rsidRPr="00F647F8">
        <w:t xml:space="preserve"> del DOE men</w:t>
      </w:r>
      <w:r>
        <w:t>c</w:t>
      </w:r>
      <w:r w:rsidRPr="00F647F8">
        <w:t>ionados, (ii) European Commission: Report to the Ecodesign Consultation Forum on the review and preparatory study concerning Lighting Products ('Lot 8/9/19'), 30 October 2015</w:t>
      </w:r>
      <w:r>
        <w:t>.</w:t>
      </w:r>
    </w:p>
  </w:footnote>
  <w:footnote w:id="78">
    <w:p w14:paraId="19BE9FFC" w14:textId="467E97C3" w:rsidR="00A06D5C" w:rsidRPr="00A27A5E" w:rsidRDefault="00A06D5C">
      <w:pPr>
        <w:pStyle w:val="FootnoteText"/>
        <w:rPr>
          <w:lang w:val="es-ES"/>
        </w:rPr>
      </w:pPr>
      <w:r>
        <w:rPr>
          <w:rStyle w:val="FootnoteReference"/>
        </w:rPr>
        <w:footnoteRef/>
      </w:r>
      <w:r w:rsidRPr="00A27A5E">
        <w:rPr>
          <w:lang w:val="es-ES"/>
        </w:rPr>
        <w:t xml:space="preserve"> Comunicación personal Dr Yoshi Ohno, National Insitute of Standards and Technology (NIST), EE.UU., 1 de febrero de 2018.</w:t>
      </w:r>
    </w:p>
  </w:footnote>
  <w:footnote w:id="79">
    <w:p w14:paraId="01B37442" w14:textId="2B212052" w:rsidR="00A06D5C" w:rsidRPr="00AF36E3" w:rsidRDefault="00A06D5C">
      <w:pPr>
        <w:pStyle w:val="FootnoteText"/>
        <w:rPr>
          <w:lang w:val="es-ES"/>
        </w:rPr>
      </w:pPr>
      <w:r>
        <w:rPr>
          <w:rStyle w:val="FootnoteReference"/>
        </w:rPr>
        <w:footnoteRef/>
      </w:r>
      <w:r w:rsidRPr="00AF36E3">
        <w:rPr>
          <w:lang w:val="es-ES"/>
        </w:rPr>
        <w:t xml:space="preserve"> </w:t>
      </w:r>
      <w:r>
        <w:rPr>
          <w:lang w:val="es-ES"/>
        </w:rPr>
        <w:t>Véase la sección 5.2 para una discusión detallada.</w:t>
      </w:r>
    </w:p>
  </w:footnote>
  <w:footnote w:id="80">
    <w:p w14:paraId="5C5676A2" w14:textId="745E38D0" w:rsidR="00A06D5C" w:rsidRPr="00967670" w:rsidRDefault="00A06D5C">
      <w:pPr>
        <w:pStyle w:val="FootnoteText"/>
        <w:rPr>
          <w:lang w:val="es-ES"/>
        </w:rPr>
      </w:pPr>
      <w:r>
        <w:rPr>
          <w:rStyle w:val="FootnoteReference"/>
        </w:rPr>
        <w:footnoteRef/>
      </w:r>
      <w:r w:rsidRPr="00967670">
        <w:rPr>
          <w:lang w:val="es-ES"/>
        </w:rPr>
        <w:t xml:space="preserve"> </w:t>
      </w:r>
      <w:r>
        <w:rPr>
          <w:lang w:val="es-ES"/>
        </w:rPr>
        <w:t>I</w:t>
      </w:r>
      <w:r w:rsidRPr="00967670">
        <w:rPr>
          <w:lang w:val="es-ES"/>
        </w:rPr>
        <w:t>nforme Guía de Implementación, Fase II</w:t>
      </w:r>
      <w:r>
        <w:rPr>
          <w:lang w:val="es-ES"/>
        </w:rPr>
        <w:t>, Sección 3.2.2.</w:t>
      </w:r>
    </w:p>
  </w:footnote>
  <w:footnote w:id="81">
    <w:p w14:paraId="2DFD68BD" w14:textId="3B348243" w:rsidR="00A06D5C" w:rsidRPr="00E61448" w:rsidRDefault="00A06D5C">
      <w:pPr>
        <w:pStyle w:val="FootnoteText"/>
        <w:rPr>
          <w:lang w:val="es-ES"/>
        </w:rPr>
      </w:pPr>
      <w:r>
        <w:rPr>
          <w:rStyle w:val="FootnoteReference"/>
        </w:rPr>
        <w:footnoteRef/>
      </w:r>
      <w:r w:rsidRPr="00E61448">
        <w:rPr>
          <w:lang w:val="es-ES"/>
        </w:rPr>
        <w:t xml:space="preserve"> </w:t>
      </w:r>
      <w:r>
        <w:rPr>
          <w:lang w:val="es-ES"/>
        </w:rPr>
        <w:t>La información al consumidor requerida de acuerdo al Reglamento Delegado (UE) 874/2012 y la los reglamentos de diseño ecológico para lámparas es más amplia que los requerimientos de información de acuerdo al reglamento de EE.UU. y también de los requerimientos de marcado de acuerdo a las NOM-ENER para lámparas.</w:t>
      </w:r>
    </w:p>
  </w:footnote>
  <w:footnote w:id="82">
    <w:p w14:paraId="0F3D68A4" w14:textId="67C46D6E" w:rsidR="00A06D5C" w:rsidRPr="00C570F6" w:rsidRDefault="00A06D5C">
      <w:pPr>
        <w:pStyle w:val="FootnoteText"/>
        <w:rPr>
          <w:lang w:val="es-ES"/>
        </w:rPr>
      </w:pPr>
      <w:r>
        <w:rPr>
          <w:rStyle w:val="FootnoteReference"/>
        </w:rPr>
        <w:footnoteRef/>
      </w:r>
      <w:r w:rsidRPr="00C570F6">
        <w:rPr>
          <w:lang w:val="es-ES"/>
        </w:rPr>
        <w:t xml:space="preserve"> </w:t>
      </w:r>
      <w:r>
        <w:rPr>
          <w:lang w:val="es-ES"/>
        </w:rPr>
        <w:t xml:space="preserve">Ley 69 de 2012 "que establece los lineamientos generales de la política nacional para el uso racional y eficiente de la energía en el territorio nacional", Artículo 22; Decreto Ejecutivo 398 de 2012 "que reglamenta la Ley 69 de 12 de octubre de 2012, que </w:t>
      </w:r>
      <w:r w:rsidRPr="002B414D">
        <w:rPr>
          <w:lang w:val="es-ES"/>
        </w:rPr>
        <w:t>establece los lineamientos generales de la política nacional para el uso racional y eficiente de la energía en el territorio nacional</w:t>
      </w:r>
      <w:r>
        <w:rPr>
          <w:lang w:val="es-ES"/>
        </w:rPr>
        <w:t>", Artículo 19.</w:t>
      </w:r>
    </w:p>
  </w:footnote>
  <w:footnote w:id="83">
    <w:p w14:paraId="6300B63D" w14:textId="6333343B" w:rsidR="00A06D5C" w:rsidRPr="007F311F" w:rsidRDefault="00A06D5C">
      <w:pPr>
        <w:pStyle w:val="FootnoteText"/>
        <w:rPr>
          <w:lang w:val="es-ES"/>
        </w:rPr>
      </w:pPr>
      <w:r>
        <w:rPr>
          <w:rStyle w:val="FootnoteReference"/>
        </w:rPr>
        <w:footnoteRef/>
      </w:r>
      <w:r w:rsidRPr="007F311F">
        <w:rPr>
          <w:lang w:val="es-ES"/>
        </w:rPr>
        <w:t xml:space="preserve"> </w:t>
      </w:r>
      <w:r>
        <w:rPr>
          <w:lang w:val="es-ES"/>
        </w:rPr>
        <w:t>Las etiquetas para refrigeradores / congeladores y acondicionadores de aire panameñas siguen el modelo de las etiquetas mexicanas e indirectamente el modelo "</w:t>
      </w:r>
      <w:r w:rsidRPr="00EA2D9B">
        <w:rPr>
          <w:i/>
          <w:lang w:val="es-ES"/>
        </w:rPr>
        <w:t>EnergyGuide</w:t>
      </w:r>
      <w:r>
        <w:rPr>
          <w:lang w:val="es-ES"/>
        </w:rPr>
        <w:t xml:space="preserve">" de EE.UU. </w:t>
      </w:r>
    </w:p>
  </w:footnote>
  <w:footnote w:id="84">
    <w:p w14:paraId="527BE1CA" w14:textId="501FDDAE" w:rsidR="00A06D5C" w:rsidRPr="001A5987" w:rsidRDefault="00A06D5C">
      <w:pPr>
        <w:pStyle w:val="FootnoteText"/>
        <w:rPr>
          <w:lang w:val="es-ES"/>
        </w:rPr>
      </w:pPr>
      <w:r>
        <w:rPr>
          <w:rStyle w:val="FootnoteReference"/>
        </w:rPr>
        <w:footnoteRef/>
      </w:r>
      <w:r w:rsidRPr="001A5987">
        <w:rPr>
          <w:lang w:val="es-ES"/>
        </w:rPr>
        <w:t xml:space="preserve"> Tomando en consideración que el borrador del Anteproyecto de Norma Técnicas y Reglamentos Técnicos DGNTI-COPANIT</w:t>
      </w:r>
      <w:r w:rsidRPr="00425616">
        <w:rPr>
          <w:lang w:val="es-ES"/>
        </w:rPr>
        <w:t xml:space="preserve"> incluye disposiciones típicas de Normas Técnicas y Reglamentos Técnicos</w:t>
      </w:r>
      <w:r w:rsidRPr="001A5987">
        <w:rPr>
          <w:lang w:val="es-ES"/>
        </w:rPr>
        <w:t>, se hará referencia al documento como "Borrador Anteproyecto NT/RT".</w:t>
      </w:r>
    </w:p>
  </w:footnote>
  <w:footnote w:id="85">
    <w:p w14:paraId="1CF77151" w14:textId="3C3FDB97" w:rsidR="00A06D5C" w:rsidRPr="00A77182" w:rsidRDefault="00A06D5C">
      <w:pPr>
        <w:pStyle w:val="FootnoteText"/>
        <w:rPr>
          <w:lang w:val="es-ES"/>
        </w:rPr>
      </w:pPr>
      <w:r>
        <w:rPr>
          <w:rStyle w:val="FootnoteReference"/>
        </w:rPr>
        <w:footnoteRef/>
      </w:r>
      <w:r w:rsidRPr="00A77182">
        <w:rPr>
          <w:lang w:val="es-ES"/>
        </w:rPr>
        <w:t xml:space="preserve"> Las excepciones con respecto a l</w:t>
      </w:r>
      <w:r>
        <w:rPr>
          <w:lang w:val="es-ES"/>
        </w:rPr>
        <w:t>ámparas de descarga de alta intensidad no coinciden con las excepciones correspondiente en el Reglamento Europeo (CE) No 1194/2012, Anexo I.</w:t>
      </w:r>
    </w:p>
  </w:footnote>
  <w:footnote w:id="86">
    <w:p w14:paraId="1CBB2765" w14:textId="322B2AA0" w:rsidR="00A06D5C" w:rsidRPr="00960AD3" w:rsidRDefault="00A06D5C" w:rsidP="00960AD3">
      <w:pPr>
        <w:pStyle w:val="FootnoteText"/>
        <w:rPr>
          <w:lang w:val="es-ES"/>
        </w:rPr>
      </w:pPr>
      <w:r>
        <w:rPr>
          <w:rStyle w:val="FootnoteReference"/>
        </w:rPr>
        <w:footnoteRef/>
      </w:r>
      <w:r w:rsidRPr="008D6F45">
        <w:rPr>
          <w:lang w:val="es-ES"/>
        </w:rPr>
        <w:t xml:space="preserve"> </w:t>
      </w:r>
      <w:r>
        <w:rPr>
          <w:lang w:val="es-ES"/>
        </w:rPr>
        <w:t xml:space="preserve">Resolución AN No. 6000 – Elec de 13 de marzo de 2013, Anexo B: Reglamento de Distribución y Comercialización de Energía Eléctrica, Título VIII: Normas de Alumbrado Público para Calles, Avenidas y otros del Uso Público. </w:t>
      </w:r>
      <w:r w:rsidRPr="00960AD3">
        <w:rPr>
          <w:lang w:val="es-ES"/>
        </w:rPr>
        <w:t>Las Normas de Alumbrado Público toman como referencia la norma ANSI/IES RP-8 “</w:t>
      </w:r>
      <w:r w:rsidRPr="000D0C03">
        <w:rPr>
          <w:i/>
          <w:lang w:val="es-ES"/>
        </w:rPr>
        <w:t>Roadway Lighting</w:t>
      </w:r>
      <w:r w:rsidRPr="00960AD3">
        <w:rPr>
          <w:lang w:val="es-ES"/>
        </w:rPr>
        <w:t xml:space="preserve">”. Mientras que </w:t>
      </w:r>
      <w:r>
        <w:rPr>
          <w:lang w:val="es-ES"/>
        </w:rPr>
        <w:t>la</w:t>
      </w:r>
      <w:r w:rsidRPr="00960AD3">
        <w:rPr>
          <w:lang w:val="es-ES"/>
        </w:rPr>
        <w:t xml:space="preserve"> norma </w:t>
      </w:r>
      <w:r>
        <w:rPr>
          <w:lang w:val="es-ES"/>
        </w:rPr>
        <w:t xml:space="preserve">RP-8 </w:t>
      </w:r>
      <w:r w:rsidRPr="00960AD3">
        <w:rPr>
          <w:lang w:val="es-ES"/>
        </w:rPr>
        <w:t>se refiere a niveles de iluminación de vialidades, definiendo niveles de intensidad luminosa (cd/m2) y luminosidad (lux), no incluye requerimientos de eficacia luminosa de las lámparas de iluminación de exteriores, que se aplican para el alumbrado público. Cabe mencionar, en este contexto, que existe una Norma Oficial Mexicana para Sistemas de Iluminación en Vialidades (NOM-013-ENER-2013), que se refiere a valores de Densidad de Potencia Eléctrica para Alumbrado (W/m2) en función del tipo de la vialidad y la iluminancia mínima promedia en lx. Una tal norma no puede sustituir una norma de desempeño energético mínimo para lámparas aptas para alumbrado exterior, tal como las lámparas de descarga de alta intensidad y lo</w:t>
      </w:r>
      <w:r>
        <w:rPr>
          <w:lang w:val="es-ES"/>
        </w:rPr>
        <w:t>s luminarios con elementos LED.</w:t>
      </w:r>
    </w:p>
  </w:footnote>
  <w:footnote w:id="87">
    <w:p w14:paraId="0C5F87AA" w14:textId="3557CF2F" w:rsidR="00A06D5C" w:rsidRPr="0010106C" w:rsidRDefault="00A06D5C">
      <w:pPr>
        <w:pStyle w:val="FootnoteText"/>
        <w:rPr>
          <w:lang w:val="es-ES"/>
        </w:rPr>
      </w:pPr>
      <w:r>
        <w:rPr>
          <w:rStyle w:val="FootnoteReference"/>
        </w:rPr>
        <w:footnoteRef/>
      </w:r>
      <w:r w:rsidRPr="0010106C">
        <w:rPr>
          <w:lang w:val="es-ES"/>
        </w:rPr>
        <w:t xml:space="preserve"> </w:t>
      </w:r>
      <w:r>
        <w:rPr>
          <w:lang w:val="es-ES"/>
        </w:rPr>
        <w:t xml:space="preserve">El Artículo 21 del Título VIII estipula que “Cada empresa distribuidora escogerá el tipo de luminaria que en sus estudios le resulta más económica durante su vida útil (estipulada por la regulación vigente) y con una eficiencia energética durante su vida útil, igual o superior que la luminaria de alta presión de sodio, cumpliendo con los niveles promedio de iluminación, y otras características que se indican en la presente norma.” Si bien la referencia a “luminarias de alta presión de sodio” implica un criterio de eficiencia energética, esta estipulación no sustituye la necesidad de un reglamento de desempeño mínimo para lámparas de descarga de alta intensidad, que debe incluir límites de desempeño energético expresados en lm/W, además de las normas de prueba correspondientes. </w:t>
      </w:r>
    </w:p>
  </w:footnote>
  <w:footnote w:id="88">
    <w:p w14:paraId="3FE602ED" w14:textId="2A195A57" w:rsidR="00A06D5C" w:rsidRPr="00B80F94" w:rsidRDefault="00A06D5C" w:rsidP="00A66F24">
      <w:pPr>
        <w:pStyle w:val="FootnoteText"/>
        <w:rPr>
          <w:lang w:val="es-ES"/>
        </w:rPr>
      </w:pPr>
      <w:r>
        <w:rPr>
          <w:rStyle w:val="FootnoteReference"/>
        </w:rPr>
        <w:footnoteRef/>
      </w:r>
      <w:r w:rsidRPr="00B80F94">
        <w:rPr>
          <w:lang w:val="es-ES"/>
        </w:rPr>
        <w:t xml:space="preserve"> Comparado con los valores límites propuestos en EE.UU. </w:t>
      </w:r>
      <w:r>
        <w:rPr>
          <w:lang w:val="es-ES"/>
        </w:rPr>
        <w:t>y en la Unión Europea, el valor de 60 lm/W es poco exigente, aunque eliminará las lámparas incandescentes</w:t>
      </w:r>
      <w:r w:rsidR="0099760A">
        <w:rPr>
          <w:lang w:val="es-ES"/>
        </w:rPr>
        <w:t>,</w:t>
      </w:r>
      <w:r>
        <w:rPr>
          <w:lang w:val="es-ES"/>
        </w:rPr>
        <w:t xml:space="preserve"> incandescentes con halógenos </w:t>
      </w:r>
      <w:r w:rsidR="0099760A">
        <w:rPr>
          <w:lang w:val="es-ES"/>
        </w:rPr>
        <w:t xml:space="preserve">y LFC menos eficientes </w:t>
      </w:r>
      <w:r>
        <w:rPr>
          <w:lang w:val="es-ES"/>
        </w:rPr>
        <w:t xml:space="preserve">del mercado. </w:t>
      </w:r>
    </w:p>
  </w:footnote>
  <w:footnote w:id="89">
    <w:p w14:paraId="6A6AF170" w14:textId="3D6773F3" w:rsidR="00A06D5C" w:rsidRPr="004A5371" w:rsidRDefault="00A06D5C">
      <w:pPr>
        <w:pStyle w:val="FootnoteText"/>
        <w:rPr>
          <w:lang w:val="es-ES"/>
        </w:rPr>
      </w:pPr>
      <w:r>
        <w:rPr>
          <w:rStyle w:val="FootnoteReference"/>
        </w:rPr>
        <w:footnoteRef/>
      </w:r>
      <w:r w:rsidRPr="004A5371">
        <w:rPr>
          <w:lang w:val="es-ES"/>
        </w:rPr>
        <w:t xml:space="preserve"> </w:t>
      </w:r>
      <w:r>
        <w:rPr>
          <w:lang w:val="es-ES"/>
        </w:rPr>
        <w:t xml:space="preserve">Lámparas LED omnidireccionales: 70 lm/W; lámparas LED direccionales: 61 lm/W; lámparas LED decorativas: 65 lm/W. </w:t>
      </w:r>
    </w:p>
  </w:footnote>
  <w:footnote w:id="90">
    <w:p w14:paraId="7D88B837" w14:textId="25E35AD3" w:rsidR="00A06D5C" w:rsidRPr="00BC092A" w:rsidRDefault="00A06D5C">
      <w:pPr>
        <w:pStyle w:val="FootnoteText"/>
        <w:rPr>
          <w:lang w:val="es-ES"/>
        </w:rPr>
      </w:pPr>
      <w:r>
        <w:rPr>
          <w:rStyle w:val="FootnoteReference"/>
        </w:rPr>
        <w:footnoteRef/>
      </w:r>
      <w:r w:rsidRPr="00BC092A">
        <w:rPr>
          <w:lang w:val="es-ES"/>
        </w:rPr>
        <w:t xml:space="preserve"> Denominado en la NOM-028-ENER-2010 (y PROY-NOM-028-ENER-2017): Apéndice A Normativo: Condiciones generales para las pruebas eléctricas y de flujo luminoso para lámparas de luz mixta.</w:t>
      </w:r>
    </w:p>
  </w:footnote>
  <w:footnote w:id="91">
    <w:p w14:paraId="11158D59" w14:textId="212EC33F" w:rsidR="00A06D5C" w:rsidRPr="00553D3A" w:rsidRDefault="00A06D5C">
      <w:pPr>
        <w:pStyle w:val="FootnoteText"/>
        <w:rPr>
          <w:lang w:val="es-ES"/>
        </w:rPr>
      </w:pPr>
      <w:r>
        <w:rPr>
          <w:rStyle w:val="FootnoteReference"/>
        </w:rPr>
        <w:footnoteRef/>
      </w:r>
      <w:r w:rsidRPr="00553D3A">
        <w:rPr>
          <w:lang w:val="es-ES"/>
        </w:rPr>
        <w:t xml:space="preserve"> Suponiendo que los métodos de prueba de EE.UU. </w:t>
      </w:r>
      <w:r>
        <w:rPr>
          <w:lang w:val="es-ES"/>
        </w:rPr>
        <w:t>no son aptos para su aplicación en Panamá, por las razones mencionadas en las secciones 3.2.2 y 3.5.2.</w:t>
      </w:r>
    </w:p>
  </w:footnote>
  <w:footnote w:id="92">
    <w:p w14:paraId="58CA8903" w14:textId="2882D009" w:rsidR="003D3F7C" w:rsidRPr="003D3F7C" w:rsidRDefault="003D3F7C">
      <w:pPr>
        <w:pStyle w:val="FootnoteText"/>
        <w:rPr>
          <w:lang w:val="es-ES"/>
        </w:rPr>
      </w:pPr>
      <w:r>
        <w:rPr>
          <w:rStyle w:val="FootnoteReference"/>
        </w:rPr>
        <w:footnoteRef/>
      </w:r>
      <w:r w:rsidRPr="003D3F7C">
        <w:rPr>
          <w:lang w:val="es-ES"/>
        </w:rPr>
        <w:t xml:space="preserve"> De acuerdo al comentario recibido de la SNE, existe también la opción de elaborar una NT/RT separada para lámparas de descarga de alta intensidad (véase la sección 4.1).</w:t>
      </w:r>
    </w:p>
  </w:footnote>
  <w:footnote w:id="93">
    <w:p w14:paraId="27F40A2E" w14:textId="006AC2C4" w:rsidR="00A06D5C" w:rsidRPr="0077493E" w:rsidRDefault="00A06D5C">
      <w:pPr>
        <w:pStyle w:val="FootnoteText"/>
        <w:rPr>
          <w:lang w:val="es-ES"/>
        </w:rPr>
      </w:pPr>
      <w:r>
        <w:rPr>
          <w:rStyle w:val="FootnoteReference"/>
        </w:rPr>
        <w:footnoteRef/>
      </w:r>
      <w:r w:rsidRPr="0077493E">
        <w:rPr>
          <w:lang w:val="es-ES"/>
        </w:rPr>
        <w:t xml:space="preserve"> En la medida que se mantengan los valores propuestos en el borrador del Anteproyecto de NT/RT, que son m</w:t>
      </w:r>
      <w:r>
        <w:rPr>
          <w:lang w:val="es-ES"/>
        </w:rPr>
        <w:t>ás estrictos que los valores correspondientes de la NOM-028-ENER-2010 y PROY-NOM-028-ENER-2017.</w:t>
      </w:r>
    </w:p>
  </w:footnote>
  <w:footnote w:id="94">
    <w:p w14:paraId="46FA31E5" w14:textId="1B5E9385" w:rsidR="003D3F7C" w:rsidRPr="003D3F7C" w:rsidRDefault="003D3F7C">
      <w:pPr>
        <w:pStyle w:val="FootnoteText"/>
        <w:rPr>
          <w:lang w:val="es-ES"/>
        </w:rPr>
      </w:pPr>
      <w:r>
        <w:rPr>
          <w:rStyle w:val="FootnoteReference"/>
        </w:rPr>
        <w:footnoteRef/>
      </w:r>
      <w:r w:rsidRPr="003D3F7C">
        <w:rPr>
          <w:lang w:val="es-ES"/>
        </w:rPr>
        <w:t xml:space="preserve"> </w:t>
      </w:r>
      <w:r>
        <w:rPr>
          <w:lang w:val="es-ES"/>
        </w:rPr>
        <w:t>Véase la</w:t>
      </w:r>
      <w:r w:rsidR="00F319CF">
        <w:rPr>
          <w:lang w:val="es-ES"/>
        </w:rPr>
        <w:t>s</w:t>
      </w:r>
      <w:r>
        <w:rPr>
          <w:lang w:val="es-ES"/>
        </w:rPr>
        <w:t xml:space="preserve"> secci</w:t>
      </w:r>
      <w:r w:rsidR="00F319CF">
        <w:rPr>
          <w:lang w:val="es-ES"/>
        </w:rPr>
        <w:t xml:space="preserve">ones </w:t>
      </w:r>
      <w:r>
        <w:rPr>
          <w:lang w:val="es-ES"/>
        </w:rPr>
        <w:t>5.2</w:t>
      </w:r>
      <w:r w:rsidR="00F319CF">
        <w:rPr>
          <w:lang w:val="es-ES"/>
        </w:rPr>
        <w:t xml:space="preserve"> y 5.6</w:t>
      </w:r>
      <w:r>
        <w:rPr>
          <w:lang w:val="es-ES"/>
        </w:rPr>
        <w:t>.</w:t>
      </w:r>
    </w:p>
  </w:footnote>
  <w:footnote w:id="95">
    <w:p w14:paraId="4683725F" w14:textId="76350CEB" w:rsidR="00A06D5C" w:rsidRPr="00DB6416" w:rsidRDefault="00A06D5C">
      <w:pPr>
        <w:pStyle w:val="FootnoteText"/>
        <w:rPr>
          <w:lang w:val="es-ES"/>
        </w:rPr>
      </w:pPr>
      <w:r>
        <w:rPr>
          <w:rStyle w:val="FootnoteReference"/>
        </w:rPr>
        <w:footnoteRef/>
      </w:r>
      <w:r w:rsidRPr="00DB6416">
        <w:rPr>
          <w:lang w:val="es-ES"/>
        </w:rPr>
        <w:t xml:space="preserve"> Parece que una cuestión fundamental que </w:t>
      </w:r>
      <w:r>
        <w:rPr>
          <w:lang w:val="es-ES"/>
        </w:rPr>
        <w:t>dificulta</w:t>
      </w:r>
      <w:r w:rsidRPr="00DB6416">
        <w:rPr>
          <w:lang w:val="es-ES"/>
        </w:rPr>
        <w:t xml:space="preserve"> la unificaci</w:t>
      </w:r>
      <w:r>
        <w:rPr>
          <w:lang w:val="es-ES"/>
        </w:rPr>
        <w:t xml:space="preserve">ón de los NOM-ENER de lámparas es la estructura de las NOM-ENER, que incluyen en el mismo documento los índices de desempeño mínimo (“especificaciones”) y los métodos de prueba, mientras que los reglamentos de EE.UU. y de la Unión Europea se refieren a los métodos de prueba incluidas en documentos separados: </w:t>
      </w:r>
      <w:r w:rsidRPr="007F48E1">
        <w:rPr>
          <w:i/>
          <w:lang w:val="es-ES"/>
        </w:rPr>
        <w:t>test procedures</w:t>
      </w:r>
      <w:r>
        <w:rPr>
          <w:lang w:val="es-ES"/>
        </w:rPr>
        <w:t xml:space="preserve"> respectivamente normas de medición EN equivalentes con las normas ISO/IEC correspondientes.  </w:t>
      </w:r>
    </w:p>
  </w:footnote>
  <w:footnote w:id="96">
    <w:p w14:paraId="4632A502" w14:textId="2F1C9E23" w:rsidR="00A06D5C" w:rsidRPr="00BF7375" w:rsidRDefault="00A06D5C">
      <w:pPr>
        <w:pStyle w:val="FootnoteText"/>
        <w:rPr>
          <w:lang w:val="es-ES"/>
        </w:rPr>
      </w:pPr>
      <w:r>
        <w:rPr>
          <w:rStyle w:val="FootnoteReference"/>
        </w:rPr>
        <w:footnoteRef/>
      </w:r>
      <w:r w:rsidRPr="00BF7375">
        <w:rPr>
          <w:lang w:val="es-ES"/>
        </w:rPr>
        <w:t xml:space="preserve"> En la medida que el marco legal permite la inclusión de estos tipos de lámparas en la NT/RT – véase la sección 4.1.</w:t>
      </w:r>
    </w:p>
  </w:footnote>
  <w:footnote w:id="97">
    <w:p w14:paraId="235FD562" w14:textId="05512898" w:rsidR="00A06D5C" w:rsidRPr="009309F8" w:rsidRDefault="00A06D5C">
      <w:pPr>
        <w:pStyle w:val="FootnoteText"/>
        <w:rPr>
          <w:lang w:val="es-ES"/>
        </w:rPr>
      </w:pPr>
      <w:r>
        <w:rPr>
          <w:rStyle w:val="FootnoteReference"/>
        </w:rPr>
        <w:footnoteRef/>
      </w:r>
      <w:r w:rsidRPr="009309F8">
        <w:rPr>
          <w:lang w:val="es-ES"/>
        </w:rPr>
        <w:t xml:space="preserve"> </w:t>
      </w:r>
      <w:r>
        <w:rPr>
          <w:lang w:val="es-ES"/>
        </w:rPr>
        <w:t xml:space="preserve">Con respecto a las lámparas de descarga de alta intensidad véase la nota de pie anterior. </w:t>
      </w:r>
      <w:r w:rsidRPr="009309F8">
        <w:rPr>
          <w:lang w:val="es-ES"/>
        </w:rPr>
        <w:t>La inclusión de las lámparas y elementos LED en el mismo reglamento o en un reglamento separado depende sobre todo del grado de alineaci</w:t>
      </w:r>
      <w:r>
        <w:rPr>
          <w:lang w:val="es-ES"/>
        </w:rPr>
        <w:t>ón con las NOM-ENER – véase la sección 5.6.</w:t>
      </w:r>
    </w:p>
  </w:footnote>
  <w:footnote w:id="98">
    <w:p w14:paraId="6315D4D3" w14:textId="689D7C51" w:rsidR="00A06D5C" w:rsidRPr="00B53358" w:rsidRDefault="00A06D5C">
      <w:pPr>
        <w:pStyle w:val="FootnoteText"/>
        <w:rPr>
          <w:lang w:val="es-ES"/>
        </w:rPr>
      </w:pPr>
      <w:r>
        <w:rPr>
          <w:rStyle w:val="FootnoteReference"/>
        </w:rPr>
        <w:footnoteRef/>
      </w:r>
      <w:r w:rsidRPr="00B53358">
        <w:rPr>
          <w:lang w:val="es-ES"/>
        </w:rPr>
        <w:t xml:space="preserve"> </w:t>
      </w:r>
      <w:r>
        <w:rPr>
          <w:lang w:val="es-ES"/>
        </w:rPr>
        <w:t>Todas las normas europeas (EN) para lámparas (que son equivalentes a las normas IEC correspondientes) son homologadas como normas españolas UNE, de las cuales la mayoría está disponible en idioma española.</w:t>
      </w:r>
    </w:p>
  </w:footnote>
  <w:footnote w:id="99">
    <w:p w14:paraId="66E62459" w14:textId="70427CDB" w:rsidR="00A06D5C" w:rsidRPr="00DA416A" w:rsidRDefault="00A06D5C">
      <w:pPr>
        <w:pStyle w:val="FootnoteText"/>
        <w:rPr>
          <w:lang w:val="es-ES"/>
        </w:rPr>
      </w:pPr>
      <w:r>
        <w:rPr>
          <w:rStyle w:val="FootnoteReference"/>
        </w:rPr>
        <w:footnoteRef/>
      </w:r>
      <w:r w:rsidRPr="00DA416A">
        <w:rPr>
          <w:lang w:val="es-ES"/>
        </w:rPr>
        <w:t xml:space="preserve"> Suponiendo una redacción final de la NT/RT propuesta </w:t>
      </w:r>
      <w:r>
        <w:rPr>
          <w:lang w:val="es-ES"/>
        </w:rPr>
        <w:t xml:space="preserve">en dos documentos separados: (i) la NT que incluye los métodos de prueba, y (ii) el RT que incluye los límites de desempeño energético mínimo, las estipulaciones de etiquetado, de la evaluación de la conformidad, etc. </w:t>
      </w:r>
      <w:r w:rsidRPr="00A36747">
        <w:rPr>
          <w:lang w:val="es-ES"/>
        </w:rPr>
        <w:t>–</w:t>
      </w:r>
      <w:r>
        <w:rPr>
          <w:lang w:val="es-ES"/>
        </w:rPr>
        <w:t xml:space="preserve"> véase la sección 5.7.</w:t>
      </w:r>
    </w:p>
  </w:footnote>
  <w:footnote w:id="100">
    <w:p w14:paraId="6E15C422" w14:textId="69062B62" w:rsidR="00A06D5C" w:rsidRPr="00F15D52" w:rsidRDefault="00A06D5C">
      <w:pPr>
        <w:pStyle w:val="FootnoteText"/>
        <w:rPr>
          <w:lang w:val="es-ES"/>
        </w:rPr>
      </w:pPr>
      <w:r>
        <w:rPr>
          <w:rStyle w:val="FootnoteReference"/>
        </w:rPr>
        <w:footnoteRef/>
      </w:r>
      <w:r w:rsidRPr="00F15D52">
        <w:rPr>
          <w:lang w:val="es-ES"/>
        </w:rPr>
        <w:t xml:space="preserve"> Las lámparas de </w:t>
      </w:r>
      <w:r>
        <w:rPr>
          <w:lang w:val="es-ES"/>
        </w:rPr>
        <w:t>alta</w:t>
      </w:r>
      <w:r w:rsidRPr="00F15D52">
        <w:rPr>
          <w:lang w:val="es-ES"/>
        </w:rPr>
        <w:t xml:space="preserve"> luminosidad tienen una eficacia luminosa inferior a las l</w:t>
      </w:r>
      <w:r>
        <w:rPr>
          <w:lang w:val="es-ES"/>
        </w:rPr>
        <w:t>ámparas de baja luminosidad del mismo tipo.</w:t>
      </w:r>
    </w:p>
  </w:footnote>
  <w:footnote w:id="101">
    <w:p w14:paraId="6BF1A7CF" w14:textId="2FAD02AA" w:rsidR="00A06D5C" w:rsidRPr="00F15D52" w:rsidRDefault="00A06D5C">
      <w:pPr>
        <w:pStyle w:val="FootnoteText"/>
        <w:rPr>
          <w:lang w:val="es-ES"/>
        </w:rPr>
      </w:pPr>
      <w:r w:rsidRPr="00D8528F">
        <w:rPr>
          <w:rStyle w:val="FootnoteReference"/>
        </w:rPr>
        <w:footnoteRef/>
      </w:r>
      <w:r w:rsidRPr="00D8528F">
        <w:rPr>
          <w:lang w:val="es-ES"/>
        </w:rPr>
        <w:t xml:space="preserve"> Las lámparas con un alto índice de rendimiento de color tienen una eficacia luminosa inferior a las lámparas de bajo índice de rendimiento de color del mismo tipo.</w:t>
      </w:r>
    </w:p>
  </w:footnote>
  <w:footnote w:id="102">
    <w:p w14:paraId="361303A0" w14:textId="210AD68E" w:rsidR="00A06D5C" w:rsidRPr="00B814A3" w:rsidRDefault="00A06D5C">
      <w:pPr>
        <w:pStyle w:val="FootnoteText"/>
        <w:rPr>
          <w:lang w:val="es-ES"/>
        </w:rPr>
      </w:pPr>
      <w:r>
        <w:rPr>
          <w:rStyle w:val="FootnoteReference"/>
        </w:rPr>
        <w:footnoteRef/>
      </w:r>
      <w:r w:rsidRPr="00B814A3">
        <w:rPr>
          <w:lang w:val="es-ES"/>
        </w:rPr>
        <w:t xml:space="preserve"> La figura incluye – </w:t>
      </w:r>
      <w:r>
        <w:rPr>
          <w:lang w:val="es-ES"/>
        </w:rPr>
        <w:t xml:space="preserve">para comparación y </w:t>
      </w:r>
      <w:r w:rsidRPr="00B814A3">
        <w:rPr>
          <w:lang w:val="es-ES"/>
        </w:rPr>
        <w:t>de forma ejemplar</w:t>
      </w:r>
      <w:r>
        <w:rPr>
          <w:lang w:val="es-ES"/>
        </w:rPr>
        <w:t xml:space="preserve"> </w:t>
      </w:r>
      <w:r w:rsidRPr="00B814A3">
        <w:rPr>
          <w:lang w:val="es-ES"/>
        </w:rPr>
        <w:t>– los l</w:t>
      </w:r>
      <w:r>
        <w:rPr>
          <w:lang w:val="es-ES"/>
        </w:rPr>
        <w:t xml:space="preserve">ímites propuestos en la Unión Europea para lámparas de uso general, LFC, lámparas LED, y para lámparas fluorescentes lineales T5. </w:t>
      </w:r>
    </w:p>
  </w:footnote>
  <w:footnote w:id="103">
    <w:p w14:paraId="7CDBA090" w14:textId="7B53700C" w:rsidR="00A06D5C" w:rsidRPr="00D8528F" w:rsidRDefault="00A06D5C">
      <w:pPr>
        <w:pStyle w:val="FootnoteText"/>
        <w:rPr>
          <w:lang w:val="es-ES"/>
        </w:rPr>
      </w:pPr>
      <w:r>
        <w:rPr>
          <w:rStyle w:val="FootnoteReference"/>
        </w:rPr>
        <w:footnoteRef/>
      </w:r>
      <w:r w:rsidRPr="00D8528F">
        <w:rPr>
          <w:lang w:val="es-ES"/>
        </w:rPr>
        <w:t xml:space="preserve"> En la Acta de Reunión Ordinaria No 3-17 Extendida del Comité Gestor de Índices para la Eficiencia Energética (CGIEE) del 22 y 23 de junio de 2017 (proporcionado por la SNE el 9 de abril de 2018), se mencionan también límites de eficacia luminosa mínimos para lámparas LED de uso general entre 61 y 70 lm/W.</w:t>
      </w:r>
    </w:p>
  </w:footnote>
  <w:footnote w:id="104">
    <w:p w14:paraId="208BA943" w14:textId="54B1E543" w:rsidR="00A06D5C" w:rsidRPr="00D8528F" w:rsidRDefault="00A06D5C" w:rsidP="00D8528F">
      <w:pPr>
        <w:pStyle w:val="FootnoteText"/>
        <w:rPr>
          <w:lang w:val="es-ES"/>
        </w:rPr>
      </w:pPr>
      <w:r>
        <w:rPr>
          <w:rStyle w:val="FootnoteReference"/>
        </w:rPr>
        <w:footnoteRef/>
      </w:r>
      <w:r w:rsidRPr="00D8528F">
        <w:rPr>
          <w:lang w:val="es-ES"/>
        </w:rPr>
        <w:t xml:space="preserve"> </w:t>
      </w:r>
      <w:r>
        <w:rPr>
          <w:lang w:val="es-ES"/>
        </w:rPr>
        <w:t>L</w:t>
      </w:r>
      <w:r w:rsidRPr="00D8528F">
        <w:rPr>
          <w:lang w:val="es-ES"/>
        </w:rPr>
        <w:t xml:space="preserve">as normas </w:t>
      </w:r>
      <w:r>
        <w:rPr>
          <w:lang w:val="es-ES"/>
        </w:rPr>
        <w:t xml:space="preserve">de medición </w:t>
      </w:r>
      <w:r w:rsidRPr="00D8528F">
        <w:rPr>
          <w:lang w:val="es-ES"/>
        </w:rPr>
        <w:t>IEC para lámparas incluyen estipulaciones con respecto al muestreo, que deben observarse.</w:t>
      </w:r>
    </w:p>
  </w:footnote>
  <w:footnote w:id="105">
    <w:p w14:paraId="60CD289A" w14:textId="2DA6FC03" w:rsidR="00A06D5C" w:rsidRPr="00256CE6" w:rsidRDefault="00A06D5C">
      <w:pPr>
        <w:pStyle w:val="FootnoteText"/>
        <w:rPr>
          <w:lang w:val="es-ES"/>
        </w:rPr>
      </w:pPr>
      <w:r>
        <w:rPr>
          <w:rStyle w:val="FootnoteReference"/>
        </w:rPr>
        <w:footnoteRef/>
      </w:r>
      <w:r w:rsidRPr="00256CE6">
        <w:rPr>
          <w:lang w:val="es-ES"/>
        </w:rPr>
        <w:t xml:space="preserve"> Véase el Título Cuarto "De la </w:t>
      </w:r>
      <w:r>
        <w:rPr>
          <w:lang w:val="es-ES"/>
        </w:rPr>
        <w:t>a</w:t>
      </w:r>
      <w:r w:rsidRPr="00256CE6">
        <w:rPr>
          <w:lang w:val="es-ES"/>
        </w:rPr>
        <w:t>creditaci</w:t>
      </w:r>
      <w:r>
        <w:rPr>
          <w:lang w:val="es-ES"/>
        </w:rPr>
        <w:t>ón y determinación del cumplimiento" de la Ley Federal de Metrología y Normalización y el Título Cuarto "De la acreditación y determinación del cumplimiento" del Reglamento de la Ley.</w:t>
      </w:r>
    </w:p>
  </w:footnote>
  <w:footnote w:id="106">
    <w:p w14:paraId="28E330FE" w14:textId="3066EBAD" w:rsidR="00A06D5C" w:rsidRPr="00C0635F" w:rsidRDefault="00A06D5C" w:rsidP="00C0635F">
      <w:pPr>
        <w:pStyle w:val="FootnoteText"/>
        <w:rPr>
          <w:lang w:val="es-ES"/>
        </w:rPr>
      </w:pPr>
      <w:r>
        <w:rPr>
          <w:rStyle w:val="FootnoteReference"/>
        </w:rPr>
        <w:footnoteRef/>
      </w:r>
      <w:r w:rsidRPr="00C0635F">
        <w:rPr>
          <w:lang w:val="es-ES"/>
        </w:rPr>
        <w:t xml:space="preserve"> La Comisión Panamericana de Norma</w:t>
      </w:r>
      <w:r>
        <w:rPr>
          <w:lang w:val="es-ES"/>
        </w:rPr>
        <w:t>s Técnicas</w:t>
      </w:r>
      <w:r w:rsidRPr="00C0635F">
        <w:rPr>
          <w:lang w:val="es-ES"/>
        </w:rPr>
        <w:t xml:space="preserve"> (COPANT</w:t>
      </w:r>
      <w:r>
        <w:rPr>
          <w:lang w:val="es-ES"/>
        </w:rPr>
        <w:t>, www.copant.org</w:t>
      </w:r>
      <w:r w:rsidRPr="00C0635F">
        <w:rPr>
          <w:lang w:val="es-ES"/>
        </w:rPr>
        <w:t xml:space="preserve">) </w:t>
      </w:r>
      <w:r>
        <w:rPr>
          <w:lang w:val="es-ES"/>
        </w:rPr>
        <w:t>a</w:t>
      </w:r>
      <w:r w:rsidRPr="00C0635F">
        <w:rPr>
          <w:lang w:val="es-ES"/>
        </w:rPr>
        <w:t>grupa a los Organismos Nacionales de Normalización  de las Américas, que actualmente suman 32 miembros activos y 10 miembros adherentes</w:t>
      </w:r>
      <w:r>
        <w:rPr>
          <w:lang w:val="es-ES"/>
        </w:rPr>
        <w:t xml:space="preserve">. Entre los miembros activos se encuentran el </w:t>
      </w:r>
      <w:r w:rsidRPr="00BD6AC7">
        <w:rPr>
          <w:i/>
          <w:lang w:val="es-ES"/>
        </w:rPr>
        <w:t>American National Standards Institute</w:t>
      </w:r>
      <w:r>
        <w:rPr>
          <w:lang w:val="es-ES"/>
        </w:rPr>
        <w:t xml:space="preserve"> (ANSI) de EE.UU., la Dirección General de Normas (DGN) de México y la Dirección General de Normas y Tecnología Industrial (DGNTI) de Panamá. El Comité Técnico (CT) 152 de la COPANT elabora y publica normas de eficiencia energética y energías renovables. Las normas COPANT son de aplicación voluntaria.</w:t>
      </w:r>
    </w:p>
  </w:footnote>
  <w:footnote w:id="107">
    <w:p w14:paraId="0250FBB9" w14:textId="72CBB0DF" w:rsidR="00A06D5C" w:rsidRPr="00C974ED" w:rsidRDefault="00A06D5C">
      <w:pPr>
        <w:pStyle w:val="FootnoteText"/>
        <w:rPr>
          <w:lang w:val="es-ES"/>
        </w:rPr>
      </w:pPr>
      <w:r>
        <w:rPr>
          <w:rStyle w:val="FootnoteReference"/>
        </w:rPr>
        <w:footnoteRef/>
      </w:r>
      <w:r w:rsidRPr="00C974ED">
        <w:rPr>
          <w:lang w:val="es-ES"/>
        </w:rPr>
        <w:t xml:space="preserve"> </w:t>
      </w:r>
      <w:r>
        <w:rPr>
          <w:lang w:val="es-ES"/>
        </w:rPr>
        <w:t xml:space="preserve">Véase los Anexos 11 – 13. Una excepción son las normas de medición para lámparas LED y módulos LED respectivamente luminarios con LEDs. En estos casos, las normas NOM-030-ENER-2016 y NOM-031-ENER-2012 incluyen los métodos de prueba de forma integral en sus anexos, mientras que las normas IEC 62612:2013, IEC 62717:2014 </w:t>
      </w:r>
      <w:r w:rsidRPr="0040264F">
        <w:rPr>
          <w:color w:val="FF0000"/>
          <w:lang w:val="es-ES"/>
        </w:rPr>
        <w:t xml:space="preserve">e IEC 62722-2-1:201X </w:t>
      </w:r>
      <w:r>
        <w:rPr>
          <w:lang w:val="es-ES"/>
        </w:rPr>
        <w:t xml:space="preserve">incluyen numerosas referencias a otras normas de medición, en particular normas IEC y guías CIE. Las lámparas de descarga de alta intensidad no han sido examinadas por razón de la diferencia fundamental del enfoque en México (que tiene una norma de medición única para lámparas de descarga de alta intensidad (NMX-J-530-ANCE-2008)) y de la diferenciación en normas IEC separadas para lámparas de mercurio a alta presión (IEC 60188), lámparas de halogenuros metálicos (IEC 61167) y lámparas de sodio a alta presión (IEC 60662). </w:t>
      </w:r>
    </w:p>
  </w:footnote>
  <w:footnote w:id="108">
    <w:p w14:paraId="54597F76" w14:textId="359C1B19" w:rsidR="00A06D5C" w:rsidRPr="00E65B02" w:rsidRDefault="00A06D5C">
      <w:pPr>
        <w:pStyle w:val="FootnoteText"/>
        <w:rPr>
          <w:lang w:val="es-ES"/>
        </w:rPr>
      </w:pPr>
      <w:r>
        <w:rPr>
          <w:rStyle w:val="FootnoteReference"/>
        </w:rPr>
        <w:footnoteRef/>
      </w:r>
      <w:r w:rsidRPr="00E65B02">
        <w:rPr>
          <w:lang w:val="es-ES"/>
        </w:rPr>
        <w:t xml:space="preserve"> Mientras que las normas ISO/IEC </w:t>
      </w:r>
      <w:r>
        <w:rPr>
          <w:lang w:val="es-ES"/>
        </w:rPr>
        <w:t xml:space="preserve">y las normas europeas equivalentes </w:t>
      </w:r>
      <w:r w:rsidRPr="00E65B02">
        <w:rPr>
          <w:lang w:val="es-ES"/>
        </w:rPr>
        <w:t xml:space="preserve">solamente están </w:t>
      </w:r>
      <w:r w:rsidRPr="005030E1">
        <w:rPr>
          <w:color w:val="FF0000"/>
          <w:lang w:val="es-ES"/>
        </w:rPr>
        <w:t>generalmente</w:t>
      </w:r>
      <w:r>
        <w:rPr>
          <w:lang w:val="es-ES"/>
        </w:rPr>
        <w:t xml:space="preserve"> </w:t>
      </w:r>
      <w:r w:rsidRPr="00E65B02">
        <w:rPr>
          <w:lang w:val="es-ES"/>
        </w:rPr>
        <w:t>disponibles en ingl</w:t>
      </w:r>
      <w:r>
        <w:rPr>
          <w:lang w:val="es-ES"/>
        </w:rPr>
        <w:t xml:space="preserve">és, francés y alemán </w:t>
      </w:r>
      <w:r w:rsidRPr="0013501A">
        <w:rPr>
          <w:color w:val="FF0000"/>
          <w:lang w:val="es-ES"/>
        </w:rPr>
        <w:t>(y solamente en casos excepcionales también en español)</w:t>
      </w:r>
      <w:r>
        <w:rPr>
          <w:lang w:val="es-ES"/>
        </w:rPr>
        <w:t xml:space="preserve">, una gran parte de las homologaciones de las EN como normas españolas UNE están disponibles en español. </w:t>
      </w:r>
      <w:r w:rsidRPr="00E65B02">
        <w:rPr>
          <w:lang w:val="es-ES"/>
        </w:rPr>
        <w:t xml:space="preserve"> </w:t>
      </w:r>
    </w:p>
  </w:footnote>
  <w:footnote w:id="109">
    <w:p w14:paraId="33771E7B" w14:textId="41757D6D" w:rsidR="00497323" w:rsidRPr="00497323" w:rsidRDefault="00497323">
      <w:pPr>
        <w:pStyle w:val="FootnoteText"/>
        <w:rPr>
          <w:lang w:val="es-ES"/>
        </w:rPr>
      </w:pPr>
      <w:r>
        <w:rPr>
          <w:rStyle w:val="FootnoteReference"/>
        </w:rPr>
        <w:footnoteRef/>
      </w:r>
      <w:r w:rsidRPr="00497323">
        <w:rPr>
          <w:lang w:val="es-ES"/>
        </w:rPr>
        <w:t xml:space="preserve"> </w:t>
      </w:r>
      <w:r>
        <w:rPr>
          <w:lang w:val="es-ES"/>
        </w:rPr>
        <w:t>Véase los comentarios en la sección 4.</w:t>
      </w:r>
    </w:p>
  </w:footnote>
  <w:footnote w:id="110">
    <w:p w14:paraId="5A571B5A" w14:textId="370F7D9D" w:rsidR="00A06D5C" w:rsidRPr="00D00511" w:rsidRDefault="00A06D5C">
      <w:pPr>
        <w:pStyle w:val="FootnoteText"/>
        <w:rPr>
          <w:lang w:val="es-ES"/>
        </w:rPr>
      </w:pPr>
      <w:r>
        <w:rPr>
          <w:rStyle w:val="FootnoteReference"/>
        </w:rPr>
        <w:footnoteRef/>
      </w:r>
      <w:r w:rsidRPr="00D00511">
        <w:rPr>
          <w:lang w:val="es-ES"/>
        </w:rPr>
        <w:t xml:space="preserve"> Por las razones prácticas</w:t>
      </w:r>
      <w:r>
        <w:rPr>
          <w:lang w:val="es-ES"/>
        </w:rPr>
        <w:t>, relacionados a los métodos de prueba y explicitadas en la sección 5, se puede considerar incluir las lámparas y módulos LED en un reglamento separado.</w:t>
      </w:r>
    </w:p>
  </w:footnote>
  <w:footnote w:id="111">
    <w:p w14:paraId="43BF2FB0" w14:textId="3650D2C8" w:rsidR="00A06D5C" w:rsidRPr="00F32420" w:rsidRDefault="00A06D5C" w:rsidP="00F32420">
      <w:pPr>
        <w:pStyle w:val="FootnoteText"/>
        <w:rPr>
          <w:lang w:val="es-ES"/>
        </w:rPr>
      </w:pPr>
      <w:r>
        <w:rPr>
          <w:rStyle w:val="FootnoteReference"/>
        </w:rPr>
        <w:footnoteRef/>
      </w:r>
      <w:r w:rsidRPr="00F32420">
        <w:rPr>
          <w:lang w:val="es-ES"/>
        </w:rPr>
        <w:t xml:space="preserve"> Los índices mínimos propuestos son indicativos y deben estar confirmados por análisis costo-beneficio. Además se debe realizar un análisis de las ventajas y desventajas de índices mínimos independientes del flujo luminoso, en comparación con límites que toman en consideración los efectos del flujo luminoso, del índice de rendimiento de color (CRI) y de otros factores a la eficacia luminosa.</w:t>
      </w:r>
    </w:p>
  </w:footnote>
  <w:footnote w:id="112">
    <w:p w14:paraId="1FBA60F2" w14:textId="53DADD88" w:rsidR="00A06D5C" w:rsidRPr="00482555" w:rsidRDefault="00A06D5C" w:rsidP="00482555">
      <w:pPr>
        <w:pStyle w:val="FootnoteText"/>
        <w:rPr>
          <w:lang w:val="es-ES"/>
        </w:rPr>
      </w:pPr>
      <w:r>
        <w:rPr>
          <w:rStyle w:val="FootnoteReference"/>
        </w:rPr>
        <w:footnoteRef/>
      </w:r>
      <w:r w:rsidRPr="00482555">
        <w:rPr>
          <w:lang w:val="es-ES"/>
        </w:rPr>
        <w:t xml:space="preserve"> También en el caso de aplicación a los procedimientos de evaluación de la conformidad de acuerdo a las NOM-ENER será necesario adaptar sus estipulaciones a los requisitos del marco legal e institucional de Panamá.</w:t>
      </w:r>
    </w:p>
  </w:footnote>
  <w:footnote w:id="113">
    <w:p w14:paraId="5DF27C78" w14:textId="09C295CA" w:rsidR="00A06D5C" w:rsidRDefault="00A06D5C">
      <w:pPr>
        <w:pStyle w:val="FootnoteText"/>
      </w:pPr>
      <w:r>
        <w:rPr>
          <w:rStyle w:val="FootnoteReference"/>
        </w:rPr>
        <w:footnoteRef/>
      </w:r>
      <w:r w:rsidRPr="00E64B1E">
        <w:rPr>
          <w:lang w:val="en-US"/>
        </w:rPr>
        <w:t xml:space="preserve"> DRAFT Commission Regulation (EU) .../.. </w:t>
      </w:r>
      <w:r>
        <w:t xml:space="preserve">of XXX implementing Directive 2009/125/EC of the European Parliament and of the Council with regard to ecodesign requirements for light sources and separate control gears, repealing Regulation (EC) No 244/2009 with regard to ecodesign requirements for non-directional household lamps, Regulation (EC) No 245/2009 with regard to ecodesign requirements for fluorescent lamps without integrated ballast, for high intensity discharge lamps, and for ballasts and luminaires able to operate such lamps, and, Regulation (EU) No 1194/2012 with regard to ecodesign requirements for directional lamps, light emitting diode lamps and related equipment, undated   </w:t>
      </w:r>
    </w:p>
  </w:footnote>
  <w:footnote w:id="114">
    <w:p w14:paraId="6B791BA8" w14:textId="77777777" w:rsidR="00A06D5C" w:rsidRDefault="00A06D5C" w:rsidP="005A4F68">
      <w:pPr>
        <w:pStyle w:val="FootnoteText"/>
      </w:pPr>
      <w:r>
        <w:rPr>
          <w:rStyle w:val="FootnoteReference"/>
        </w:rPr>
        <w:footnoteRef/>
      </w:r>
      <w:r>
        <w:t xml:space="preserve"> Proposed rule FR Vol. 81, No. 214, November 4, 2016 proposes to amend the LED lamp test procedure by allowing for time to failure measurements to be taken at elevated temperatures. </w:t>
      </w:r>
    </w:p>
  </w:footnote>
  <w:footnote w:id="115">
    <w:p w14:paraId="536D2808" w14:textId="30F8F6EE" w:rsidR="00A06D5C" w:rsidRPr="00E72F7C" w:rsidRDefault="00A06D5C">
      <w:pPr>
        <w:pStyle w:val="FootnoteText"/>
        <w:rPr>
          <w:lang w:val="es-ES"/>
        </w:rPr>
      </w:pPr>
      <w:r>
        <w:rPr>
          <w:rStyle w:val="FootnoteReference"/>
        </w:rPr>
        <w:footnoteRef/>
      </w:r>
      <w:r w:rsidRPr="00E72F7C">
        <w:rPr>
          <w:lang w:val="es-ES"/>
        </w:rPr>
        <w:t xml:space="preserve"> Para lista</w:t>
      </w:r>
      <w:r>
        <w:rPr>
          <w:lang w:val="es-ES"/>
        </w:rPr>
        <w:t>s</w:t>
      </w:r>
      <w:r w:rsidRPr="00E72F7C">
        <w:rPr>
          <w:lang w:val="es-ES"/>
        </w:rPr>
        <w:t xml:space="preserve"> de posibles requisitos de funcionalidad v</w:t>
      </w:r>
      <w:r>
        <w:rPr>
          <w:lang w:val="es-ES"/>
        </w:rPr>
        <w:t>éase por ejemplo los Reglamentos Delegados europeos (CE) N</w:t>
      </w:r>
      <w:r w:rsidRPr="00E72F7C">
        <w:rPr>
          <w:vertAlign w:val="superscript"/>
          <w:lang w:val="es-ES"/>
        </w:rPr>
        <w:t>o</w:t>
      </w:r>
      <w:r>
        <w:rPr>
          <w:lang w:val="es-ES"/>
        </w:rPr>
        <w:t xml:space="preserve"> 244/2009, (CE) N</w:t>
      </w:r>
      <w:r w:rsidRPr="00E72F7C">
        <w:rPr>
          <w:vertAlign w:val="superscript"/>
          <w:lang w:val="es-ES"/>
        </w:rPr>
        <w:t>o</w:t>
      </w:r>
      <w:r>
        <w:rPr>
          <w:lang w:val="es-ES"/>
        </w:rPr>
        <w:t xml:space="preserve"> 245/2009 y (CE) N</w:t>
      </w:r>
      <w:r w:rsidRPr="00E72F7C">
        <w:rPr>
          <w:vertAlign w:val="superscript"/>
          <w:lang w:val="es-ES"/>
        </w:rPr>
        <w:t xml:space="preserve">o </w:t>
      </w:r>
      <w:r>
        <w:rPr>
          <w:lang w:val="es-ES"/>
        </w:rPr>
        <w:t>1194/2012.</w:t>
      </w:r>
    </w:p>
  </w:footnote>
  <w:footnote w:id="116">
    <w:p w14:paraId="63EE64FC" w14:textId="0A26DEE3" w:rsidR="00A06D5C" w:rsidRPr="00C37086" w:rsidRDefault="00A06D5C">
      <w:pPr>
        <w:pStyle w:val="FootnoteText"/>
        <w:rPr>
          <w:lang w:val="es-ES"/>
        </w:rPr>
      </w:pPr>
      <w:r>
        <w:rPr>
          <w:rStyle w:val="FootnoteReference"/>
        </w:rPr>
        <w:footnoteRef/>
      </w:r>
      <w:r w:rsidRPr="00C37086">
        <w:rPr>
          <w:lang w:val="es-ES"/>
        </w:rPr>
        <w:t xml:space="preserve"> </w:t>
      </w:r>
      <w:r>
        <w:rPr>
          <w:lang w:val="es-ES"/>
        </w:rPr>
        <w:t xml:space="preserve">Tanto las normas IEC como las NOM-ENER para lámparas </w:t>
      </w:r>
      <w:r w:rsidRPr="00C37086">
        <w:rPr>
          <w:lang w:val="es-ES"/>
        </w:rPr>
        <w:t>in</w:t>
      </w:r>
      <w:r>
        <w:rPr>
          <w:lang w:val="es-ES"/>
        </w:rPr>
        <w:t>c</w:t>
      </w:r>
      <w:r w:rsidRPr="00C37086">
        <w:rPr>
          <w:lang w:val="es-ES"/>
        </w:rPr>
        <w:t xml:space="preserve">luyen </w:t>
      </w:r>
      <w:r>
        <w:rPr>
          <w:lang w:val="es-ES"/>
        </w:rPr>
        <w:t>estipulaciones con respecto al muestreo, que deben observarse.</w:t>
      </w:r>
      <w:r w:rsidRPr="00C37086">
        <w:rPr>
          <w:lang w:val="es-E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C6739"/>
    <w:multiLevelType w:val="multilevel"/>
    <w:tmpl w:val="7DC8CAAC"/>
    <w:styleLink w:val="LFO2"/>
    <w:lvl w:ilvl="0">
      <w:numFmt w:val="bullet"/>
      <w:lvlText w:val=""/>
      <w:lvlJc w:val="left"/>
      <w:pPr>
        <w:ind w:left="1068" w:hanging="360"/>
      </w:pPr>
      <w:rPr>
        <w:rFonts w:ascii="Wingdings" w:hAnsi="Wingdings"/>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Verdana" w:hAnsi="Verdana"/>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 w15:restartNumberingAfterBreak="0">
    <w:nsid w:val="0716065C"/>
    <w:multiLevelType w:val="hybridMultilevel"/>
    <w:tmpl w:val="2F12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B42F5"/>
    <w:multiLevelType w:val="hybridMultilevel"/>
    <w:tmpl w:val="0BD41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C574C"/>
    <w:multiLevelType w:val="hybridMultilevel"/>
    <w:tmpl w:val="80248B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3508EB"/>
    <w:multiLevelType w:val="hybridMultilevel"/>
    <w:tmpl w:val="B6A8CA06"/>
    <w:lvl w:ilvl="0" w:tplc="08090001">
      <w:start w:val="1"/>
      <w:numFmt w:val="bullet"/>
      <w:lvlText w:val=""/>
      <w:lvlJc w:val="left"/>
      <w:pPr>
        <w:ind w:left="227" w:hanging="360"/>
      </w:pPr>
      <w:rPr>
        <w:rFonts w:ascii="Symbol" w:hAnsi="Symbol" w:hint="default"/>
      </w:rPr>
    </w:lvl>
    <w:lvl w:ilvl="1" w:tplc="08090003" w:tentative="1">
      <w:start w:val="1"/>
      <w:numFmt w:val="bullet"/>
      <w:lvlText w:val="o"/>
      <w:lvlJc w:val="left"/>
      <w:pPr>
        <w:ind w:left="947" w:hanging="360"/>
      </w:pPr>
      <w:rPr>
        <w:rFonts w:ascii="Courier New" w:hAnsi="Courier New" w:cs="Courier New" w:hint="default"/>
      </w:rPr>
    </w:lvl>
    <w:lvl w:ilvl="2" w:tplc="08090005" w:tentative="1">
      <w:start w:val="1"/>
      <w:numFmt w:val="bullet"/>
      <w:lvlText w:val=""/>
      <w:lvlJc w:val="left"/>
      <w:pPr>
        <w:ind w:left="1667" w:hanging="360"/>
      </w:pPr>
      <w:rPr>
        <w:rFonts w:ascii="Wingdings" w:hAnsi="Wingdings" w:hint="default"/>
      </w:rPr>
    </w:lvl>
    <w:lvl w:ilvl="3" w:tplc="08090001" w:tentative="1">
      <w:start w:val="1"/>
      <w:numFmt w:val="bullet"/>
      <w:lvlText w:val=""/>
      <w:lvlJc w:val="left"/>
      <w:pPr>
        <w:ind w:left="2387" w:hanging="360"/>
      </w:pPr>
      <w:rPr>
        <w:rFonts w:ascii="Symbol" w:hAnsi="Symbol" w:hint="default"/>
      </w:rPr>
    </w:lvl>
    <w:lvl w:ilvl="4" w:tplc="08090003" w:tentative="1">
      <w:start w:val="1"/>
      <w:numFmt w:val="bullet"/>
      <w:lvlText w:val="o"/>
      <w:lvlJc w:val="left"/>
      <w:pPr>
        <w:ind w:left="3107" w:hanging="360"/>
      </w:pPr>
      <w:rPr>
        <w:rFonts w:ascii="Courier New" w:hAnsi="Courier New" w:cs="Courier New" w:hint="default"/>
      </w:rPr>
    </w:lvl>
    <w:lvl w:ilvl="5" w:tplc="08090005" w:tentative="1">
      <w:start w:val="1"/>
      <w:numFmt w:val="bullet"/>
      <w:lvlText w:val=""/>
      <w:lvlJc w:val="left"/>
      <w:pPr>
        <w:ind w:left="3827" w:hanging="360"/>
      </w:pPr>
      <w:rPr>
        <w:rFonts w:ascii="Wingdings" w:hAnsi="Wingdings" w:hint="default"/>
      </w:rPr>
    </w:lvl>
    <w:lvl w:ilvl="6" w:tplc="08090001" w:tentative="1">
      <w:start w:val="1"/>
      <w:numFmt w:val="bullet"/>
      <w:lvlText w:val=""/>
      <w:lvlJc w:val="left"/>
      <w:pPr>
        <w:ind w:left="4547" w:hanging="360"/>
      </w:pPr>
      <w:rPr>
        <w:rFonts w:ascii="Symbol" w:hAnsi="Symbol" w:hint="default"/>
      </w:rPr>
    </w:lvl>
    <w:lvl w:ilvl="7" w:tplc="08090003" w:tentative="1">
      <w:start w:val="1"/>
      <w:numFmt w:val="bullet"/>
      <w:lvlText w:val="o"/>
      <w:lvlJc w:val="left"/>
      <w:pPr>
        <w:ind w:left="5267" w:hanging="360"/>
      </w:pPr>
      <w:rPr>
        <w:rFonts w:ascii="Courier New" w:hAnsi="Courier New" w:cs="Courier New" w:hint="default"/>
      </w:rPr>
    </w:lvl>
    <w:lvl w:ilvl="8" w:tplc="08090005" w:tentative="1">
      <w:start w:val="1"/>
      <w:numFmt w:val="bullet"/>
      <w:lvlText w:val=""/>
      <w:lvlJc w:val="left"/>
      <w:pPr>
        <w:ind w:left="5987" w:hanging="360"/>
      </w:pPr>
      <w:rPr>
        <w:rFonts w:ascii="Wingdings" w:hAnsi="Wingdings" w:hint="default"/>
      </w:rPr>
    </w:lvl>
  </w:abstractNum>
  <w:abstractNum w:abstractNumId="5" w15:restartNumberingAfterBreak="0">
    <w:nsid w:val="14D5528D"/>
    <w:multiLevelType w:val="hybridMultilevel"/>
    <w:tmpl w:val="80D01D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E67238"/>
    <w:multiLevelType w:val="multilevel"/>
    <w:tmpl w:val="17A6AA94"/>
    <w:styleLink w:val="LFO8"/>
    <w:lvl w:ilvl="0">
      <w:start w:val="1"/>
      <w:numFmt w:val="decimal"/>
      <w:pStyle w:val="ListNumber"/>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1A0F5875"/>
    <w:multiLevelType w:val="singleLevel"/>
    <w:tmpl w:val="A2FE6716"/>
    <w:lvl w:ilvl="0">
      <w:start w:val="1"/>
      <w:numFmt w:val="lowerLetter"/>
      <w:pStyle w:val="Listaletras2"/>
      <w:lvlText w:val="%1)"/>
      <w:lvlJc w:val="left"/>
      <w:pPr>
        <w:tabs>
          <w:tab w:val="num" w:pos="737"/>
        </w:tabs>
        <w:ind w:left="737" w:hanging="340"/>
      </w:pPr>
      <w:rPr>
        <w:rFonts w:hint="default"/>
      </w:rPr>
    </w:lvl>
  </w:abstractNum>
  <w:abstractNum w:abstractNumId="8" w15:restartNumberingAfterBreak="0">
    <w:nsid w:val="1B3C78B8"/>
    <w:multiLevelType w:val="multilevel"/>
    <w:tmpl w:val="5FCEF20A"/>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9" w15:restartNumberingAfterBreak="0">
    <w:nsid w:val="201F6FF6"/>
    <w:multiLevelType w:val="hybridMultilevel"/>
    <w:tmpl w:val="FB2EA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876CB"/>
    <w:multiLevelType w:val="hybridMultilevel"/>
    <w:tmpl w:val="88709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AC782F"/>
    <w:multiLevelType w:val="multilevel"/>
    <w:tmpl w:val="0C686940"/>
    <w:styleLink w:val="LFO5"/>
    <w:lvl w:ilvl="0">
      <w:numFmt w:val="bullet"/>
      <w:pStyle w:val="ListBullet3"/>
      <w:lvlText w:val=""/>
      <w:lvlJc w:val="left"/>
      <w:pPr>
        <w:ind w:left="1352" w:hanging="360"/>
      </w:pPr>
      <w:rPr>
        <w:rFonts w:ascii="Symbol" w:hAnsi="Symbol"/>
        <w:color w:val="002B7F"/>
        <w:sz w:val="16"/>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2B12013B"/>
    <w:multiLevelType w:val="hybridMultilevel"/>
    <w:tmpl w:val="E6725D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7960B7"/>
    <w:multiLevelType w:val="hybridMultilevel"/>
    <w:tmpl w:val="245AD8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534086"/>
    <w:multiLevelType w:val="hybridMultilevel"/>
    <w:tmpl w:val="3CA602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BF18E1"/>
    <w:multiLevelType w:val="multilevel"/>
    <w:tmpl w:val="48184F06"/>
    <w:styleLink w:val="LFO15"/>
    <w:lvl w:ilvl="0">
      <w:numFmt w:val="bullet"/>
      <w:pStyle w:val="Listavietas2"/>
      <w:lvlText w:val=""/>
      <w:lvlJc w:val="left"/>
      <w:pPr>
        <w:ind w:left="757" w:hanging="360"/>
      </w:pPr>
      <w:rPr>
        <w:rFonts w:ascii="Symbol" w:hAnsi="Symbol"/>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64A7C70"/>
    <w:multiLevelType w:val="hybridMultilevel"/>
    <w:tmpl w:val="E3A82ED8"/>
    <w:lvl w:ilvl="0" w:tplc="77C65914">
      <w:start w:val="1"/>
      <w:numFmt w:val="lowerLetter"/>
      <w:lvlText w:val="%1)"/>
      <w:lvlJc w:val="left"/>
      <w:pPr>
        <w:ind w:left="720" w:hanging="360"/>
      </w:pPr>
      <w:rPr>
        <w:rFonts w:asciiTheme="minorHAnsi" w:eastAsia="Calibri" w:hAnsiTheme="minorHAnsi" w:cstheme="minorHAnsi" w:hint="default"/>
        <w:color w:val="auto"/>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7" w15:restartNumberingAfterBreak="0">
    <w:nsid w:val="372A01F4"/>
    <w:multiLevelType w:val="multilevel"/>
    <w:tmpl w:val="41E094BC"/>
    <w:styleLink w:val="WWOutlineListStyle1"/>
    <w:lvl w:ilvl="0">
      <w:start w:val="1"/>
      <w:numFmt w:val="decimal"/>
      <w:lvlText w:val="%1."/>
      <w:lvlJc w:val="left"/>
      <w:pPr>
        <w:ind w:left="567" w:hanging="567"/>
      </w:pPr>
    </w:lvl>
    <w:lvl w:ilvl="1">
      <w:start w:val="1"/>
      <w:numFmt w:val="decimal"/>
      <w:lvlText w:val="%1.%2."/>
      <w:lvlJc w:val="left"/>
      <w:pPr>
        <w:ind w:left="1247" w:hanging="963"/>
      </w:pPr>
    </w:lvl>
    <w:lvl w:ilvl="2">
      <w:start w:val="1"/>
      <w:numFmt w:val="decimal"/>
      <w:lvlText w:val="%1.%2.%3."/>
      <w:lvlJc w:val="left"/>
      <w:pPr>
        <w:ind w:left="1871" w:hanging="1304"/>
      </w:pPr>
    </w:lvl>
    <w:lvl w:ilvl="3">
      <w:start w:val="1"/>
      <w:numFmt w:val="decimal"/>
      <w:lvlText w:val="%1.%2.%3.%4."/>
      <w:lvlJc w:val="left"/>
      <w:pPr>
        <w:ind w:left="2552" w:hanging="1701"/>
      </w:pPr>
    </w:lvl>
    <w:lvl w:ilvl="4">
      <w:start w:val="1"/>
      <w:numFmt w:val="decimal"/>
      <w:lvlText w:val="%1.%2.%3.%4.%5."/>
      <w:lvlJc w:val="left"/>
      <w:pPr>
        <w:ind w:left="3289" w:hanging="2155"/>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377D7035"/>
    <w:multiLevelType w:val="hybridMultilevel"/>
    <w:tmpl w:val="07640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D2255C"/>
    <w:multiLevelType w:val="multilevel"/>
    <w:tmpl w:val="D776787C"/>
    <w:styleLink w:val="LFO3"/>
    <w:lvl w:ilvl="0">
      <w:numFmt w:val="bullet"/>
      <w:pStyle w:val="ListBullet"/>
      <w:lvlText w:val=""/>
      <w:lvlJc w:val="left"/>
      <w:pPr>
        <w:ind w:left="785" w:hanging="360"/>
      </w:pPr>
      <w:rPr>
        <w:rFonts w:ascii="Wingdings" w:hAnsi="Wingdings"/>
        <w:color w:val="002B7F"/>
        <w:sz w:val="16"/>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39DB42ED"/>
    <w:multiLevelType w:val="hybridMultilevel"/>
    <w:tmpl w:val="8C3C6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6D15EA"/>
    <w:multiLevelType w:val="multilevel"/>
    <w:tmpl w:val="EB4EB2F2"/>
    <w:styleLink w:val="LFO9"/>
    <w:lvl w:ilvl="0">
      <w:start w:val="1"/>
      <w:numFmt w:val="decimal"/>
      <w:pStyle w:val="ListNumber2"/>
      <w:lvlText w:val="%1."/>
      <w:lvlJc w:val="left"/>
      <w:pPr>
        <w:ind w:left="643"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3D3B3C1D"/>
    <w:multiLevelType w:val="multilevel"/>
    <w:tmpl w:val="7706A240"/>
    <w:styleLink w:val="WWOutlineListStyle3"/>
    <w:lvl w:ilvl="0">
      <w:start w:val="1"/>
      <w:numFmt w:val="decimal"/>
      <w:pStyle w:val="Heading1"/>
      <w:lvlText w:val="%1."/>
      <w:lvlJc w:val="left"/>
      <w:pPr>
        <w:ind w:left="851" w:hanging="567"/>
      </w:pPr>
    </w:lvl>
    <w:lvl w:ilvl="1">
      <w:start w:val="1"/>
      <w:numFmt w:val="decimal"/>
      <w:pStyle w:val="Heading2"/>
      <w:lvlText w:val="%1.%2."/>
      <w:lvlJc w:val="left"/>
      <w:pPr>
        <w:ind w:left="1247" w:hanging="963"/>
      </w:pPr>
    </w:lvl>
    <w:lvl w:ilvl="2">
      <w:start w:val="1"/>
      <w:numFmt w:val="decimal"/>
      <w:pStyle w:val="Heading3"/>
      <w:lvlText w:val="%1.%2.%3."/>
      <w:lvlJc w:val="left"/>
      <w:pPr>
        <w:ind w:left="2580" w:hanging="1304"/>
      </w:pPr>
    </w:lvl>
    <w:lvl w:ilvl="3">
      <w:start w:val="1"/>
      <w:numFmt w:val="decimal"/>
      <w:pStyle w:val="Heading4"/>
      <w:lvlText w:val="%1.%2.%3.%4."/>
      <w:lvlJc w:val="left"/>
      <w:pPr>
        <w:ind w:left="2552" w:hanging="1701"/>
      </w:pPr>
    </w:lvl>
    <w:lvl w:ilvl="4">
      <w:start w:val="1"/>
      <w:numFmt w:val="decimal"/>
      <w:pStyle w:val="Heading5"/>
      <w:lvlText w:val="%1.%2.%3.%4.%5."/>
      <w:lvlJc w:val="left"/>
      <w:pPr>
        <w:ind w:left="3289" w:hanging="2155"/>
      </w:pPr>
    </w:lvl>
    <w:lvl w:ilvl="5">
      <w:start w:val="1"/>
      <w:numFmt w:val="none"/>
      <w:lvlText w:val="%6"/>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3" w15:restartNumberingAfterBreak="0">
    <w:nsid w:val="3D9668DD"/>
    <w:multiLevelType w:val="hybridMultilevel"/>
    <w:tmpl w:val="E64CA2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ED94542"/>
    <w:multiLevelType w:val="hybridMultilevel"/>
    <w:tmpl w:val="4C88539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F487802"/>
    <w:multiLevelType w:val="multilevel"/>
    <w:tmpl w:val="8DDCC95C"/>
    <w:styleLink w:val="WWOutlineListStyle"/>
    <w:lvl w:ilvl="0">
      <w:start w:val="1"/>
      <w:numFmt w:val="decimal"/>
      <w:lvlText w:val="%1."/>
      <w:lvlJc w:val="left"/>
      <w:pPr>
        <w:ind w:left="567" w:hanging="567"/>
      </w:pPr>
    </w:lvl>
    <w:lvl w:ilvl="1">
      <w:start w:val="1"/>
      <w:numFmt w:val="decimal"/>
      <w:lvlText w:val="%1.%2."/>
      <w:lvlJc w:val="left"/>
      <w:pPr>
        <w:ind w:left="1247" w:hanging="963"/>
      </w:pPr>
    </w:lvl>
    <w:lvl w:ilvl="2">
      <w:start w:val="1"/>
      <w:numFmt w:val="decimal"/>
      <w:lvlText w:val="%1.%2.%3."/>
      <w:lvlJc w:val="left"/>
      <w:pPr>
        <w:ind w:left="1871" w:hanging="1304"/>
      </w:pPr>
    </w:lvl>
    <w:lvl w:ilvl="3">
      <w:start w:val="1"/>
      <w:numFmt w:val="decimal"/>
      <w:lvlText w:val="%1.%2.%3.%4."/>
      <w:lvlJc w:val="left"/>
      <w:pPr>
        <w:ind w:left="2552" w:hanging="1701"/>
      </w:pPr>
    </w:lvl>
    <w:lvl w:ilvl="4">
      <w:start w:val="1"/>
      <w:numFmt w:val="decimal"/>
      <w:lvlText w:val="%1.%2.%3.%4.%5."/>
      <w:lvlJc w:val="left"/>
      <w:pPr>
        <w:ind w:left="3289" w:hanging="2155"/>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3F556DD8"/>
    <w:multiLevelType w:val="hybridMultilevel"/>
    <w:tmpl w:val="8E92071C"/>
    <w:lvl w:ilvl="0" w:tplc="97087270">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A16888"/>
    <w:multiLevelType w:val="hybridMultilevel"/>
    <w:tmpl w:val="E050F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887C2B"/>
    <w:multiLevelType w:val="multilevel"/>
    <w:tmpl w:val="81ECB454"/>
    <w:styleLink w:val="WWOutlineListStyle2"/>
    <w:lvl w:ilvl="0">
      <w:start w:val="1"/>
      <w:numFmt w:val="decimal"/>
      <w:lvlText w:val="%1."/>
      <w:lvlJc w:val="left"/>
      <w:pPr>
        <w:ind w:left="567" w:hanging="567"/>
      </w:pPr>
    </w:lvl>
    <w:lvl w:ilvl="1">
      <w:start w:val="1"/>
      <w:numFmt w:val="decimal"/>
      <w:lvlText w:val="%1.%2."/>
      <w:lvlJc w:val="left"/>
      <w:pPr>
        <w:ind w:left="1247" w:hanging="963"/>
      </w:pPr>
    </w:lvl>
    <w:lvl w:ilvl="2">
      <w:start w:val="1"/>
      <w:numFmt w:val="decimal"/>
      <w:lvlText w:val="%1.%2.%3."/>
      <w:lvlJc w:val="left"/>
      <w:pPr>
        <w:ind w:left="1871" w:hanging="1304"/>
      </w:pPr>
    </w:lvl>
    <w:lvl w:ilvl="3">
      <w:start w:val="1"/>
      <w:numFmt w:val="decimal"/>
      <w:lvlText w:val="%1.%2.%3.%4."/>
      <w:lvlJc w:val="left"/>
      <w:pPr>
        <w:ind w:left="2552" w:hanging="1701"/>
      </w:pPr>
    </w:lvl>
    <w:lvl w:ilvl="4">
      <w:start w:val="1"/>
      <w:numFmt w:val="decimal"/>
      <w:lvlText w:val="%1.%2.%3.%4.%5."/>
      <w:lvlJc w:val="left"/>
      <w:pPr>
        <w:ind w:left="3289" w:hanging="2155"/>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 w15:restartNumberingAfterBreak="0">
    <w:nsid w:val="4AD16CED"/>
    <w:multiLevelType w:val="multilevel"/>
    <w:tmpl w:val="323A4A3C"/>
    <w:styleLink w:val="LFO10"/>
    <w:lvl w:ilvl="0">
      <w:start w:val="1"/>
      <w:numFmt w:val="decimal"/>
      <w:pStyle w:val="ListNumber3"/>
      <w:lvlText w:val="%1."/>
      <w:lvlJc w:val="left"/>
      <w:pPr>
        <w:ind w:left="926"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15:restartNumberingAfterBreak="0">
    <w:nsid w:val="4AD6470E"/>
    <w:multiLevelType w:val="hybridMultilevel"/>
    <w:tmpl w:val="2FBCC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5F7708"/>
    <w:multiLevelType w:val="hybridMultilevel"/>
    <w:tmpl w:val="9E2EE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2C27F0"/>
    <w:multiLevelType w:val="hybridMultilevel"/>
    <w:tmpl w:val="96B8A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9B1867"/>
    <w:multiLevelType w:val="hybridMultilevel"/>
    <w:tmpl w:val="DB90A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FD49F4"/>
    <w:multiLevelType w:val="hybridMultilevel"/>
    <w:tmpl w:val="ACBE92B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57437A"/>
    <w:multiLevelType w:val="hybridMultilevel"/>
    <w:tmpl w:val="C49042DC"/>
    <w:lvl w:ilvl="0" w:tplc="CFFA3FB6">
      <w:start w:val="1"/>
      <w:numFmt w:val="upperRoman"/>
      <w:pStyle w:val="MAX"/>
      <w:lvlText w:val="%1."/>
      <w:lvlJc w:val="right"/>
      <w:pPr>
        <w:ind w:left="163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8C95D7D"/>
    <w:multiLevelType w:val="hybridMultilevel"/>
    <w:tmpl w:val="80248B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91C469A"/>
    <w:multiLevelType w:val="hybridMultilevel"/>
    <w:tmpl w:val="80248B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A0E230D"/>
    <w:multiLevelType w:val="multilevel"/>
    <w:tmpl w:val="CD442FDA"/>
    <w:styleLink w:val="LFO4"/>
    <w:lvl w:ilvl="0">
      <w:numFmt w:val="bullet"/>
      <w:pStyle w:val="ListBullet2"/>
      <w:lvlText w:val="¨"/>
      <w:lvlJc w:val="left"/>
      <w:pPr>
        <w:ind w:left="1069" w:hanging="360"/>
      </w:pPr>
      <w:rPr>
        <w:rFonts w:ascii="Wingdings" w:hAnsi="Wingdings"/>
        <w:color w:val="002B7F"/>
        <w:sz w:val="16"/>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15:restartNumberingAfterBreak="0">
    <w:nsid w:val="5A914149"/>
    <w:multiLevelType w:val="hybridMultilevel"/>
    <w:tmpl w:val="A378D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DDB6144"/>
    <w:multiLevelType w:val="hybridMultilevel"/>
    <w:tmpl w:val="7930A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135FAD"/>
    <w:multiLevelType w:val="hybridMultilevel"/>
    <w:tmpl w:val="879CC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E504E35"/>
    <w:multiLevelType w:val="hybridMultilevel"/>
    <w:tmpl w:val="269CA0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02C1218"/>
    <w:multiLevelType w:val="hybridMultilevel"/>
    <w:tmpl w:val="86DC05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5671A0"/>
    <w:multiLevelType w:val="hybridMultilevel"/>
    <w:tmpl w:val="BAD6372A"/>
    <w:lvl w:ilvl="0" w:tplc="6D70C94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ABD711E"/>
    <w:multiLevelType w:val="hybridMultilevel"/>
    <w:tmpl w:val="B106E5E4"/>
    <w:lvl w:ilvl="0" w:tplc="CE82E972">
      <w:start w:val="1"/>
      <w:numFmt w:val="decimal"/>
      <w:pStyle w:val="Exrnumberedlist"/>
      <w:lvlText w:val="%1."/>
      <w:lvlJc w:val="left"/>
      <w:pPr>
        <w:ind w:left="720" w:hanging="360"/>
      </w:pPr>
      <w:rPr>
        <w:rFonts w:hint="default"/>
        <w:u w:color="365F91"/>
      </w:rPr>
    </w:lvl>
    <w:lvl w:ilvl="1" w:tplc="60F2BE64">
      <w:start w:val="1"/>
      <w:numFmt w:val="lowerLetter"/>
      <w:lvlText w:val="%2."/>
      <w:lvlJc w:val="left"/>
      <w:pPr>
        <w:ind w:left="1440" w:hanging="360"/>
      </w:pPr>
    </w:lvl>
    <w:lvl w:ilvl="2" w:tplc="93165B10">
      <w:start w:val="1"/>
      <w:numFmt w:val="lowerRoman"/>
      <w:lvlText w:val="%3."/>
      <w:lvlJc w:val="right"/>
      <w:pPr>
        <w:ind w:left="2160" w:hanging="180"/>
      </w:pPr>
    </w:lvl>
    <w:lvl w:ilvl="3" w:tplc="E27A21FC">
      <w:start w:val="1"/>
      <w:numFmt w:val="decimal"/>
      <w:lvlText w:val="%4."/>
      <w:lvlJc w:val="left"/>
      <w:pPr>
        <w:ind w:left="2880" w:hanging="360"/>
      </w:pPr>
    </w:lvl>
    <w:lvl w:ilvl="4" w:tplc="4C28EC8E" w:tentative="1">
      <w:start w:val="1"/>
      <w:numFmt w:val="lowerLetter"/>
      <w:lvlText w:val="%5."/>
      <w:lvlJc w:val="left"/>
      <w:pPr>
        <w:ind w:left="3600" w:hanging="360"/>
      </w:pPr>
    </w:lvl>
    <w:lvl w:ilvl="5" w:tplc="AA24D050" w:tentative="1">
      <w:start w:val="1"/>
      <w:numFmt w:val="lowerRoman"/>
      <w:lvlText w:val="%6."/>
      <w:lvlJc w:val="right"/>
      <w:pPr>
        <w:ind w:left="4320" w:hanging="180"/>
      </w:pPr>
    </w:lvl>
    <w:lvl w:ilvl="6" w:tplc="26A0551A" w:tentative="1">
      <w:start w:val="1"/>
      <w:numFmt w:val="decimal"/>
      <w:lvlText w:val="%7."/>
      <w:lvlJc w:val="left"/>
      <w:pPr>
        <w:ind w:left="5040" w:hanging="360"/>
      </w:pPr>
    </w:lvl>
    <w:lvl w:ilvl="7" w:tplc="1A405C40" w:tentative="1">
      <w:start w:val="1"/>
      <w:numFmt w:val="lowerLetter"/>
      <w:lvlText w:val="%8."/>
      <w:lvlJc w:val="left"/>
      <w:pPr>
        <w:ind w:left="5760" w:hanging="360"/>
      </w:pPr>
    </w:lvl>
    <w:lvl w:ilvl="8" w:tplc="7AD494B4" w:tentative="1">
      <w:start w:val="1"/>
      <w:numFmt w:val="lowerRoman"/>
      <w:lvlText w:val="%9."/>
      <w:lvlJc w:val="right"/>
      <w:pPr>
        <w:ind w:left="6480" w:hanging="180"/>
      </w:pPr>
    </w:lvl>
  </w:abstractNum>
  <w:num w:numId="1">
    <w:abstractNumId w:val="22"/>
  </w:num>
  <w:num w:numId="2">
    <w:abstractNumId w:val="28"/>
  </w:num>
  <w:num w:numId="3">
    <w:abstractNumId w:val="17"/>
  </w:num>
  <w:num w:numId="4">
    <w:abstractNumId w:val="25"/>
  </w:num>
  <w:num w:numId="5">
    <w:abstractNumId w:val="19"/>
  </w:num>
  <w:num w:numId="6">
    <w:abstractNumId w:val="38"/>
  </w:num>
  <w:num w:numId="7">
    <w:abstractNumId w:val="11"/>
  </w:num>
  <w:num w:numId="8">
    <w:abstractNumId w:val="6"/>
  </w:num>
  <w:num w:numId="9">
    <w:abstractNumId w:val="21"/>
  </w:num>
  <w:num w:numId="10">
    <w:abstractNumId w:val="29"/>
  </w:num>
  <w:num w:numId="11">
    <w:abstractNumId w:val="15"/>
  </w:num>
  <w:num w:numId="12">
    <w:abstractNumId w:val="0"/>
  </w:num>
  <w:num w:numId="13">
    <w:abstractNumId w:val="45"/>
  </w:num>
  <w:num w:numId="14">
    <w:abstractNumId w:val="7"/>
  </w:num>
  <w:num w:numId="15">
    <w:abstractNumId w:val="35"/>
  </w:num>
  <w:num w:numId="16">
    <w:abstractNumId w:val="33"/>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4"/>
  </w:num>
  <w:num w:numId="20">
    <w:abstractNumId w:val="34"/>
  </w:num>
  <w:num w:numId="21">
    <w:abstractNumId w:val="24"/>
  </w:num>
  <w:num w:numId="22">
    <w:abstractNumId w:val="8"/>
  </w:num>
  <w:num w:numId="23">
    <w:abstractNumId w:val="30"/>
  </w:num>
  <w:num w:numId="24">
    <w:abstractNumId w:val="40"/>
  </w:num>
  <w:num w:numId="25">
    <w:abstractNumId w:val="5"/>
  </w:num>
  <w:num w:numId="26">
    <w:abstractNumId w:val="3"/>
  </w:num>
  <w:num w:numId="27">
    <w:abstractNumId w:val="27"/>
  </w:num>
  <w:num w:numId="28">
    <w:abstractNumId w:val="2"/>
  </w:num>
  <w:num w:numId="29">
    <w:abstractNumId w:val="20"/>
  </w:num>
  <w:num w:numId="30">
    <w:abstractNumId w:val="31"/>
  </w:num>
  <w:num w:numId="31">
    <w:abstractNumId w:val="10"/>
  </w:num>
  <w:num w:numId="32">
    <w:abstractNumId w:val="18"/>
  </w:num>
  <w:num w:numId="33">
    <w:abstractNumId w:val="39"/>
  </w:num>
  <w:num w:numId="34">
    <w:abstractNumId w:val="41"/>
  </w:num>
  <w:num w:numId="35">
    <w:abstractNumId w:val="42"/>
  </w:num>
  <w:num w:numId="36">
    <w:abstractNumId w:val="43"/>
  </w:num>
  <w:num w:numId="37">
    <w:abstractNumId w:val="4"/>
  </w:num>
  <w:num w:numId="38">
    <w:abstractNumId w:val="1"/>
  </w:num>
  <w:num w:numId="39">
    <w:abstractNumId w:val="12"/>
  </w:num>
  <w:num w:numId="40">
    <w:abstractNumId w:val="13"/>
  </w:num>
  <w:num w:numId="41">
    <w:abstractNumId w:val="23"/>
  </w:num>
  <w:num w:numId="42">
    <w:abstractNumId w:val="44"/>
  </w:num>
  <w:num w:numId="43">
    <w:abstractNumId w:val="37"/>
  </w:num>
  <w:num w:numId="44">
    <w:abstractNumId w:val="36"/>
  </w:num>
  <w:num w:numId="45">
    <w:abstractNumId w:val="9"/>
  </w:num>
  <w:num w:numId="46">
    <w:abstractNumId w:val="32"/>
  </w:num>
  <w:num w:numId="47">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ttachedTemplate r:id="rId1"/>
  <w:documentProtection w:edit="trackedChanges"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04A"/>
    <w:rsid w:val="00000EC4"/>
    <w:rsid w:val="00000FC2"/>
    <w:rsid w:val="00001ED4"/>
    <w:rsid w:val="000047E5"/>
    <w:rsid w:val="00004E57"/>
    <w:rsid w:val="00007773"/>
    <w:rsid w:val="00007856"/>
    <w:rsid w:val="000109A1"/>
    <w:rsid w:val="00010D3F"/>
    <w:rsid w:val="0001141A"/>
    <w:rsid w:val="000117A2"/>
    <w:rsid w:val="000120D5"/>
    <w:rsid w:val="00013D0F"/>
    <w:rsid w:val="00014123"/>
    <w:rsid w:val="00014791"/>
    <w:rsid w:val="0001485F"/>
    <w:rsid w:val="0001530C"/>
    <w:rsid w:val="00016800"/>
    <w:rsid w:val="00016EFF"/>
    <w:rsid w:val="00016F24"/>
    <w:rsid w:val="000203F9"/>
    <w:rsid w:val="00020A34"/>
    <w:rsid w:val="00022921"/>
    <w:rsid w:val="000229C2"/>
    <w:rsid w:val="00022A5F"/>
    <w:rsid w:val="00022E91"/>
    <w:rsid w:val="000239CC"/>
    <w:rsid w:val="00023BFB"/>
    <w:rsid w:val="00024567"/>
    <w:rsid w:val="00024599"/>
    <w:rsid w:val="000245DC"/>
    <w:rsid w:val="00025672"/>
    <w:rsid w:val="0002702A"/>
    <w:rsid w:val="00027C9A"/>
    <w:rsid w:val="00030559"/>
    <w:rsid w:val="00031239"/>
    <w:rsid w:val="00032471"/>
    <w:rsid w:val="000332B8"/>
    <w:rsid w:val="00033B20"/>
    <w:rsid w:val="00033D1E"/>
    <w:rsid w:val="0003429D"/>
    <w:rsid w:val="00034930"/>
    <w:rsid w:val="00035F43"/>
    <w:rsid w:val="000361ED"/>
    <w:rsid w:val="00036FF1"/>
    <w:rsid w:val="000379FA"/>
    <w:rsid w:val="0004036D"/>
    <w:rsid w:val="00040E7F"/>
    <w:rsid w:val="000411F0"/>
    <w:rsid w:val="00042AA6"/>
    <w:rsid w:val="00042C05"/>
    <w:rsid w:val="00042C73"/>
    <w:rsid w:val="0004410A"/>
    <w:rsid w:val="000455C5"/>
    <w:rsid w:val="000459A5"/>
    <w:rsid w:val="00045F05"/>
    <w:rsid w:val="0004667B"/>
    <w:rsid w:val="00046D19"/>
    <w:rsid w:val="0004765F"/>
    <w:rsid w:val="00047E65"/>
    <w:rsid w:val="00050B28"/>
    <w:rsid w:val="00051A96"/>
    <w:rsid w:val="00053B3F"/>
    <w:rsid w:val="00054229"/>
    <w:rsid w:val="000563C0"/>
    <w:rsid w:val="00057995"/>
    <w:rsid w:val="00057F66"/>
    <w:rsid w:val="00060385"/>
    <w:rsid w:val="00061186"/>
    <w:rsid w:val="00062703"/>
    <w:rsid w:val="0006367B"/>
    <w:rsid w:val="0006379D"/>
    <w:rsid w:val="00063E8C"/>
    <w:rsid w:val="00064407"/>
    <w:rsid w:val="000658DA"/>
    <w:rsid w:val="00065F73"/>
    <w:rsid w:val="00070EA2"/>
    <w:rsid w:val="0007113B"/>
    <w:rsid w:val="00071ACF"/>
    <w:rsid w:val="000724E9"/>
    <w:rsid w:val="00072F07"/>
    <w:rsid w:val="000734CB"/>
    <w:rsid w:val="0007395D"/>
    <w:rsid w:val="0007441F"/>
    <w:rsid w:val="00075728"/>
    <w:rsid w:val="0007584B"/>
    <w:rsid w:val="00077124"/>
    <w:rsid w:val="00082B53"/>
    <w:rsid w:val="00085191"/>
    <w:rsid w:val="000869A4"/>
    <w:rsid w:val="00086DC7"/>
    <w:rsid w:val="00086F98"/>
    <w:rsid w:val="00087413"/>
    <w:rsid w:val="000879CA"/>
    <w:rsid w:val="00087FE6"/>
    <w:rsid w:val="00091BC1"/>
    <w:rsid w:val="00092E80"/>
    <w:rsid w:val="000952C1"/>
    <w:rsid w:val="000953A9"/>
    <w:rsid w:val="00095C8D"/>
    <w:rsid w:val="00095DF0"/>
    <w:rsid w:val="000960F9"/>
    <w:rsid w:val="00096981"/>
    <w:rsid w:val="000976E6"/>
    <w:rsid w:val="000A0922"/>
    <w:rsid w:val="000A0FC7"/>
    <w:rsid w:val="000A43BC"/>
    <w:rsid w:val="000A4521"/>
    <w:rsid w:val="000B0E6C"/>
    <w:rsid w:val="000B12AB"/>
    <w:rsid w:val="000B1B71"/>
    <w:rsid w:val="000B1BBB"/>
    <w:rsid w:val="000B20BB"/>
    <w:rsid w:val="000B2505"/>
    <w:rsid w:val="000B2725"/>
    <w:rsid w:val="000B45C9"/>
    <w:rsid w:val="000B4CBA"/>
    <w:rsid w:val="000B4EA6"/>
    <w:rsid w:val="000B4FC8"/>
    <w:rsid w:val="000B5533"/>
    <w:rsid w:val="000B6044"/>
    <w:rsid w:val="000B6809"/>
    <w:rsid w:val="000B7730"/>
    <w:rsid w:val="000C0BDF"/>
    <w:rsid w:val="000C1023"/>
    <w:rsid w:val="000C1260"/>
    <w:rsid w:val="000C17EA"/>
    <w:rsid w:val="000C1A80"/>
    <w:rsid w:val="000C2216"/>
    <w:rsid w:val="000C2532"/>
    <w:rsid w:val="000C2D7F"/>
    <w:rsid w:val="000C31E7"/>
    <w:rsid w:val="000C49B9"/>
    <w:rsid w:val="000C4D9F"/>
    <w:rsid w:val="000C6008"/>
    <w:rsid w:val="000C703E"/>
    <w:rsid w:val="000C70C7"/>
    <w:rsid w:val="000C78D6"/>
    <w:rsid w:val="000C7B14"/>
    <w:rsid w:val="000C7C1A"/>
    <w:rsid w:val="000C7F25"/>
    <w:rsid w:val="000D01B6"/>
    <w:rsid w:val="000D04D2"/>
    <w:rsid w:val="000D0C03"/>
    <w:rsid w:val="000D1246"/>
    <w:rsid w:val="000D1511"/>
    <w:rsid w:val="000D220F"/>
    <w:rsid w:val="000D2D39"/>
    <w:rsid w:val="000D316B"/>
    <w:rsid w:val="000D33EF"/>
    <w:rsid w:val="000D360C"/>
    <w:rsid w:val="000D4103"/>
    <w:rsid w:val="000D4217"/>
    <w:rsid w:val="000D4AAC"/>
    <w:rsid w:val="000D4AFC"/>
    <w:rsid w:val="000D51C8"/>
    <w:rsid w:val="000D5880"/>
    <w:rsid w:val="000D63A7"/>
    <w:rsid w:val="000E2998"/>
    <w:rsid w:val="000E3A94"/>
    <w:rsid w:val="000E6B0B"/>
    <w:rsid w:val="000E6E66"/>
    <w:rsid w:val="000E79D8"/>
    <w:rsid w:val="000F017C"/>
    <w:rsid w:val="000F11A0"/>
    <w:rsid w:val="000F3098"/>
    <w:rsid w:val="000F48C6"/>
    <w:rsid w:val="000F4B94"/>
    <w:rsid w:val="000F5C5C"/>
    <w:rsid w:val="000F6457"/>
    <w:rsid w:val="00100BEB"/>
    <w:rsid w:val="0010106C"/>
    <w:rsid w:val="00101B6F"/>
    <w:rsid w:val="00102EAC"/>
    <w:rsid w:val="00102FB0"/>
    <w:rsid w:val="00103C9A"/>
    <w:rsid w:val="00103F74"/>
    <w:rsid w:val="001047EE"/>
    <w:rsid w:val="001067FF"/>
    <w:rsid w:val="00107DBE"/>
    <w:rsid w:val="00107E30"/>
    <w:rsid w:val="00107F0A"/>
    <w:rsid w:val="00112E2F"/>
    <w:rsid w:val="001139EE"/>
    <w:rsid w:val="001150C4"/>
    <w:rsid w:val="0011646A"/>
    <w:rsid w:val="001168B3"/>
    <w:rsid w:val="0012157C"/>
    <w:rsid w:val="001231B4"/>
    <w:rsid w:val="00124EF4"/>
    <w:rsid w:val="00125A48"/>
    <w:rsid w:val="00126A3E"/>
    <w:rsid w:val="00127B36"/>
    <w:rsid w:val="00130C34"/>
    <w:rsid w:val="0013180A"/>
    <w:rsid w:val="00132344"/>
    <w:rsid w:val="0013257C"/>
    <w:rsid w:val="00132B3A"/>
    <w:rsid w:val="001337F0"/>
    <w:rsid w:val="00133F32"/>
    <w:rsid w:val="001404E7"/>
    <w:rsid w:val="0014152F"/>
    <w:rsid w:val="001428A5"/>
    <w:rsid w:val="00142D68"/>
    <w:rsid w:val="00143B46"/>
    <w:rsid w:val="001459EF"/>
    <w:rsid w:val="001462CF"/>
    <w:rsid w:val="0014670C"/>
    <w:rsid w:val="00147852"/>
    <w:rsid w:val="001500CB"/>
    <w:rsid w:val="0015120E"/>
    <w:rsid w:val="00151505"/>
    <w:rsid w:val="00152B8A"/>
    <w:rsid w:val="001532E1"/>
    <w:rsid w:val="001533C1"/>
    <w:rsid w:val="00154837"/>
    <w:rsid w:val="00154DA5"/>
    <w:rsid w:val="001553F4"/>
    <w:rsid w:val="00155665"/>
    <w:rsid w:val="001572B2"/>
    <w:rsid w:val="00160109"/>
    <w:rsid w:val="00160B12"/>
    <w:rsid w:val="00160C3B"/>
    <w:rsid w:val="0016210E"/>
    <w:rsid w:val="0016265B"/>
    <w:rsid w:val="00162897"/>
    <w:rsid w:val="001637AB"/>
    <w:rsid w:val="00163E5D"/>
    <w:rsid w:val="00165DC3"/>
    <w:rsid w:val="00166CD4"/>
    <w:rsid w:val="0017085C"/>
    <w:rsid w:val="00172546"/>
    <w:rsid w:val="001728C0"/>
    <w:rsid w:val="00172A86"/>
    <w:rsid w:val="00173767"/>
    <w:rsid w:val="001758F0"/>
    <w:rsid w:val="00175986"/>
    <w:rsid w:val="00176CC8"/>
    <w:rsid w:val="00177F72"/>
    <w:rsid w:val="0018038B"/>
    <w:rsid w:val="0018206E"/>
    <w:rsid w:val="00182A94"/>
    <w:rsid w:val="00183B28"/>
    <w:rsid w:val="0018468E"/>
    <w:rsid w:val="001853D6"/>
    <w:rsid w:val="0018674C"/>
    <w:rsid w:val="00186CA9"/>
    <w:rsid w:val="00186EBE"/>
    <w:rsid w:val="00190731"/>
    <w:rsid w:val="00190E0C"/>
    <w:rsid w:val="00191AAC"/>
    <w:rsid w:val="001922D7"/>
    <w:rsid w:val="00192728"/>
    <w:rsid w:val="00192897"/>
    <w:rsid w:val="00193D25"/>
    <w:rsid w:val="00195065"/>
    <w:rsid w:val="001952AA"/>
    <w:rsid w:val="00195781"/>
    <w:rsid w:val="001958BF"/>
    <w:rsid w:val="00195F25"/>
    <w:rsid w:val="001972F6"/>
    <w:rsid w:val="00197914"/>
    <w:rsid w:val="001A0EB4"/>
    <w:rsid w:val="001A10C2"/>
    <w:rsid w:val="001A16CF"/>
    <w:rsid w:val="001A1865"/>
    <w:rsid w:val="001A21C2"/>
    <w:rsid w:val="001A3B8D"/>
    <w:rsid w:val="001A429A"/>
    <w:rsid w:val="001A4583"/>
    <w:rsid w:val="001A4AA7"/>
    <w:rsid w:val="001A4E18"/>
    <w:rsid w:val="001A5987"/>
    <w:rsid w:val="001A5DFC"/>
    <w:rsid w:val="001A609B"/>
    <w:rsid w:val="001A655C"/>
    <w:rsid w:val="001A6BC6"/>
    <w:rsid w:val="001A6D5B"/>
    <w:rsid w:val="001A6F93"/>
    <w:rsid w:val="001A713C"/>
    <w:rsid w:val="001B01D7"/>
    <w:rsid w:val="001B0E8B"/>
    <w:rsid w:val="001B1302"/>
    <w:rsid w:val="001B1354"/>
    <w:rsid w:val="001B1AFD"/>
    <w:rsid w:val="001B1BFF"/>
    <w:rsid w:val="001B246B"/>
    <w:rsid w:val="001B32C8"/>
    <w:rsid w:val="001B568B"/>
    <w:rsid w:val="001B6BD2"/>
    <w:rsid w:val="001B6CAA"/>
    <w:rsid w:val="001B7308"/>
    <w:rsid w:val="001C0164"/>
    <w:rsid w:val="001C07AA"/>
    <w:rsid w:val="001C0C20"/>
    <w:rsid w:val="001C0F1C"/>
    <w:rsid w:val="001C1BF6"/>
    <w:rsid w:val="001C480E"/>
    <w:rsid w:val="001C4A05"/>
    <w:rsid w:val="001C4AF3"/>
    <w:rsid w:val="001C59FC"/>
    <w:rsid w:val="001C63D0"/>
    <w:rsid w:val="001C653D"/>
    <w:rsid w:val="001C7019"/>
    <w:rsid w:val="001C749E"/>
    <w:rsid w:val="001D041F"/>
    <w:rsid w:val="001D0F0B"/>
    <w:rsid w:val="001D1109"/>
    <w:rsid w:val="001D1448"/>
    <w:rsid w:val="001D1FD3"/>
    <w:rsid w:val="001D31DF"/>
    <w:rsid w:val="001D32AC"/>
    <w:rsid w:val="001D3760"/>
    <w:rsid w:val="001D40AC"/>
    <w:rsid w:val="001D4147"/>
    <w:rsid w:val="001D5043"/>
    <w:rsid w:val="001D5EF7"/>
    <w:rsid w:val="001D62B6"/>
    <w:rsid w:val="001D6E18"/>
    <w:rsid w:val="001E0175"/>
    <w:rsid w:val="001E1B70"/>
    <w:rsid w:val="001E58EE"/>
    <w:rsid w:val="001E6465"/>
    <w:rsid w:val="001E73C1"/>
    <w:rsid w:val="001E7408"/>
    <w:rsid w:val="001F005F"/>
    <w:rsid w:val="001F1C6F"/>
    <w:rsid w:val="001F1FF6"/>
    <w:rsid w:val="001F2D66"/>
    <w:rsid w:val="001F2D87"/>
    <w:rsid w:val="001F31D1"/>
    <w:rsid w:val="001F3292"/>
    <w:rsid w:val="001F4ED0"/>
    <w:rsid w:val="001F56FC"/>
    <w:rsid w:val="001F72FD"/>
    <w:rsid w:val="002004B3"/>
    <w:rsid w:val="00200E79"/>
    <w:rsid w:val="0020192F"/>
    <w:rsid w:val="00203AB0"/>
    <w:rsid w:val="002050A4"/>
    <w:rsid w:val="00205AD9"/>
    <w:rsid w:val="00205EDB"/>
    <w:rsid w:val="00206258"/>
    <w:rsid w:val="00206D4A"/>
    <w:rsid w:val="00207D99"/>
    <w:rsid w:val="0021036E"/>
    <w:rsid w:val="00210597"/>
    <w:rsid w:val="00210CD9"/>
    <w:rsid w:val="00211AFE"/>
    <w:rsid w:val="002132A3"/>
    <w:rsid w:val="00213781"/>
    <w:rsid w:val="00213BC5"/>
    <w:rsid w:val="00214AC6"/>
    <w:rsid w:val="002172C9"/>
    <w:rsid w:val="00217406"/>
    <w:rsid w:val="0021795B"/>
    <w:rsid w:val="00217CFB"/>
    <w:rsid w:val="00220C5D"/>
    <w:rsid w:val="002225FC"/>
    <w:rsid w:val="00224CE6"/>
    <w:rsid w:val="00224CE7"/>
    <w:rsid w:val="00225B8A"/>
    <w:rsid w:val="00226356"/>
    <w:rsid w:val="0022681D"/>
    <w:rsid w:val="002270D2"/>
    <w:rsid w:val="002325A1"/>
    <w:rsid w:val="00232D70"/>
    <w:rsid w:val="00232F8B"/>
    <w:rsid w:val="00233D8A"/>
    <w:rsid w:val="002343F2"/>
    <w:rsid w:val="002354BD"/>
    <w:rsid w:val="00236178"/>
    <w:rsid w:val="00236311"/>
    <w:rsid w:val="00237A23"/>
    <w:rsid w:val="002400E2"/>
    <w:rsid w:val="00241CDA"/>
    <w:rsid w:val="00242037"/>
    <w:rsid w:val="00242D3E"/>
    <w:rsid w:val="002439DF"/>
    <w:rsid w:val="00244A2D"/>
    <w:rsid w:val="00244AE0"/>
    <w:rsid w:val="00247489"/>
    <w:rsid w:val="00250FAB"/>
    <w:rsid w:val="002511A6"/>
    <w:rsid w:val="00251408"/>
    <w:rsid w:val="00251739"/>
    <w:rsid w:val="00251FAE"/>
    <w:rsid w:val="00252241"/>
    <w:rsid w:val="00252494"/>
    <w:rsid w:val="00252B17"/>
    <w:rsid w:val="00253F6D"/>
    <w:rsid w:val="0025496D"/>
    <w:rsid w:val="002556E4"/>
    <w:rsid w:val="00255A4F"/>
    <w:rsid w:val="00256645"/>
    <w:rsid w:val="00256CE6"/>
    <w:rsid w:val="00256E27"/>
    <w:rsid w:val="002579DC"/>
    <w:rsid w:val="00260962"/>
    <w:rsid w:val="0026106B"/>
    <w:rsid w:val="00261631"/>
    <w:rsid w:val="00262385"/>
    <w:rsid w:val="00263A41"/>
    <w:rsid w:val="002647C0"/>
    <w:rsid w:val="00265586"/>
    <w:rsid w:val="00265D8C"/>
    <w:rsid w:val="0026612B"/>
    <w:rsid w:val="0026688D"/>
    <w:rsid w:val="002668C9"/>
    <w:rsid w:val="002670D1"/>
    <w:rsid w:val="002677B5"/>
    <w:rsid w:val="00267AF5"/>
    <w:rsid w:val="00267DAB"/>
    <w:rsid w:val="0027069B"/>
    <w:rsid w:val="0027090D"/>
    <w:rsid w:val="00270A19"/>
    <w:rsid w:val="00270E76"/>
    <w:rsid w:val="002734F2"/>
    <w:rsid w:val="00273E91"/>
    <w:rsid w:val="00274ABB"/>
    <w:rsid w:val="00274B14"/>
    <w:rsid w:val="00274F9B"/>
    <w:rsid w:val="002757D5"/>
    <w:rsid w:val="002758B3"/>
    <w:rsid w:val="0027749E"/>
    <w:rsid w:val="0027792C"/>
    <w:rsid w:val="00277945"/>
    <w:rsid w:val="00280FB4"/>
    <w:rsid w:val="00281406"/>
    <w:rsid w:val="00283141"/>
    <w:rsid w:val="00283B42"/>
    <w:rsid w:val="002849DB"/>
    <w:rsid w:val="00284BFB"/>
    <w:rsid w:val="00284EBE"/>
    <w:rsid w:val="00284FD4"/>
    <w:rsid w:val="00286F44"/>
    <w:rsid w:val="00287165"/>
    <w:rsid w:val="0028760B"/>
    <w:rsid w:val="00291534"/>
    <w:rsid w:val="00291897"/>
    <w:rsid w:val="00292042"/>
    <w:rsid w:val="00292743"/>
    <w:rsid w:val="00292BE4"/>
    <w:rsid w:val="002931CD"/>
    <w:rsid w:val="00294359"/>
    <w:rsid w:val="00295B16"/>
    <w:rsid w:val="002971E3"/>
    <w:rsid w:val="00297523"/>
    <w:rsid w:val="00297D44"/>
    <w:rsid w:val="002A0767"/>
    <w:rsid w:val="002A0DFE"/>
    <w:rsid w:val="002A1394"/>
    <w:rsid w:val="002A1914"/>
    <w:rsid w:val="002A1A33"/>
    <w:rsid w:val="002A1BBF"/>
    <w:rsid w:val="002A2C2F"/>
    <w:rsid w:val="002A2DBF"/>
    <w:rsid w:val="002A42F9"/>
    <w:rsid w:val="002A7584"/>
    <w:rsid w:val="002A7628"/>
    <w:rsid w:val="002B0C62"/>
    <w:rsid w:val="002B0F4C"/>
    <w:rsid w:val="002B165A"/>
    <w:rsid w:val="002B2508"/>
    <w:rsid w:val="002B270C"/>
    <w:rsid w:val="002B339C"/>
    <w:rsid w:val="002B3F63"/>
    <w:rsid w:val="002B414D"/>
    <w:rsid w:val="002B42AA"/>
    <w:rsid w:val="002B5D12"/>
    <w:rsid w:val="002B77BD"/>
    <w:rsid w:val="002B7DE1"/>
    <w:rsid w:val="002B7E64"/>
    <w:rsid w:val="002C1AD2"/>
    <w:rsid w:val="002C39DB"/>
    <w:rsid w:val="002C54A2"/>
    <w:rsid w:val="002C68AA"/>
    <w:rsid w:val="002C6F49"/>
    <w:rsid w:val="002C7C63"/>
    <w:rsid w:val="002D0124"/>
    <w:rsid w:val="002D0328"/>
    <w:rsid w:val="002D04A2"/>
    <w:rsid w:val="002D065C"/>
    <w:rsid w:val="002D38B0"/>
    <w:rsid w:val="002D4AD0"/>
    <w:rsid w:val="002D6D20"/>
    <w:rsid w:val="002D72F8"/>
    <w:rsid w:val="002D7849"/>
    <w:rsid w:val="002D7985"/>
    <w:rsid w:val="002E04AA"/>
    <w:rsid w:val="002E0687"/>
    <w:rsid w:val="002E4AF7"/>
    <w:rsid w:val="002E5861"/>
    <w:rsid w:val="002E5B17"/>
    <w:rsid w:val="002E5EB9"/>
    <w:rsid w:val="002E742C"/>
    <w:rsid w:val="002E7F97"/>
    <w:rsid w:val="002F074B"/>
    <w:rsid w:val="002F0C82"/>
    <w:rsid w:val="002F1317"/>
    <w:rsid w:val="002F1A12"/>
    <w:rsid w:val="002F1D4E"/>
    <w:rsid w:val="002F3FE5"/>
    <w:rsid w:val="002F44F9"/>
    <w:rsid w:val="002F5AF0"/>
    <w:rsid w:val="002F5DF4"/>
    <w:rsid w:val="002F6019"/>
    <w:rsid w:val="002F66F4"/>
    <w:rsid w:val="002F72AC"/>
    <w:rsid w:val="003003CC"/>
    <w:rsid w:val="00300A41"/>
    <w:rsid w:val="00300C54"/>
    <w:rsid w:val="00300E00"/>
    <w:rsid w:val="003014A0"/>
    <w:rsid w:val="0030173E"/>
    <w:rsid w:val="00301BD3"/>
    <w:rsid w:val="003029DD"/>
    <w:rsid w:val="00302C01"/>
    <w:rsid w:val="003032AC"/>
    <w:rsid w:val="00303316"/>
    <w:rsid w:val="0030382A"/>
    <w:rsid w:val="00303899"/>
    <w:rsid w:val="00303DD5"/>
    <w:rsid w:val="00305517"/>
    <w:rsid w:val="00305B74"/>
    <w:rsid w:val="00305E28"/>
    <w:rsid w:val="00306255"/>
    <w:rsid w:val="003064CA"/>
    <w:rsid w:val="00306869"/>
    <w:rsid w:val="003106F3"/>
    <w:rsid w:val="00310E50"/>
    <w:rsid w:val="0031204A"/>
    <w:rsid w:val="003121D1"/>
    <w:rsid w:val="00312879"/>
    <w:rsid w:val="00312E4C"/>
    <w:rsid w:val="003131FC"/>
    <w:rsid w:val="003133A1"/>
    <w:rsid w:val="00314F21"/>
    <w:rsid w:val="00316788"/>
    <w:rsid w:val="003172C3"/>
    <w:rsid w:val="00321920"/>
    <w:rsid w:val="00321AF7"/>
    <w:rsid w:val="00321E8F"/>
    <w:rsid w:val="00322507"/>
    <w:rsid w:val="003243B1"/>
    <w:rsid w:val="003244B6"/>
    <w:rsid w:val="0032541B"/>
    <w:rsid w:val="003260C8"/>
    <w:rsid w:val="00326913"/>
    <w:rsid w:val="00327753"/>
    <w:rsid w:val="00327A37"/>
    <w:rsid w:val="00331B83"/>
    <w:rsid w:val="00333753"/>
    <w:rsid w:val="00334047"/>
    <w:rsid w:val="00334353"/>
    <w:rsid w:val="00334917"/>
    <w:rsid w:val="003353F4"/>
    <w:rsid w:val="00335C9F"/>
    <w:rsid w:val="003362D1"/>
    <w:rsid w:val="003374F7"/>
    <w:rsid w:val="00337978"/>
    <w:rsid w:val="00337FE0"/>
    <w:rsid w:val="0034024D"/>
    <w:rsid w:val="003419DB"/>
    <w:rsid w:val="003426BB"/>
    <w:rsid w:val="00343356"/>
    <w:rsid w:val="003453B4"/>
    <w:rsid w:val="0034543C"/>
    <w:rsid w:val="00345A96"/>
    <w:rsid w:val="00345CA0"/>
    <w:rsid w:val="00345CB9"/>
    <w:rsid w:val="00346824"/>
    <w:rsid w:val="00346EC0"/>
    <w:rsid w:val="003473B8"/>
    <w:rsid w:val="0034751E"/>
    <w:rsid w:val="00347AA4"/>
    <w:rsid w:val="00347E86"/>
    <w:rsid w:val="00350170"/>
    <w:rsid w:val="0035041A"/>
    <w:rsid w:val="00350B04"/>
    <w:rsid w:val="00350E4F"/>
    <w:rsid w:val="0035185A"/>
    <w:rsid w:val="00353547"/>
    <w:rsid w:val="00353B81"/>
    <w:rsid w:val="00354C94"/>
    <w:rsid w:val="00355CC2"/>
    <w:rsid w:val="003563E8"/>
    <w:rsid w:val="00356C6B"/>
    <w:rsid w:val="00357273"/>
    <w:rsid w:val="00357E25"/>
    <w:rsid w:val="00360E97"/>
    <w:rsid w:val="0036171F"/>
    <w:rsid w:val="00361DB8"/>
    <w:rsid w:val="00362666"/>
    <w:rsid w:val="00363A4F"/>
    <w:rsid w:val="00363EA9"/>
    <w:rsid w:val="003648E9"/>
    <w:rsid w:val="00366337"/>
    <w:rsid w:val="003666CB"/>
    <w:rsid w:val="00372406"/>
    <w:rsid w:val="00372BF1"/>
    <w:rsid w:val="00372F27"/>
    <w:rsid w:val="003743F3"/>
    <w:rsid w:val="003759F6"/>
    <w:rsid w:val="003760F3"/>
    <w:rsid w:val="00376DCF"/>
    <w:rsid w:val="003770ED"/>
    <w:rsid w:val="003774BC"/>
    <w:rsid w:val="00377841"/>
    <w:rsid w:val="003779CB"/>
    <w:rsid w:val="00380F8C"/>
    <w:rsid w:val="003810AC"/>
    <w:rsid w:val="003821A7"/>
    <w:rsid w:val="00384C2A"/>
    <w:rsid w:val="003853E0"/>
    <w:rsid w:val="00387311"/>
    <w:rsid w:val="003875E9"/>
    <w:rsid w:val="0038783E"/>
    <w:rsid w:val="003879B9"/>
    <w:rsid w:val="00387AFE"/>
    <w:rsid w:val="00387BD7"/>
    <w:rsid w:val="00390341"/>
    <w:rsid w:val="003905DE"/>
    <w:rsid w:val="00390A3F"/>
    <w:rsid w:val="0039111E"/>
    <w:rsid w:val="003917A9"/>
    <w:rsid w:val="00391BB1"/>
    <w:rsid w:val="00392DCE"/>
    <w:rsid w:val="00393562"/>
    <w:rsid w:val="00394B3B"/>
    <w:rsid w:val="00394CAB"/>
    <w:rsid w:val="00395AE1"/>
    <w:rsid w:val="00395F4B"/>
    <w:rsid w:val="00397C1F"/>
    <w:rsid w:val="003A0BA2"/>
    <w:rsid w:val="003A150B"/>
    <w:rsid w:val="003A17FF"/>
    <w:rsid w:val="003A1E20"/>
    <w:rsid w:val="003A2F11"/>
    <w:rsid w:val="003A4399"/>
    <w:rsid w:val="003A5485"/>
    <w:rsid w:val="003A5AED"/>
    <w:rsid w:val="003A616E"/>
    <w:rsid w:val="003A64C6"/>
    <w:rsid w:val="003A66EA"/>
    <w:rsid w:val="003A6E10"/>
    <w:rsid w:val="003A742F"/>
    <w:rsid w:val="003B02D3"/>
    <w:rsid w:val="003B040C"/>
    <w:rsid w:val="003B0780"/>
    <w:rsid w:val="003B08E3"/>
    <w:rsid w:val="003B0C0B"/>
    <w:rsid w:val="003B120D"/>
    <w:rsid w:val="003B14AA"/>
    <w:rsid w:val="003B1942"/>
    <w:rsid w:val="003B1FE8"/>
    <w:rsid w:val="003B22BE"/>
    <w:rsid w:val="003B238D"/>
    <w:rsid w:val="003B2AA5"/>
    <w:rsid w:val="003B4066"/>
    <w:rsid w:val="003B58BF"/>
    <w:rsid w:val="003B5AD7"/>
    <w:rsid w:val="003B683C"/>
    <w:rsid w:val="003C114D"/>
    <w:rsid w:val="003C2432"/>
    <w:rsid w:val="003C2920"/>
    <w:rsid w:val="003C2E9E"/>
    <w:rsid w:val="003C3192"/>
    <w:rsid w:val="003C322B"/>
    <w:rsid w:val="003C3F2B"/>
    <w:rsid w:val="003C6EB9"/>
    <w:rsid w:val="003C6EDB"/>
    <w:rsid w:val="003C7660"/>
    <w:rsid w:val="003C7B21"/>
    <w:rsid w:val="003C7CD4"/>
    <w:rsid w:val="003C7FBF"/>
    <w:rsid w:val="003C7FDA"/>
    <w:rsid w:val="003D0AD5"/>
    <w:rsid w:val="003D0EAD"/>
    <w:rsid w:val="003D1123"/>
    <w:rsid w:val="003D13F1"/>
    <w:rsid w:val="003D1869"/>
    <w:rsid w:val="003D3A36"/>
    <w:rsid w:val="003D3F7C"/>
    <w:rsid w:val="003D4397"/>
    <w:rsid w:val="003D450B"/>
    <w:rsid w:val="003D64EA"/>
    <w:rsid w:val="003D6B3F"/>
    <w:rsid w:val="003E017F"/>
    <w:rsid w:val="003E16D0"/>
    <w:rsid w:val="003E1DC0"/>
    <w:rsid w:val="003E5044"/>
    <w:rsid w:val="003E6B84"/>
    <w:rsid w:val="003E71A8"/>
    <w:rsid w:val="003E7318"/>
    <w:rsid w:val="003E7DBA"/>
    <w:rsid w:val="003F000F"/>
    <w:rsid w:val="003F3FA2"/>
    <w:rsid w:val="003F6129"/>
    <w:rsid w:val="003F61F6"/>
    <w:rsid w:val="003F6F9B"/>
    <w:rsid w:val="003F73B5"/>
    <w:rsid w:val="003F798B"/>
    <w:rsid w:val="00400668"/>
    <w:rsid w:val="0040097E"/>
    <w:rsid w:val="00400ECB"/>
    <w:rsid w:val="004037DD"/>
    <w:rsid w:val="00403C52"/>
    <w:rsid w:val="00403ED6"/>
    <w:rsid w:val="004048F1"/>
    <w:rsid w:val="00404B5A"/>
    <w:rsid w:val="00407789"/>
    <w:rsid w:val="004100B3"/>
    <w:rsid w:val="004101B9"/>
    <w:rsid w:val="00410953"/>
    <w:rsid w:val="00410FBA"/>
    <w:rsid w:val="00411027"/>
    <w:rsid w:val="00411146"/>
    <w:rsid w:val="0041172D"/>
    <w:rsid w:val="00411FF7"/>
    <w:rsid w:val="0041276F"/>
    <w:rsid w:val="004129E8"/>
    <w:rsid w:val="00412D65"/>
    <w:rsid w:val="00413B72"/>
    <w:rsid w:val="00414985"/>
    <w:rsid w:val="00414F33"/>
    <w:rsid w:val="004156EC"/>
    <w:rsid w:val="0041608D"/>
    <w:rsid w:val="00416768"/>
    <w:rsid w:val="004167F5"/>
    <w:rsid w:val="00416BA7"/>
    <w:rsid w:val="004205D0"/>
    <w:rsid w:val="004205D7"/>
    <w:rsid w:val="00420870"/>
    <w:rsid w:val="00420E24"/>
    <w:rsid w:val="00422191"/>
    <w:rsid w:val="004229F3"/>
    <w:rsid w:val="00424A0D"/>
    <w:rsid w:val="00425616"/>
    <w:rsid w:val="00426A73"/>
    <w:rsid w:val="00426DA1"/>
    <w:rsid w:val="00430953"/>
    <w:rsid w:val="00430C66"/>
    <w:rsid w:val="00430D61"/>
    <w:rsid w:val="004311F2"/>
    <w:rsid w:val="00432436"/>
    <w:rsid w:val="00434F84"/>
    <w:rsid w:val="00436C36"/>
    <w:rsid w:val="00437442"/>
    <w:rsid w:val="00437FB8"/>
    <w:rsid w:val="0044034A"/>
    <w:rsid w:val="004422FB"/>
    <w:rsid w:val="00442CE6"/>
    <w:rsid w:val="00444231"/>
    <w:rsid w:val="00445FCA"/>
    <w:rsid w:val="00446310"/>
    <w:rsid w:val="00447646"/>
    <w:rsid w:val="004517B1"/>
    <w:rsid w:val="00452F16"/>
    <w:rsid w:val="00453288"/>
    <w:rsid w:val="0045366A"/>
    <w:rsid w:val="004538F4"/>
    <w:rsid w:val="0045435D"/>
    <w:rsid w:val="00455DEB"/>
    <w:rsid w:val="0045600D"/>
    <w:rsid w:val="004562C3"/>
    <w:rsid w:val="00456733"/>
    <w:rsid w:val="00457533"/>
    <w:rsid w:val="00460830"/>
    <w:rsid w:val="00461DBC"/>
    <w:rsid w:val="00462343"/>
    <w:rsid w:val="00462431"/>
    <w:rsid w:val="00462653"/>
    <w:rsid w:val="00462F64"/>
    <w:rsid w:val="00463008"/>
    <w:rsid w:val="004631DE"/>
    <w:rsid w:val="00463DAB"/>
    <w:rsid w:val="00463E96"/>
    <w:rsid w:val="004647D6"/>
    <w:rsid w:val="00465323"/>
    <w:rsid w:val="00465A10"/>
    <w:rsid w:val="00470AD3"/>
    <w:rsid w:val="004716F1"/>
    <w:rsid w:val="0047229D"/>
    <w:rsid w:val="00473464"/>
    <w:rsid w:val="00473804"/>
    <w:rsid w:val="00473921"/>
    <w:rsid w:val="004743E0"/>
    <w:rsid w:val="00474FEC"/>
    <w:rsid w:val="00475BA0"/>
    <w:rsid w:val="00476131"/>
    <w:rsid w:val="004769E0"/>
    <w:rsid w:val="00477A7E"/>
    <w:rsid w:val="004803EB"/>
    <w:rsid w:val="0048053F"/>
    <w:rsid w:val="00480796"/>
    <w:rsid w:val="0048144C"/>
    <w:rsid w:val="0048162C"/>
    <w:rsid w:val="00481A98"/>
    <w:rsid w:val="00482555"/>
    <w:rsid w:val="004827BE"/>
    <w:rsid w:val="00483121"/>
    <w:rsid w:val="00485769"/>
    <w:rsid w:val="0048588B"/>
    <w:rsid w:val="00485ABE"/>
    <w:rsid w:val="004875FB"/>
    <w:rsid w:val="00487C6D"/>
    <w:rsid w:val="00487CEC"/>
    <w:rsid w:val="00487E42"/>
    <w:rsid w:val="00490A75"/>
    <w:rsid w:val="00490F34"/>
    <w:rsid w:val="004928A9"/>
    <w:rsid w:val="00497323"/>
    <w:rsid w:val="00497703"/>
    <w:rsid w:val="00497D47"/>
    <w:rsid w:val="004A00A7"/>
    <w:rsid w:val="004A035B"/>
    <w:rsid w:val="004A27F8"/>
    <w:rsid w:val="004A2F93"/>
    <w:rsid w:val="004A48AB"/>
    <w:rsid w:val="004A48D3"/>
    <w:rsid w:val="004A5228"/>
    <w:rsid w:val="004A5371"/>
    <w:rsid w:val="004A5874"/>
    <w:rsid w:val="004A6AAA"/>
    <w:rsid w:val="004A6C92"/>
    <w:rsid w:val="004A6DA7"/>
    <w:rsid w:val="004A7D47"/>
    <w:rsid w:val="004B090B"/>
    <w:rsid w:val="004B0EB1"/>
    <w:rsid w:val="004B1142"/>
    <w:rsid w:val="004B131D"/>
    <w:rsid w:val="004B324E"/>
    <w:rsid w:val="004B38BE"/>
    <w:rsid w:val="004B3D2E"/>
    <w:rsid w:val="004B400A"/>
    <w:rsid w:val="004C0010"/>
    <w:rsid w:val="004C20A9"/>
    <w:rsid w:val="004C2655"/>
    <w:rsid w:val="004C2AE4"/>
    <w:rsid w:val="004C3677"/>
    <w:rsid w:val="004C3785"/>
    <w:rsid w:val="004C4645"/>
    <w:rsid w:val="004C4785"/>
    <w:rsid w:val="004C47BB"/>
    <w:rsid w:val="004C6698"/>
    <w:rsid w:val="004C7203"/>
    <w:rsid w:val="004C7617"/>
    <w:rsid w:val="004C7E92"/>
    <w:rsid w:val="004D115A"/>
    <w:rsid w:val="004D1EEF"/>
    <w:rsid w:val="004D2A1B"/>
    <w:rsid w:val="004D2E3B"/>
    <w:rsid w:val="004D344D"/>
    <w:rsid w:val="004D37EF"/>
    <w:rsid w:val="004D5058"/>
    <w:rsid w:val="004E0BC4"/>
    <w:rsid w:val="004E0F7B"/>
    <w:rsid w:val="004E10DA"/>
    <w:rsid w:val="004E4A09"/>
    <w:rsid w:val="004E5E28"/>
    <w:rsid w:val="004E5E8E"/>
    <w:rsid w:val="004E608F"/>
    <w:rsid w:val="004E6C5B"/>
    <w:rsid w:val="004F0EF9"/>
    <w:rsid w:val="004F1C00"/>
    <w:rsid w:val="004F2170"/>
    <w:rsid w:val="004F3E9B"/>
    <w:rsid w:val="004F4910"/>
    <w:rsid w:val="004F6184"/>
    <w:rsid w:val="004F6824"/>
    <w:rsid w:val="004F6BDC"/>
    <w:rsid w:val="004F7318"/>
    <w:rsid w:val="004F7FD4"/>
    <w:rsid w:val="0050058F"/>
    <w:rsid w:val="00500A10"/>
    <w:rsid w:val="00500A65"/>
    <w:rsid w:val="0050105D"/>
    <w:rsid w:val="00501B63"/>
    <w:rsid w:val="00501BA5"/>
    <w:rsid w:val="00501DC2"/>
    <w:rsid w:val="00502964"/>
    <w:rsid w:val="00502B90"/>
    <w:rsid w:val="005030E1"/>
    <w:rsid w:val="005033E7"/>
    <w:rsid w:val="00503483"/>
    <w:rsid w:val="00504BBF"/>
    <w:rsid w:val="00505FFD"/>
    <w:rsid w:val="00506077"/>
    <w:rsid w:val="00506FD6"/>
    <w:rsid w:val="00507E2B"/>
    <w:rsid w:val="00510E48"/>
    <w:rsid w:val="0051107B"/>
    <w:rsid w:val="0051129B"/>
    <w:rsid w:val="005114D4"/>
    <w:rsid w:val="005118AC"/>
    <w:rsid w:val="00511D43"/>
    <w:rsid w:val="00512CEE"/>
    <w:rsid w:val="00513338"/>
    <w:rsid w:val="00513CFB"/>
    <w:rsid w:val="00515208"/>
    <w:rsid w:val="00515791"/>
    <w:rsid w:val="00515D55"/>
    <w:rsid w:val="00517BB2"/>
    <w:rsid w:val="00520193"/>
    <w:rsid w:val="00521747"/>
    <w:rsid w:val="00522CDA"/>
    <w:rsid w:val="0052345B"/>
    <w:rsid w:val="00523791"/>
    <w:rsid w:val="00524C03"/>
    <w:rsid w:val="005259B0"/>
    <w:rsid w:val="00526063"/>
    <w:rsid w:val="00526717"/>
    <w:rsid w:val="00526D10"/>
    <w:rsid w:val="005275EE"/>
    <w:rsid w:val="00531FE5"/>
    <w:rsid w:val="00532202"/>
    <w:rsid w:val="005330B9"/>
    <w:rsid w:val="0053345F"/>
    <w:rsid w:val="00533505"/>
    <w:rsid w:val="0053351B"/>
    <w:rsid w:val="005336EE"/>
    <w:rsid w:val="00533A70"/>
    <w:rsid w:val="00534013"/>
    <w:rsid w:val="00536CAD"/>
    <w:rsid w:val="00536D51"/>
    <w:rsid w:val="005374F9"/>
    <w:rsid w:val="00537F2C"/>
    <w:rsid w:val="005405A5"/>
    <w:rsid w:val="00541B5D"/>
    <w:rsid w:val="00542E6E"/>
    <w:rsid w:val="0054305F"/>
    <w:rsid w:val="0054361C"/>
    <w:rsid w:val="00543D1A"/>
    <w:rsid w:val="00544CEC"/>
    <w:rsid w:val="00546984"/>
    <w:rsid w:val="005470AE"/>
    <w:rsid w:val="005475C7"/>
    <w:rsid w:val="0055143F"/>
    <w:rsid w:val="00552670"/>
    <w:rsid w:val="005526A8"/>
    <w:rsid w:val="00552BF6"/>
    <w:rsid w:val="005534A8"/>
    <w:rsid w:val="00553A37"/>
    <w:rsid w:val="00553D3A"/>
    <w:rsid w:val="005540D1"/>
    <w:rsid w:val="0055464F"/>
    <w:rsid w:val="005546B6"/>
    <w:rsid w:val="00554849"/>
    <w:rsid w:val="005557D0"/>
    <w:rsid w:val="005567DE"/>
    <w:rsid w:val="005579EC"/>
    <w:rsid w:val="0056008B"/>
    <w:rsid w:val="00561471"/>
    <w:rsid w:val="00562524"/>
    <w:rsid w:val="00563A8C"/>
    <w:rsid w:val="00563EF5"/>
    <w:rsid w:val="0056401D"/>
    <w:rsid w:val="00566830"/>
    <w:rsid w:val="00566934"/>
    <w:rsid w:val="00566AB5"/>
    <w:rsid w:val="0056796D"/>
    <w:rsid w:val="00570EDD"/>
    <w:rsid w:val="0057134E"/>
    <w:rsid w:val="00571B84"/>
    <w:rsid w:val="00571C61"/>
    <w:rsid w:val="00573932"/>
    <w:rsid w:val="00573DCA"/>
    <w:rsid w:val="00574D8D"/>
    <w:rsid w:val="00575073"/>
    <w:rsid w:val="005809FF"/>
    <w:rsid w:val="00581127"/>
    <w:rsid w:val="005831B5"/>
    <w:rsid w:val="005844E5"/>
    <w:rsid w:val="005848D8"/>
    <w:rsid w:val="00584A01"/>
    <w:rsid w:val="00585C1E"/>
    <w:rsid w:val="00586140"/>
    <w:rsid w:val="00586B1F"/>
    <w:rsid w:val="00586EC3"/>
    <w:rsid w:val="00587915"/>
    <w:rsid w:val="005904AD"/>
    <w:rsid w:val="00590F4D"/>
    <w:rsid w:val="005915E8"/>
    <w:rsid w:val="00591636"/>
    <w:rsid w:val="00592AC3"/>
    <w:rsid w:val="00594524"/>
    <w:rsid w:val="005949A9"/>
    <w:rsid w:val="00596A53"/>
    <w:rsid w:val="005972BB"/>
    <w:rsid w:val="00597343"/>
    <w:rsid w:val="00597645"/>
    <w:rsid w:val="00597744"/>
    <w:rsid w:val="005A0A63"/>
    <w:rsid w:val="005A0BAF"/>
    <w:rsid w:val="005A199A"/>
    <w:rsid w:val="005A312A"/>
    <w:rsid w:val="005A4062"/>
    <w:rsid w:val="005A47D3"/>
    <w:rsid w:val="005A4933"/>
    <w:rsid w:val="005A4F68"/>
    <w:rsid w:val="005A60A2"/>
    <w:rsid w:val="005A617D"/>
    <w:rsid w:val="005B1433"/>
    <w:rsid w:val="005B244C"/>
    <w:rsid w:val="005B416C"/>
    <w:rsid w:val="005B527D"/>
    <w:rsid w:val="005B601F"/>
    <w:rsid w:val="005B63E3"/>
    <w:rsid w:val="005B6F89"/>
    <w:rsid w:val="005B6FF5"/>
    <w:rsid w:val="005C06A9"/>
    <w:rsid w:val="005C0895"/>
    <w:rsid w:val="005C0F69"/>
    <w:rsid w:val="005C1F35"/>
    <w:rsid w:val="005C35E1"/>
    <w:rsid w:val="005C3E15"/>
    <w:rsid w:val="005C4D88"/>
    <w:rsid w:val="005C5B46"/>
    <w:rsid w:val="005C6429"/>
    <w:rsid w:val="005C66CE"/>
    <w:rsid w:val="005C686D"/>
    <w:rsid w:val="005C6B51"/>
    <w:rsid w:val="005C7727"/>
    <w:rsid w:val="005C7C19"/>
    <w:rsid w:val="005D26B8"/>
    <w:rsid w:val="005D2B63"/>
    <w:rsid w:val="005D31FB"/>
    <w:rsid w:val="005D3427"/>
    <w:rsid w:val="005D3475"/>
    <w:rsid w:val="005D3E54"/>
    <w:rsid w:val="005D487F"/>
    <w:rsid w:val="005D4BFB"/>
    <w:rsid w:val="005D543B"/>
    <w:rsid w:val="005D5D3A"/>
    <w:rsid w:val="005D61DD"/>
    <w:rsid w:val="005D7A73"/>
    <w:rsid w:val="005E17F2"/>
    <w:rsid w:val="005E194E"/>
    <w:rsid w:val="005E3FEE"/>
    <w:rsid w:val="005E3FFE"/>
    <w:rsid w:val="005E4224"/>
    <w:rsid w:val="005E4C04"/>
    <w:rsid w:val="005E546D"/>
    <w:rsid w:val="005E5B31"/>
    <w:rsid w:val="005E5EB2"/>
    <w:rsid w:val="005E6430"/>
    <w:rsid w:val="005F0027"/>
    <w:rsid w:val="005F2C2C"/>
    <w:rsid w:val="005F3A8F"/>
    <w:rsid w:val="005F5FFF"/>
    <w:rsid w:val="005F6604"/>
    <w:rsid w:val="005F69BD"/>
    <w:rsid w:val="005F75B8"/>
    <w:rsid w:val="005F760B"/>
    <w:rsid w:val="005F77FC"/>
    <w:rsid w:val="00601518"/>
    <w:rsid w:val="00601B99"/>
    <w:rsid w:val="006024DD"/>
    <w:rsid w:val="00603A25"/>
    <w:rsid w:val="00606551"/>
    <w:rsid w:val="00607E5C"/>
    <w:rsid w:val="00607F2C"/>
    <w:rsid w:val="0061047E"/>
    <w:rsid w:val="00610A8B"/>
    <w:rsid w:val="006110D2"/>
    <w:rsid w:val="00611708"/>
    <w:rsid w:val="006124EB"/>
    <w:rsid w:val="00612AE3"/>
    <w:rsid w:val="00613802"/>
    <w:rsid w:val="006147F0"/>
    <w:rsid w:val="006150E6"/>
    <w:rsid w:val="006153F9"/>
    <w:rsid w:val="0061597A"/>
    <w:rsid w:val="00616799"/>
    <w:rsid w:val="0061697D"/>
    <w:rsid w:val="00620238"/>
    <w:rsid w:val="0062160C"/>
    <w:rsid w:val="00621A6E"/>
    <w:rsid w:val="00622046"/>
    <w:rsid w:val="006222DC"/>
    <w:rsid w:val="00623999"/>
    <w:rsid w:val="00624F3B"/>
    <w:rsid w:val="00627016"/>
    <w:rsid w:val="0062766A"/>
    <w:rsid w:val="006305A1"/>
    <w:rsid w:val="00630613"/>
    <w:rsid w:val="00630706"/>
    <w:rsid w:val="00631130"/>
    <w:rsid w:val="0063231C"/>
    <w:rsid w:val="00632667"/>
    <w:rsid w:val="00633316"/>
    <w:rsid w:val="006334E4"/>
    <w:rsid w:val="00633AFE"/>
    <w:rsid w:val="00633E3A"/>
    <w:rsid w:val="00634D38"/>
    <w:rsid w:val="00634D97"/>
    <w:rsid w:val="006359F7"/>
    <w:rsid w:val="00636AFA"/>
    <w:rsid w:val="00637312"/>
    <w:rsid w:val="0063742A"/>
    <w:rsid w:val="00637629"/>
    <w:rsid w:val="0064021D"/>
    <w:rsid w:val="00640A8D"/>
    <w:rsid w:val="006416E8"/>
    <w:rsid w:val="006428D4"/>
    <w:rsid w:val="006431D2"/>
    <w:rsid w:val="00646D52"/>
    <w:rsid w:val="006479C3"/>
    <w:rsid w:val="00647A17"/>
    <w:rsid w:val="00647AA0"/>
    <w:rsid w:val="00647AB3"/>
    <w:rsid w:val="006558FC"/>
    <w:rsid w:val="006559AD"/>
    <w:rsid w:val="006559FB"/>
    <w:rsid w:val="00655AB9"/>
    <w:rsid w:val="00655B26"/>
    <w:rsid w:val="00656903"/>
    <w:rsid w:val="00656CAD"/>
    <w:rsid w:val="00656DE0"/>
    <w:rsid w:val="0065775E"/>
    <w:rsid w:val="00657EB1"/>
    <w:rsid w:val="00660BB0"/>
    <w:rsid w:val="00660F25"/>
    <w:rsid w:val="00661AB9"/>
    <w:rsid w:val="00662383"/>
    <w:rsid w:val="00663161"/>
    <w:rsid w:val="0066361B"/>
    <w:rsid w:val="006642B1"/>
    <w:rsid w:val="00664A3A"/>
    <w:rsid w:val="00665893"/>
    <w:rsid w:val="0066743C"/>
    <w:rsid w:val="0067088C"/>
    <w:rsid w:val="006710C2"/>
    <w:rsid w:val="00671495"/>
    <w:rsid w:val="006723B9"/>
    <w:rsid w:val="00672A8B"/>
    <w:rsid w:val="0067325C"/>
    <w:rsid w:val="00675CCB"/>
    <w:rsid w:val="00676079"/>
    <w:rsid w:val="006766FA"/>
    <w:rsid w:val="00676B79"/>
    <w:rsid w:val="006770F7"/>
    <w:rsid w:val="00677EAE"/>
    <w:rsid w:val="00680F63"/>
    <w:rsid w:val="006812D6"/>
    <w:rsid w:val="00681456"/>
    <w:rsid w:val="0068223A"/>
    <w:rsid w:val="006826F9"/>
    <w:rsid w:val="00683951"/>
    <w:rsid w:val="00683F14"/>
    <w:rsid w:val="0068457E"/>
    <w:rsid w:val="006848A2"/>
    <w:rsid w:val="00685009"/>
    <w:rsid w:val="00685DE1"/>
    <w:rsid w:val="0068644D"/>
    <w:rsid w:val="006869AC"/>
    <w:rsid w:val="00687475"/>
    <w:rsid w:val="00690278"/>
    <w:rsid w:val="0069074A"/>
    <w:rsid w:val="00690E1E"/>
    <w:rsid w:val="006917F9"/>
    <w:rsid w:val="0069248B"/>
    <w:rsid w:val="00692527"/>
    <w:rsid w:val="00692B95"/>
    <w:rsid w:val="006938FA"/>
    <w:rsid w:val="00696BB1"/>
    <w:rsid w:val="00696BEB"/>
    <w:rsid w:val="00696D9A"/>
    <w:rsid w:val="00697210"/>
    <w:rsid w:val="00697F8F"/>
    <w:rsid w:val="006A0C22"/>
    <w:rsid w:val="006A18C2"/>
    <w:rsid w:val="006A1CB8"/>
    <w:rsid w:val="006A2055"/>
    <w:rsid w:val="006A2E80"/>
    <w:rsid w:val="006A40A8"/>
    <w:rsid w:val="006A44D1"/>
    <w:rsid w:val="006A5C85"/>
    <w:rsid w:val="006A5D7E"/>
    <w:rsid w:val="006A658A"/>
    <w:rsid w:val="006A67E5"/>
    <w:rsid w:val="006A7349"/>
    <w:rsid w:val="006B010F"/>
    <w:rsid w:val="006B0B70"/>
    <w:rsid w:val="006B1E32"/>
    <w:rsid w:val="006B3A0D"/>
    <w:rsid w:val="006B3E59"/>
    <w:rsid w:val="006B3E87"/>
    <w:rsid w:val="006B40C6"/>
    <w:rsid w:val="006B52E8"/>
    <w:rsid w:val="006B55C7"/>
    <w:rsid w:val="006B63ED"/>
    <w:rsid w:val="006B689B"/>
    <w:rsid w:val="006B734F"/>
    <w:rsid w:val="006C09AC"/>
    <w:rsid w:val="006C1E7B"/>
    <w:rsid w:val="006C1F3D"/>
    <w:rsid w:val="006C24AA"/>
    <w:rsid w:val="006C40D8"/>
    <w:rsid w:val="006C5841"/>
    <w:rsid w:val="006C5A54"/>
    <w:rsid w:val="006C6495"/>
    <w:rsid w:val="006C65E8"/>
    <w:rsid w:val="006C6A51"/>
    <w:rsid w:val="006C70E4"/>
    <w:rsid w:val="006C7397"/>
    <w:rsid w:val="006C794A"/>
    <w:rsid w:val="006D0743"/>
    <w:rsid w:val="006D0C0E"/>
    <w:rsid w:val="006D0F9C"/>
    <w:rsid w:val="006D2AD0"/>
    <w:rsid w:val="006D2CC2"/>
    <w:rsid w:val="006D3D91"/>
    <w:rsid w:val="006D4499"/>
    <w:rsid w:val="006D4B8E"/>
    <w:rsid w:val="006D4D16"/>
    <w:rsid w:val="006D4FAC"/>
    <w:rsid w:val="006D5942"/>
    <w:rsid w:val="006D5BDA"/>
    <w:rsid w:val="006D5E36"/>
    <w:rsid w:val="006D72F5"/>
    <w:rsid w:val="006D771F"/>
    <w:rsid w:val="006E00F1"/>
    <w:rsid w:val="006E1CB8"/>
    <w:rsid w:val="006E2EB7"/>
    <w:rsid w:val="006E31FC"/>
    <w:rsid w:val="006E37C9"/>
    <w:rsid w:val="006E380B"/>
    <w:rsid w:val="006E3CFD"/>
    <w:rsid w:val="006E3D7E"/>
    <w:rsid w:val="006E3F16"/>
    <w:rsid w:val="006E462C"/>
    <w:rsid w:val="006E560A"/>
    <w:rsid w:val="006E6173"/>
    <w:rsid w:val="006E624E"/>
    <w:rsid w:val="006E65A2"/>
    <w:rsid w:val="006F0B36"/>
    <w:rsid w:val="006F1DF1"/>
    <w:rsid w:val="006F1E2B"/>
    <w:rsid w:val="006F1F95"/>
    <w:rsid w:val="006F2A3F"/>
    <w:rsid w:val="006F2E32"/>
    <w:rsid w:val="006F2FBA"/>
    <w:rsid w:val="006F33EE"/>
    <w:rsid w:val="006F3AB0"/>
    <w:rsid w:val="006F3C78"/>
    <w:rsid w:val="006F4557"/>
    <w:rsid w:val="006F468B"/>
    <w:rsid w:val="006F564B"/>
    <w:rsid w:val="006F612E"/>
    <w:rsid w:val="007001FE"/>
    <w:rsid w:val="007014D6"/>
    <w:rsid w:val="007022F8"/>
    <w:rsid w:val="00702936"/>
    <w:rsid w:val="00702A31"/>
    <w:rsid w:val="00703078"/>
    <w:rsid w:val="007041B4"/>
    <w:rsid w:val="00705A2E"/>
    <w:rsid w:val="0070628D"/>
    <w:rsid w:val="00706429"/>
    <w:rsid w:val="00706BFF"/>
    <w:rsid w:val="00710F3F"/>
    <w:rsid w:val="00711443"/>
    <w:rsid w:val="00711858"/>
    <w:rsid w:val="00711C00"/>
    <w:rsid w:val="00712BB1"/>
    <w:rsid w:val="00713B5D"/>
    <w:rsid w:val="00713C53"/>
    <w:rsid w:val="00714887"/>
    <w:rsid w:val="00714BBA"/>
    <w:rsid w:val="00714E5E"/>
    <w:rsid w:val="00716197"/>
    <w:rsid w:val="00716777"/>
    <w:rsid w:val="007173BF"/>
    <w:rsid w:val="00717A14"/>
    <w:rsid w:val="00717CBE"/>
    <w:rsid w:val="0072146C"/>
    <w:rsid w:val="007215CF"/>
    <w:rsid w:val="00721D94"/>
    <w:rsid w:val="0072353E"/>
    <w:rsid w:val="00723B93"/>
    <w:rsid w:val="00724179"/>
    <w:rsid w:val="00724F6F"/>
    <w:rsid w:val="00724FE1"/>
    <w:rsid w:val="00726262"/>
    <w:rsid w:val="007266C3"/>
    <w:rsid w:val="00726FB5"/>
    <w:rsid w:val="0072708B"/>
    <w:rsid w:val="00727B37"/>
    <w:rsid w:val="00727C9F"/>
    <w:rsid w:val="0073218D"/>
    <w:rsid w:val="00732CA9"/>
    <w:rsid w:val="00732D00"/>
    <w:rsid w:val="007336E9"/>
    <w:rsid w:val="00733D91"/>
    <w:rsid w:val="007342CB"/>
    <w:rsid w:val="00734BA5"/>
    <w:rsid w:val="007350A1"/>
    <w:rsid w:val="007357BE"/>
    <w:rsid w:val="00735856"/>
    <w:rsid w:val="00735BB8"/>
    <w:rsid w:val="00735EA9"/>
    <w:rsid w:val="00736466"/>
    <w:rsid w:val="007367D0"/>
    <w:rsid w:val="0073768A"/>
    <w:rsid w:val="0074020D"/>
    <w:rsid w:val="00741C54"/>
    <w:rsid w:val="00742BD5"/>
    <w:rsid w:val="007438A5"/>
    <w:rsid w:val="007447C5"/>
    <w:rsid w:val="0074527F"/>
    <w:rsid w:val="00745D37"/>
    <w:rsid w:val="007467BF"/>
    <w:rsid w:val="00746D4E"/>
    <w:rsid w:val="0075021A"/>
    <w:rsid w:val="00751545"/>
    <w:rsid w:val="00751701"/>
    <w:rsid w:val="0075185E"/>
    <w:rsid w:val="00751A7C"/>
    <w:rsid w:val="0075226A"/>
    <w:rsid w:val="00752474"/>
    <w:rsid w:val="0075249A"/>
    <w:rsid w:val="00754162"/>
    <w:rsid w:val="00754362"/>
    <w:rsid w:val="007546B0"/>
    <w:rsid w:val="00755057"/>
    <w:rsid w:val="0075524F"/>
    <w:rsid w:val="00755908"/>
    <w:rsid w:val="00755AFB"/>
    <w:rsid w:val="00756389"/>
    <w:rsid w:val="00756DDD"/>
    <w:rsid w:val="0075798E"/>
    <w:rsid w:val="00760A9B"/>
    <w:rsid w:val="00760F7F"/>
    <w:rsid w:val="00761483"/>
    <w:rsid w:val="00762347"/>
    <w:rsid w:val="00762AB5"/>
    <w:rsid w:val="00764315"/>
    <w:rsid w:val="00764E4A"/>
    <w:rsid w:val="0076671B"/>
    <w:rsid w:val="0076692A"/>
    <w:rsid w:val="00767226"/>
    <w:rsid w:val="007672ED"/>
    <w:rsid w:val="00770D3D"/>
    <w:rsid w:val="00771373"/>
    <w:rsid w:val="00771797"/>
    <w:rsid w:val="00771E35"/>
    <w:rsid w:val="00771EC3"/>
    <w:rsid w:val="0077256E"/>
    <w:rsid w:val="00772C8B"/>
    <w:rsid w:val="00773419"/>
    <w:rsid w:val="00773C9C"/>
    <w:rsid w:val="0077431B"/>
    <w:rsid w:val="0077493E"/>
    <w:rsid w:val="00775B8B"/>
    <w:rsid w:val="00775BC7"/>
    <w:rsid w:val="00777118"/>
    <w:rsid w:val="007777AE"/>
    <w:rsid w:val="00777B91"/>
    <w:rsid w:val="007809B6"/>
    <w:rsid w:val="007837DF"/>
    <w:rsid w:val="00783A3D"/>
    <w:rsid w:val="00783B89"/>
    <w:rsid w:val="007859DF"/>
    <w:rsid w:val="00786501"/>
    <w:rsid w:val="00787B80"/>
    <w:rsid w:val="00790866"/>
    <w:rsid w:val="00791A62"/>
    <w:rsid w:val="00791CF0"/>
    <w:rsid w:val="007926F7"/>
    <w:rsid w:val="0079563E"/>
    <w:rsid w:val="00795DCE"/>
    <w:rsid w:val="0079608E"/>
    <w:rsid w:val="00796142"/>
    <w:rsid w:val="00796F3E"/>
    <w:rsid w:val="007A00BD"/>
    <w:rsid w:val="007A010E"/>
    <w:rsid w:val="007A13C8"/>
    <w:rsid w:val="007A1835"/>
    <w:rsid w:val="007A1B54"/>
    <w:rsid w:val="007A29BB"/>
    <w:rsid w:val="007A2D0F"/>
    <w:rsid w:val="007A39E4"/>
    <w:rsid w:val="007A639C"/>
    <w:rsid w:val="007A7F24"/>
    <w:rsid w:val="007B084B"/>
    <w:rsid w:val="007B0909"/>
    <w:rsid w:val="007B15C8"/>
    <w:rsid w:val="007B20D7"/>
    <w:rsid w:val="007B2688"/>
    <w:rsid w:val="007B29DB"/>
    <w:rsid w:val="007B2B93"/>
    <w:rsid w:val="007B3B52"/>
    <w:rsid w:val="007B40EE"/>
    <w:rsid w:val="007B41FB"/>
    <w:rsid w:val="007B4246"/>
    <w:rsid w:val="007B5731"/>
    <w:rsid w:val="007B65D8"/>
    <w:rsid w:val="007B6940"/>
    <w:rsid w:val="007B6CB1"/>
    <w:rsid w:val="007B75B7"/>
    <w:rsid w:val="007B7AB6"/>
    <w:rsid w:val="007C08CF"/>
    <w:rsid w:val="007C12EE"/>
    <w:rsid w:val="007C2C95"/>
    <w:rsid w:val="007C4102"/>
    <w:rsid w:val="007C449D"/>
    <w:rsid w:val="007C5403"/>
    <w:rsid w:val="007C5578"/>
    <w:rsid w:val="007C6883"/>
    <w:rsid w:val="007C68E6"/>
    <w:rsid w:val="007C73D9"/>
    <w:rsid w:val="007C7646"/>
    <w:rsid w:val="007C7AAC"/>
    <w:rsid w:val="007C7EF0"/>
    <w:rsid w:val="007D1507"/>
    <w:rsid w:val="007D224C"/>
    <w:rsid w:val="007D5773"/>
    <w:rsid w:val="007D57C1"/>
    <w:rsid w:val="007D5A9F"/>
    <w:rsid w:val="007D60CC"/>
    <w:rsid w:val="007D6CEC"/>
    <w:rsid w:val="007D7272"/>
    <w:rsid w:val="007D77F1"/>
    <w:rsid w:val="007D7D9F"/>
    <w:rsid w:val="007E0504"/>
    <w:rsid w:val="007E0DAF"/>
    <w:rsid w:val="007E13F3"/>
    <w:rsid w:val="007E19BE"/>
    <w:rsid w:val="007E238D"/>
    <w:rsid w:val="007E3139"/>
    <w:rsid w:val="007E3C8C"/>
    <w:rsid w:val="007E42E3"/>
    <w:rsid w:val="007E4ED1"/>
    <w:rsid w:val="007E51C5"/>
    <w:rsid w:val="007E60FC"/>
    <w:rsid w:val="007F0498"/>
    <w:rsid w:val="007F209F"/>
    <w:rsid w:val="007F2392"/>
    <w:rsid w:val="007F256A"/>
    <w:rsid w:val="007F2FD0"/>
    <w:rsid w:val="007F311F"/>
    <w:rsid w:val="007F37D9"/>
    <w:rsid w:val="007F3CC9"/>
    <w:rsid w:val="007F3D08"/>
    <w:rsid w:val="007F48E1"/>
    <w:rsid w:val="007F4BC8"/>
    <w:rsid w:val="007F5471"/>
    <w:rsid w:val="00800D8F"/>
    <w:rsid w:val="008010EA"/>
    <w:rsid w:val="00801B09"/>
    <w:rsid w:val="00803163"/>
    <w:rsid w:val="0080394D"/>
    <w:rsid w:val="00803960"/>
    <w:rsid w:val="008039EC"/>
    <w:rsid w:val="00803C88"/>
    <w:rsid w:val="00804373"/>
    <w:rsid w:val="00804AD0"/>
    <w:rsid w:val="008054D9"/>
    <w:rsid w:val="008068DF"/>
    <w:rsid w:val="00807BF2"/>
    <w:rsid w:val="00811651"/>
    <w:rsid w:val="00812189"/>
    <w:rsid w:val="00812E8D"/>
    <w:rsid w:val="00813629"/>
    <w:rsid w:val="0081366C"/>
    <w:rsid w:val="008138E0"/>
    <w:rsid w:val="00813F3F"/>
    <w:rsid w:val="00814482"/>
    <w:rsid w:val="00815C33"/>
    <w:rsid w:val="008162CE"/>
    <w:rsid w:val="008171F4"/>
    <w:rsid w:val="0082012F"/>
    <w:rsid w:val="008213B7"/>
    <w:rsid w:val="0082176E"/>
    <w:rsid w:val="00821D2E"/>
    <w:rsid w:val="0082270B"/>
    <w:rsid w:val="00823D0D"/>
    <w:rsid w:val="0082491A"/>
    <w:rsid w:val="00827824"/>
    <w:rsid w:val="008307FF"/>
    <w:rsid w:val="00830BD2"/>
    <w:rsid w:val="00831371"/>
    <w:rsid w:val="00831420"/>
    <w:rsid w:val="00832066"/>
    <w:rsid w:val="008339BC"/>
    <w:rsid w:val="00834D40"/>
    <w:rsid w:val="008355D3"/>
    <w:rsid w:val="00835838"/>
    <w:rsid w:val="008375E8"/>
    <w:rsid w:val="00840E9C"/>
    <w:rsid w:val="008420EA"/>
    <w:rsid w:val="0084240E"/>
    <w:rsid w:val="00842463"/>
    <w:rsid w:val="008426AF"/>
    <w:rsid w:val="00843B10"/>
    <w:rsid w:val="00845891"/>
    <w:rsid w:val="00845A36"/>
    <w:rsid w:val="00845B6D"/>
    <w:rsid w:val="00846A43"/>
    <w:rsid w:val="0084772E"/>
    <w:rsid w:val="00847A21"/>
    <w:rsid w:val="00847CCE"/>
    <w:rsid w:val="00847F63"/>
    <w:rsid w:val="00850451"/>
    <w:rsid w:val="00850679"/>
    <w:rsid w:val="00850CB5"/>
    <w:rsid w:val="00851ECB"/>
    <w:rsid w:val="008526E3"/>
    <w:rsid w:val="00852DEE"/>
    <w:rsid w:val="00853A1B"/>
    <w:rsid w:val="008543EF"/>
    <w:rsid w:val="00856A97"/>
    <w:rsid w:val="00857AB1"/>
    <w:rsid w:val="00860445"/>
    <w:rsid w:val="00860C7B"/>
    <w:rsid w:val="00861101"/>
    <w:rsid w:val="00861520"/>
    <w:rsid w:val="00861600"/>
    <w:rsid w:val="0086174A"/>
    <w:rsid w:val="00861DC6"/>
    <w:rsid w:val="00862052"/>
    <w:rsid w:val="008629AE"/>
    <w:rsid w:val="008641C5"/>
    <w:rsid w:val="008642B5"/>
    <w:rsid w:val="00864ABA"/>
    <w:rsid w:val="00864B9D"/>
    <w:rsid w:val="008657F5"/>
    <w:rsid w:val="00865E5C"/>
    <w:rsid w:val="008661C2"/>
    <w:rsid w:val="008664F6"/>
    <w:rsid w:val="008668B7"/>
    <w:rsid w:val="008700D9"/>
    <w:rsid w:val="00872884"/>
    <w:rsid w:val="0087300D"/>
    <w:rsid w:val="00873E8D"/>
    <w:rsid w:val="00873F5B"/>
    <w:rsid w:val="008743D4"/>
    <w:rsid w:val="00875325"/>
    <w:rsid w:val="00875761"/>
    <w:rsid w:val="00876217"/>
    <w:rsid w:val="00876AF0"/>
    <w:rsid w:val="00877874"/>
    <w:rsid w:val="00881D31"/>
    <w:rsid w:val="00882AF0"/>
    <w:rsid w:val="00882CE3"/>
    <w:rsid w:val="00883F11"/>
    <w:rsid w:val="00884127"/>
    <w:rsid w:val="00884319"/>
    <w:rsid w:val="00884A44"/>
    <w:rsid w:val="00885C83"/>
    <w:rsid w:val="00887172"/>
    <w:rsid w:val="00887C32"/>
    <w:rsid w:val="008901F8"/>
    <w:rsid w:val="0089313B"/>
    <w:rsid w:val="008938A9"/>
    <w:rsid w:val="00894810"/>
    <w:rsid w:val="0089509A"/>
    <w:rsid w:val="0089511E"/>
    <w:rsid w:val="00895D73"/>
    <w:rsid w:val="00896914"/>
    <w:rsid w:val="00896F47"/>
    <w:rsid w:val="008A0883"/>
    <w:rsid w:val="008A241D"/>
    <w:rsid w:val="008A266E"/>
    <w:rsid w:val="008A2A1A"/>
    <w:rsid w:val="008A365F"/>
    <w:rsid w:val="008A3889"/>
    <w:rsid w:val="008A3A4C"/>
    <w:rsid w:val="008A41F8"/>
    <w:rsid w:val="008A4D7F"/>
    <w:rsid w:val="008A4F4A"/>
    <w:rsid w:val="008A52BB"/>
    <w:rsid w:val="008A53A6"/>
    <w:rsid w:val="008A5F77"/>
    <w:rsid w:val="008A60F8"/>
    <w:rsid w:val="008A615E"/>
    <w:rsid w:val="008A6671"/>
    <w:rsid w:val="008A6E53"/>
    <w:rsid w:val="008A7846"/>
    <w:rsid w:val="008B024A"/>
    <w:rsid w:val="008B0991"/>
    <w:rsid w:val="008B09A6"/>
    <w:rsid w:val="008B0D6E"/>
    <w:rsid w:val="008B1139"/>
    <w:rsid w:val="008B122D"/>
    <w:rsid w:val="008B2D10"/>
    <w:rsid w:val="008B32D2"/>
    <w:rsid w:val="008B38E1"/>
    <w:rsid w:val="008B3FDB"/>
    <w:rsid w:val="008B4C31"/>
    <w:rsid w:val="008B5795"/>
    <w:rsid w:val="008B5C87"/>
    <w:rsid w:val="008B6947"/>
    <w:rsid w:val="008B6B1B"/>
    <w:rsid w:val="008B6F8F"/>
    <w:rsid w:val="008C3486"/>
    <w:rsid w:val="008C41DC"/>
    <w:rsid w:val="008C6524"/>
    <w:rsid w:val="008C6A69"/>
    <w:rsid w:val="008C6B1E"/>
    <w:rsid w:val="008D01A7"/>
    <w:rsid w:val="008D0690"/>
    <w:rsid w:val="008D3812"/>
    <w:rsid w:val="008D387F"/>
    <w:rsid w:val="008D458D"/>
    <w:rsid w:val="008D578A"/>
    <w:rsid w:val="008D632D"/>
    <w:rsid w:val="008D68FF"/>
    <w:rsid w:val="008D6CA2"/>
    <w:rsid w:val="008D6DD4"/>
    <w:rsid w:val="008D6F45"/>
    <w:rsid w:val="008D7167"/>
    <w:rsid w:val="008D7303"/>
    <w:rsid w:val="008E1662"/>
    <w:rsid w:val="008E182C"/>
    <w:rsid w:val="008E2DA2"/>
    <w:rsid w:val="008E4190"/>
    <w:rsid w:val="008E4215"/>
    <w:rsid w:val="008E4CCF"/>
    <w:rsid w:val="008E4EF2"/>
    <w:rsid w:val="008E512C"/>
    <w:rsid w:val="008E6734"/>
    <w:rsid w:val="008E7196"/>
    <w:rsid w:val="008F11FA"/>
    <w:rsid w:val="008F166E"/>
    <w:rsid w:val="008F1762"/>
    <w:rsid w:val="008F1EF4"/>
    <w:rsid w:val="008F29A0"/>
    <w:rsid w:val="008F697A"/>
    <w:rsid w:val="009009B3"/>
    <w:rsid w:val="00900E4D"/>
    <w:rsid w:val="00901EF9"/>
    <w:rsid w:val="00901F94"/>
    <w:rsid w:val="00902A95"/>
    <w:rsid w:val="00902C0D"/>
    <w:rsid w:val="009041D9"/>
    <w:rsid w:val="009044E3"/>
    <w:rsid w:val="009057E5"/>
    <w:rsid w:val="009062B1"/>
    <w:rsid w:val="0090642E"/>
    <w:rsid w:val="00906B40"/>
    <w:rsid w:val="009074B6"/>
    <w:rsid w:val="00910112"/>
    <w:rsid w:val="009109F0"/>
    <w:rsid w:val="00910C2F"/>
    <w:rsid w:val="00912AFB"/>
    <w:rsid w:val="00913574"/>
    <w:rsid w:val="00914127"/>
    <w:rsid w:val="009144ED"/>
    <w:rsid w:val="00914EBE"/>
    <w:rsid w:val="00915A08"/>
    <w:rsid w:val="00915BDA"/>
    <w:rsid w:val="00915CB0"/>
    <w:rsid w:val="00915FCA"/>
    <w:rsid w:val="00916A00"/>
    <w:rsid w:val="00916DD5"/>
    <w:rsid w:val="00917330"/>
    <w:rsid w:val="00920273"/>
    <w:rsid w:val="009209BE"/>
    <w:rsid w:val="00921015"/>
    <w:rsid w:val="0092149A"/>
    <w:rsid w:val="009217DF"/>
    <w:rsid w:val="0092359C"/>
    <w:rsid w:val="00924B01"/>
    <w:rsid w:val="00926859"/>
    <w:rsid w:val="009275FB"/>
    <w:rsid w:val="00930506"/>
    <w:rsid w:val="009309F8"/>
    <w:rsid w:val="009328BE"/>
    <w:rsid w:val="00933A83"/>
    <w:rsid w:val="0093540A"/>
    <w:rsid w:val="009360FA"/>
    <w:rsid w:val="009361E7"/>
    <w:rsid w:val="00936A7B"/>
    <w:rsid w:val="009370D2"/>
    <w:rsid w:val="009373FB"/>
    <w:rsid w:val="0094060D"/>
    <w:rsid w:val="00942B72"/>
    <w:rsid w:val="00942CFA"/>
    <w:rsid w:val="00942E79"/>
    <w:rsid w:val="00943076"/>
    <w:rsid w:val="00943AAD"/>
    <w:rsid w:val="00945120"/>
    <w:rsid w:val="00945142"/>
    <w:rsid w:val="009456BE"/>
    <w:rsid w:val="00946660"/>
    <w:rsid w:val="0094768A"/>
    <w:rsid w:val="009510D7"/>
    <w:rsid w:val="009512F0"/>
    <w:rsid w:val="00951301"/>
    <w:rsid w:val="009524EA"/>
    <w:rsid w:val="00952BED"/>
    <w:rsid w:val="00954769"/>
    <w:rsid w:val="00954AB3"/>
    <w:rsid w:val="00955F44"/>
    <w:rsid w:val="009574AA"/>
    <w:rsid w:val="009575C5"/>
    <w:rsid w:val="00960009"/>
    <w:rsid w:val="00960AD3"/>
    <w:rsid w:val="00960FCD"/>
    <w:rsid w:val="0096137E"/>
    <w:rsid w:val="009613A0"/>
    <w:rsid w:val="00961F92"/>
    <w:rsid w:val="00962608"/>
    <w:rsid w:val="0096366F"/>
    <w:rsid w:val="00963C7A"/>
    <w:rsid w:val="00963DA6"/>
    <w:rsid w:val="00965A8D"/>
    <w:rsid w:val="00966966"/>
    <w:rsid w:val="00967670"/>
    <w:rsid w:val="009677C6"/>
    <w:rsid w:val="00971110"/>
    <w:rsid w:val="009714A1"/>
    <w:rsid w:val="009719EE"/>
    <w:rsid w:val="00971BA5"/>
    <w:rsid w:val="00973F8D"/>
    <w:rsid w:val="00974CE1"/>
    <w:rsid w:val="00975CD9"/>
    <w:rsid w:val="00977611"/>
    <w:rsid w:val="00977BC4"/>
    <w:rsid w:val="00980780"/>
    <w:rsid w:val="00980875"/>
    <w:rsid w:val="00980CBE"/>
    <w:rsid w:val="0098135A"/>
    <w:rsid w:val="00981D88"/>
    <w:rsid w:val="00982C97"/>
    <w:rsid w:val="0098380F"/>
    <w:rsid w:val="00983A2F"/>
    <w:rsid w:val="00983D1E"/>
    <w:rsid w:val="00983D72"/>
    <w:rsid w:val="00984175"/>
    <w:rsid w:val="009847B1"/>
    <w:rsid w:val="00984EF2"/>
    <w:rsid w:val="009852CA"/>
    <w:rsid w:val="00986057"/>
    <w:rsid w:val="00986ECA"/>
    <w:rsid w:val="0098769B"/>
    <w:rsid w:val="00991A29"/>
    <w:rsid w:val="00992849"/>
    <w:rsid w:val="00992B6D"/>
    <w:rsid w:val="00992D03"/>
    <w:rsid w:val="00994540"/>
    <w:rsid w:val="009951AA"/>
    <w:rsid w:val="00995668"/>
    <w:rsid w:val="00995EA7"/>
    <w:rsid w:val="00996BC9"/>
    <w:rsid w:val="0099760A"/>
    <w:rsid w:val="009A02BB"/>
    <w:rsid w:val="009A1667"/>
    <w:rsid w:val="009A1AED"/>
    <w:rsid w:val="009A34BF"/>
    <w:rsid w:val="009A394E"/>
    <w:rsid w:val="009A43C8"/>
    <w:rsid w:val="009A555B"/>
    <w:rsid w:val="009A5FA5"/>
    <w:rsid w:val="009A5FFB"/>
    <w:rsid w:val="009A610D"/>
    <w:rsid w:val="009A6B13"/>
    <w:rsid w:val="009A73D6"/>
    <w:rsid w:val="009B1596"/>
    <w:rsid w:val="009B1C08"/>
    <w:rsid w:val="009B1CC0"/>
    <w:rsid w:val="009B2417"/>
    <w:rsid w:val="009B29A4"/>
    <w:rsid w:val="009B29A7"/>
    <w:rsid w:val="009B2CF0"/>
    <w:rsid w:val="009B35FF"/>
    <w:rsid w:val="009B47D7"/>
    <w:rsid w:val="009B498A"/>
    <w:rsid w:val="009B561F"/>
    <w:rsid w:val="009B58A9"/>
    <w:rsid w:val="009B6245"/>
    <w:rsid w:val="009B6D93"/>
    <w:rsid w:val="009C1138"/>
    <w:rsid w:val="009C19E5"/>
    <w:rsid w:val="009C1A48"/>
    <w:rsid w:val="009C1E96"/>
    <w:rsid w:val="009C22F8"/>
    <w:rsid w:val="009C2E27"/>
    <w:rsid w:val="009C368B"/>
    <w:rsid w:val="009C3E77"/>
    <w:rsid w:val="009C5649"/>
    <w:rsid w:val="009C713B"/>
    <w:rsid w:val="009C7AEE"/>
    <w:rsid w:val="009D019D"/>
    <w:rsid w:val="009D2614"/>
    <w:rsid w:val="009D27E5"/>
    <w:rsid w:val="009D3DB9"/>
    <w:rsid w:val="009D4C99"/>
    <w:rsid w:val="009D5DA4"/>
    <w:rsid w:val="009D6321"/>
    <w:rsid w:val="009D6825"/>
    <w:rsid w:val="009D751C"/>
    <w:rsid w:val="009D7626"/>
    <w:rsid w:val="009D795C"/>
    <w:rsid w:val="009E0753"/>
    <w:rsid w:val="009E0E64"/>
    <w:rsid w:val="009E13C1"/>
    <w:rsid w:val="009E235A"/>
    <w:rsid w:val="009E236B"/>
    <w:rsid w:val="009E297F"/>
    <w:rsid w:val="009E31E6"/>
    <w:rsid w:val="009E3A12"/>
    <w:rsid w:val="009E3A3A"/>
    <w:rsid w:val="009E3F50"/>
    <w:rsid w:val="009E43E3"/>
    <w:rsid w:val="009E6A49"/>
    <w:rsid w:val="009E743E"/>
    <w:rsid w:val="009F1392"/>
    <w:rsid w:val="009F1589"/>
    <w:rsid w:val="009F167B"/>
    <w:rsid w:val="009F1B27"/>
    <w:rsid w:val="009F1BEC"/>
    <w:rsid w:val="009F23F2"/>
    <w:rsid w:val="009F342C"/>
    <w:rsid w:val="009F3BE8"/>
    <w:rsid w:val="009F423D"/>
    <w:rsid w:val="009F49B2"/>
    <w:rsid w:val="009F5BC6"/>
    <w:rsid w:val="009F5DCE"/>
    <w:rsid w:val="009F63AA"/>
    <w:rsid w:val="009F71E4"/>
    <w:rsid w:val="009F724D"/>
    <w:rsid w:val="009F7BAD"/>
    <w:rsid w:val="00A009DD"/>
    <w:rsid w:val="00A00A6C"/>
    <w:rsid w:val="00A012CB"/>
    <w:rsid w:val="00A027DC"/>
    <w:rsid w:val="00A0362A"/>
    <w:rsid w:val="00A038C3"/>
    <w:rsid w:val="00A0427E"/>
    <w:rsid w:val="00A043AC"/>
    <w:rsid w:val="00A04D18"/>
    <w:rsid w:val="00A04DFA"/>
    <w:rsid w:val="00A05A30"/>
    <w:rsid w:val="00A06D5C"/>
    <w:rsid w:val="00A0799D"/>
    <w:rsid w:val="00A10257"/>
    <w:rsid w:val="00A111C9"/>
    <w:rsid w:val="00A12178"/>
    <w:rsid w:val="00A137CB"/>
    <w:rsid w:val="00A14590"/>
    <w:rsid w:val="00A145BC"/>
    <w:rsid w:val="00A14CEA"/>
    <w:rsid w:val="00A14D51"/>
    <w:rsid w:val="00A154BC"/>
    <w:rsid w:val="00A16F99"/>
    <w:rsid w:val="00A17996"/>
    <w:rsid w:val="00A17ADA"/>
    <w:rsid w:val="00A17B7E"/>
    <w:rsid w:val="00A17D58"/>
    <w:rsid w:val="00A17DEF"/>
    <w:rsid w:val="00A20BDB"/>
    <w:rsid w:val="00A2104F"/>
    <w:rsid w:val="00A211CA"/>
    <w:rsid w:val="00A22315"/>
    <w:rsid w:val="00A22C38"/>
    <w:rsid w:val="00A22F35"/>
    <w:rsid w:val="00A22F99"/>
    <w:rsid w:val="00A24414"/>
    <w:rsid w:val="00A25117"/>
    <w:rsid w:val="00A25465"/>
    <w:rsid w:val="00A25AF6"/>
    <w:rsid w:val="00A26E82"/>
    <w:rsid w:val="00A27331"/>
    <w:rsid w:val="00A27520"/>
    <w:rsid w:val="00A27A5E"/>
    <w:rsid w:val="00A30B39"/>
    <w:rsid w:val="00A316B5"/>
    <w:rsid w:val="00A31DA1"/>
    <w:rsid w:val="00A31F23"/>
    <w:rsid w:val="00A330A5"/>
    <w:rsid w:val="00A3326F"/>
    <w:rsid w:val="00A34513"/>
    <w:rsid w:val="00A34CF3"/>
    <w:rsid w:val="00A358B9"/>
    <w:rsid w:val="00A3628E"/>
    <w:rsid w:val="00A36747"/>
    <w:rsid w:val="00A36870"/>
    <w:rsid w:val="00A36FC4"/>
    <w:rsid w:val="00A3763F"/>
    <w:rsid w:val="00A378E8"/>
    <w:rsid w:val="00A37E0E"/>
    <w:rsid w:val="00A40457"/>
    <w:rsid w:val="00A40ED8"/>
    <w:rsid w:val="00A41D3B"/>
    <w:rsid w:val="00A4243E"/>
    <w:rsid w:val="00A42BB8"/>
    <w:rsid w:val="00A4339A"/>
    <w:rsid w:val="00A43AA4"/>
    <w:rsid w:val="00A45331"/>
    <w:rsid w:val="00A45447"/>
    <w:rsid w:val="00A45A21"/>
    <w:rsid w:val="00A470C7"/>
    <w:rsid w:val="00A517CD"/>
    <w:rsid w:val="00A52158"/>
    <w:rsid w:val="00A533FF"/>
    <w:rsid w:val="00A535D0"/>
    <w:rsid w:val="00A53BB9"/>
    <w:rsid w:val="00A555E5"/>
    <w:rsid w:val="00A5659A"/>
    <w:rsid w:val="00A569EE"/>
    <w:rsid w:val="00A56C24"/>
    <w:rsid w:val="00A57760"/>
    <w:rsid w:val="00A60510"/>
    <w:rsid w:val="00A605C4"/>
    <w:rsid w:val="00A62229"/>
    <w:rsid w:val="00A63946"/>
    <w:rsid w:val="00A63A72"/>
    <w:rsid w:val="00A63DA8"/>
    <w:rsid w:val="00A63F9D"/>
    <w:rsid w:val="00A65864"/>
    <w:rsid w:val="00A658E6"/>
    <w:rsid w:val="00A66613"/>
    <w:rsid w:val="00A668BA"/>
    <w:rsid w:val="00A66F24"/>
    <w:rsid w:val="00A72821"/>
    <w:rsid w:val="00A72CAD"/>
    <w:rsid w:val="00A7326E"/>
    <w:rsid w:val="00A73F8A"/>
    <w:rsid w:val="00A74BF2"/>
    <w:rsid w:val="00A75729"/>
    <w:rsid w:val="00A75DA4"/>
    <w:rsid w:val="00A766DC"/>
    <w:rsid w:val="00A76C5A"/>
    <w:rsid w:val="00A77182"/>
    <w:rsid w:val="00A77542"/>
    <w:rsid w:val="00A77F85"/>
    <w:rsid w:val="00A81FF7"/>
    <w:rsid w:val="00A82291"/>
    <w:rsid w:val="00A83F5E"/>
    <w:rsid w:val="00A84303"/>
    <w:rsid w:val="00A84F1A"/>
    <w:rsid w:val="00A859C0"/>
    <w:rsid w:val="00A90656"/>
    <w:rsid w:val="00A909D2"/>
    <w:rsid w:val="00A90BDA"/>
    <w:rsid w:val="00A910C6"/>
    <w:rsid w:val="00A916DD"/>
    <w:rsid w:val="00A917D9"/>
    <w:rsid w:val="00A917EA"/>
    <w:rsid w:val="00A91E00"/>
    <w:rsid w:val="00A92D18"/>
    <w:rsid w:val="00A93B80"/>
    <w:rsid w:val="00A942DF"/>
    <w:rsid w:val="00A95327"/>
    <w:rsid w:val="00A9569E"/>
    <w:rsid w:val="00A96CFA"/>
    <w:rsid w:val="00A96F74"/>
    <w:rsid w:val="00A97E1E"/>
    <w:rsid w:val="00AA0E9A"/>
    <w:rsid w:val="00AA1077"/>
    <w:rsid w:val="00AA1C1E"/>
    <w:rsid w:val="00AA2D09"/>
    <w:rsid w:val="00AA4752"/>
    <w:rsid w:val="00AA4CBD"/>
    <w:rsid w:val="00AA5FF5"/>
    <w:rsid w:val="00AB084C"/>
    <w:rsid w:val="00AB0DBA"/>
    <w:rsid w:val="00AB0F6C"/>
    <w:rsid w:val="00AB188F"/>
    <w:rsid w:val="00AB20D9"/>
    <w:rsid w:val="00AB4154"/>
    <w:rsid w:val="00AB4857"/>
    <w:rsid w:val="00AB4A99"/>
    <w:rsid w:val="00AB4BAF"/>
    <w:rsid w:val="00AB4E4D"/>
    <w:rsid w:val="00AB61EC"/>
    <w:rsid w:val="00AB62B2"/>
    <w:rsid w:val="00AB653E"/>
    <w:rsid w:val="00AB6B67"/>
    <w:rsid w:val="00AC1D94"/>
    <w:rsid w:val="00AC52A5"/>
    <w:rsid w:val="00AC668A"/>
    <w:rsid w:val="00AC7B20"/>
    <w:rsid w:val="00AC7E38"/>
    <w:rsid w:val="00AD06F3"/>
    <w:rsid w:val="00AD1318"/>
    <w:rsid w:val="00AD283D"/>
    <w:rsid w:val="00AD2CFF"/>
    <w:rsid w:val="00AD3FD9"/>
    <w:rsid w:val="00AD43A0"/>
    <w:rsid w:val="00AD451A"/>
    <w:rsid w:val="00AD4987"/>
    <w:rsid w:val="00AD4B75"/>
    <w:rsid w:val="00AD4B9B"/>
    <w:rsid w:val="00AD6BA1"/>
    <w:rsid w:val="00AD6CCA"/>
    <w:rsid w:val="00AD6CDA"/>
    <w:rsid w:val="00AD7657"/>
    <w:rsid w:val="00AE0713"/>
    <w:rsid w:val="00AE0BD9"/>
    <w:rsid w:val="00AE0F41"/>
    <w:rsid w:val="00AE1DAC"/>
    <w:rsid w:val="00AE2C38"/>
    <w:rsid w:val="00AE2F1F"/>
    <w:rsid w:val="00AE3C47"/>
    <w:rsid w:val="00AE401E"/>
    <w:rsid w:val="00AF03D8"/>
    <w:rsid w:val="00AF0CCF"/>
    <w:rsid w:val="00AF1018"/>
    <w:rsid w:val="00AF1C35"/>
    <w:rsid w:val="00AF1F6E"/>
    <w:rsid w:val="00AF1FAF"/>
    <w:rsid w:val="00AF2359"/>
    <w:rsid w:val="00AF3558"/>
    <w:rsid w:val="00AF36E3"/>
    <w:rsid w:val="00AF4355"/>
    <w:rsid w:val="00AF5200"/>
    <w:rsid w:val="00AF54BD"/>
    <w:rsid w:val="00B02B0E"/>
    <w:rsid w:val="00B03010"/>
    <w:rsid w:val="00B0393C"/>
    <w:rsid w:val="00B03E94"/>
    <w:rsid w:val="00B0448E"/>
    <w:rsid w:val="00B049AE"/>
    <w:rsid w:val="00B04E8F"/>
    <w:rsid w:val="00B056BD"/>
    <w:rsid w:val="00B05D4A"/>
    <w:rsid w:val="00B07517"/>
    <w:rsid w:val="00B0789E"/>
    <w:rsid w:val="00B07EAD"/>
    <w:rsid w:val="00B116D0"/>
    <w:rsid w:val="00B11B9B"/>
    <w:rsid w:val="00B12B02"/>
    <w:rsid w:val="00B12E85"/>
    <w:rsid w:val="00B137C8"/>
    <w:rsid w:val="00B13999"/>
    <w:rsid w:val="00B13E34"/>
    <w:rsid w:val="00B1453A"/>
    <w:rsid w:val="00B160C4"/>
    <w:rsid w:val="00B16645"/>
    <w:rsid w:val="00B16B23"/>
    <w:rsid w:val="00B1771D"/>
    <w:rsid w:val="00B20100"/>
    <w:rsid w:val="00B21D9C"/>
    <w:rsid w:val="00B220CC"/>
    <w:rsid w:val="00B2227B"/>
    <w:rsid w:val="00B23BBC"/>
    <w:rsid w:val="00B2404B"/>
    <w:rsid w:val="00B240A7"/>
    <w:rsid w:val="00B24C16"/>
    <w:rsid w:val="00B25237"/>
    <w:rsid w:val="00B26375"/>
    <w:rsid w:val="00B2685F"/>
    <w:rsid w:val="00B27A61"/>
    <w:rsid w:val="00B27F14"/>
    <w:rsid w:val="00B30772"/>
    <w:rsid w:val="00B315C9"/>
    <w:rsid w:val="00B32426"/>
    <w:rsid w:val="00B33437"/>
    <w:rsid w:val="00B3376C"/>
    <w:rsid w:val="00B33DA3"/>
    <w:rsid w:val="00B361D2"/>
    <w:rsid w:val="00B4092A"/>
    <w:rsid w:val="00B413DD"/>
    <w:rsid w:val="00B41AF0"/>
    <w:rsid w:val="00B41D05"/>
    <w:rsid w:val="00B42879"/>
    <w:rsid w:val="00B4298E"/>
    <w:rsid w:val="00B42EE7"/>
    <w:rsid w:val="00B4309B"/>
    <w:rsid w:val="00B43C75"/>
    <w:rsid w:val="00B447E1"/>
    <w:rsid w:val="00B46384"/>
    <w:rsid w:val="00B46AEF"/>
    <w:rsid w:val="00B46CCB"/>
    <w:rsid w:val="00B51DFE"/>
    <w:rsid w:val="00B52D09"/>
    <w:rsid w:val="00B53358"/>
    <w:rsid w:val="00B536A0"/>
    <w:rsid w:val="00B53C17"/>
    <w:rsid w:val="00B540BE"/>
    <w:rsid w:val="00B551E3"/>
    <w:rsid w:val="00B5574E"/>
    <w:rsid w:val="00B560C4"/>
    <w:rsid w:val="00B56844"/>
    <w:rsid w:val="00B56A15"/>
    <w:rsid w:val="00B5731B"/>
    <w:rsid w:val="00B575AA"/>
    <w:rsid w:val="00B57F77"/>
    <w:rsid w:val="00B60591"/>
    <w:rsid w:val="00B62C61"/>
    <w:rsid w:val="00B64A41"/>
    <w:rsid w:val="00B654CF"/>
    <w:rsid w:val="00B657E2"/>
    <w:rsid w:val="00B664F2"/>
    <w:rsid w:val="00B665CE"/>
    <w:rsid w:val="00B67396"/>
    <w:rsid w:val="00B676CC"/>
    <w:rsid w:val="00B67B9B"/>
    <w:rsid w:val="00B71523"/>
    <w:rsid w:val="00B718CB"/>
    <w:rsid w:val="00B74B83"/>
    <w:rsid w:val="00B750D7"/>
    <w:rsid w:val="00B755C5"/>
    <w:rsid w:val="00B77D03"/>
    <w:rsid w:val="00B80B50"/>
    <w:rsid w:val="00B80F94"/>
    <w:rsid w:val="00B814A3"/>
    <w:rsid w:val="00B8153F"/>
    <w:rsid w:val="00B8243A"/>
    <w:rsid w:val="00B831BB"/>
    <w:rsid w:val="00B849A4"/>
    <w:rsid w:val="00B84B59"/>
    <w:rsid w:val="00B86296"/>
    <w:rsid w:val="00B86CCA"/>
    <w:rsid w:val="00B86E6C"/>
    <w:rsid w:val="00B86EA5"/>
    <w:rsid w:val="00B906FA"/>
    <w:rsid w:val="00B90AE4"/>
    <w:rsid w:val="00B90EDC"/>
    <w:rsid w:val="00B91A52"/>
    <w:rsid w:val="00B92CC2"/>
    <w:rsid w:val="00B92ED0"/>
    <w:rsid w:val="00B9342F"/>
    <w:rsid w:val="00B93EE1"/>
    <w:rsid w:val="00B94053"/>
    <w:rsid w:val="00B95650"/>
    <w:rsid w:val="00B9570A"/>
    <w:rsid w:val="00B9611F"/>
    <w:rsid w:val="00B96A3A"/>
    <w:rsid w:val="00BA0535"/>
    <w:rsid w:val="00BA28BE"/>
    <w:rsid w:val="00BA58D3"/>
    <w:rsid w:val="00BA5E9B"/>
    <w:rsid w:val="00BA679D"/>
    <w:rsid w:val="00BA7103"/>
    <w:rsid w:val="00BA7B8D"/>
    <w:rsid w:val="00BA7CA0"/>
    <w:rsid w:val="00BB0531"/>
    <w:rsid w:val="00BB23E5"/>
    <w:rsid w:val="00BB4774"/>
    <w:rsid w:val="00BB4E3B"/>
    <w:rsid w:val="00BB614F"/>
    <w:rsid w:val="00BB6221"/>
    <w:rsid w:val="00BB6AF8"/>
    <w:rsid w:val="00BB6C5D"/>
    <w:rsid w:val="00BC07CB"/>
    <w:rsid w:val="00BC092A"/>
    <w:rsid w:val="00BC09EF"/>
    <w:rsid w:val="00BC114F"/>
    <w:rsid w:val="00BC1DA5"/>
    <w:rsid w:val="00BC1E05"/>
    <w:rsid w:val="00BC24C9"/>
    <w:rsid w:val="00BC492D"/>
    <w:rsid w:val="00BC66F9"/>
    <w:rsid w:val="00BC6BC7"/>
    <w:rsid w:val="00BC7F10"/>
    <w:rsid w:val="00BD10CC"/>
    <w:rsid w:val="00BD17A8"/>
    <w:rsid w:val="00BD2F71"/>
    <w:rsid w:val="00BD3968"/>
    <w:rsid w:val="00BD4475"/>
    <w:rsid w:val="00BD523B"/>
    <w:rsid w:val="00BD604B"/>
    <w:rsid w:val="00BD6581"/>
    <w:rsid w:val="00BD6949"/>
    <w:rsid w:val="00BD6AC7"/>
    <w:rsid w:val="00BD6FF5"/>
    <w:rsid w:val="00BD7404"/>
    <w:rsid w:val="00BE0675"/>
    <w:rsid w:val="00BE0D22"/>
    <w:rsid w:val="00BE1236"/>
    <w:rsid w:val="00BE178B"/>
    <w:rsid w:val="00BE1F02"/>
    <w:rsid w:val="00BE3A75"/>
    <w:rsid w:val="00BE4094"/>
    <w:rsid w:val="00BE4526"/>
    <w:rsid w:val="00BE45F3"/>
    <w:rsid w:val="00BE524B"/>
    <w:rsid w:val="00BE6D6F"/>
    <w:rsid w:val="00BE7F45"/>
    <w:rsid w:val="00BF0896"/>
    <w:rsid w:val="00BF1075"/>
    <w:rsid w:val="00BF18B4"/>
    <w:rsid w:val="00BF19BB"/>
    <w:rsid w:val="00BF1B4A"/>
    <w:rsid w:val="00BF1B60"/>
    <w:rsid w:val="00BF27AB"/>
    <w:rsid w:val="00BF404B"/>
    <w:rsid w:val="00BF49A7"/>
    <w:rsid w:val="00BF5FFA"/>
    <w:rsid w:val="00BF7375"/>
    <w:rsid w:val="00BF7E47"/>
    <w:rsid w:val="00C00440"/>
    <w:rsid w:val="00C0083E"/>
    <w:rsid w:val="00C01D11"/>
    <w:rsid w:val="00C033A8"/>
    <w:rsid w:val="00C03774"/>
    <w:rsid w:val="00C04AEC"/>
    <w:rsid w:val="00C05576"/>
    <w:rsid w:val="00C05872"/>
    <w:rsid w:val="00C0635F"/>
    <w:rsid w:val="00C07F7D"/>
    <w:rsid w:val="00C11FC0"/>
    <w:rsid w:val="00C132E7"/>
    <w:rsid w:val="00C13A98"/>
    <w:rsid w:val="00C14310"/>
    <w:rsid w:val="00C14B06"/>
    <w:rsid w:val="00C14E5E"/>
    <w:rsid w:val="00C15488"/>
    <w:rsid w:val="00C163E7"/>
    <w:rsid w:val="00C16839"/>
    <w:rsid w:val="00C168E4"/>
    <w:rsid w:val="00C176B3"/>
    <w:rsid w:val="00C2041C"/>
    <w:rsid w:val="00C21706"/>
    <w:rsid w:val="00C21981"/>
    <w:rsid w:val="00C21E55"/>
    <w:rsid w:val="00C220E0"/>
    <w:rsid w:val="00C24669"/>
    <w:rsid w:val="00C24F82"/>
    <w:rsid w:val="00C25C0C"/>
    <w:rsid w:val="00C25D7B"/>
    <w:rsid w:val="00C26F33"/>
    <w:rsid w:val="00C2764C"/>
    <w:rsid w:val="00C30314"/>
    <w:rsid w:val="00C30CBE"/>
    <w:rsid w:val="00C312C1"/>
    <w:rsid w:val="00C3140E"/>
    <w:rsid w:val="00C3371A"/>
    <w:rsid w:val="00C3396B"/>
    <w:rsid w:val="00C34D89"/>
    <w:rsid w:val="00C34F14"/>
    <w:rsid w:val="00C35CEE"/>
    <w:rsid w:val="00C36199"/>
    <w:rsid w:val="00C362F2"/>
    <w:rsid w:val="00C36325"/>
    <w:rsid w:val="00C365E0"/>
    <w:rsid w:val="00C37086"/>
    <w:rsid w:val="00C37957"/>
    <w:rsid w:val="00C37EB7"/>
    <w:rsid w:val="00C40059"/>
    <w:rsid w:val="00C401D2"/>
    <w:rsid w:val="00C40814"/>
    <w:rsid w:val="00C40D82"/>
    <w:rsid w:val="00C42C8E"/>
    <w:rsid w:val="00C44202"/>
    <w:rsid w:val="00C44B36"/>
    <w:rsid w:val="00C45330"/>
    <w:rsid w:val="00C45A4C"/>
    <w:rsid w:val="00C462AB"/>
    <w:rsid w:val="00C46A63"/>
    <w:rsid w:val="00C475A7"/>
    <w:rsid w:val="00C50711"/>
    <w:rsid w:val="00C50BDB"/>
    <w:rsid w:val="00C517FD"/>
    <w:rsid w:val="00C5226A"/>
    <w:rsid w:val="00C530E2"/>
    <w:rsid w:val="00C533D4"/>
    <w:rsid w:val="00C54086"/>
    <w:rsid w:val="00C55369"/>
    <w:rsid w:val="00C55751"/>
    <w:rsid w:val="00C55A4D"/>
    <w:rsid w:val="00C570F6"/>
    <w:rsid w:val="00C60465"/>
    <w:rsid w:val="00C60882"/>
    <w:rsid w:val="00C617B0"/>
    <w:rsid w:val="00C61AC7"/>
    <w:rsid w:val="00C62811"/>
    <w:rsid w:val="00C62D4E"/>
    <w:rsid w:val="00C6486B"/>
    <w:rsid w:val="00C66328"/>
    <w:rsid w:val="00C70079"/>
    <w:rsid w:val="00C7052C"/>
    <w:rsid w:val="00C70DA1"/>
    <w:rsid w:val="00C71A8D"/>
    <w:rsid w:val="00C72C32"/>
    <w:rsid w:val="00C74C97"/>
    <w:rsid w:val="00C74FC2"/>
    <w:rsid w:val="00C76F19"/>
    <w:rsid w:val="00C80548"/>
    <w:rsid w:val="00C80E8D"/>
    <w:rsid w:val="00C81786"/>
    <w:rsid w:val="00C81B16"/>
    <w:rsid w:val="00C82DE2"/>
    <w:rsid w:val="00C835E5"/>
    <w:rsid w:val="00C85F63"/>
    <w:rsid w:val="00C86C19"/>
    <w:rsid w:val="00C871ED"/>
    <w:rsid w:val="00C8737C"/>
    <w:rsid w:val="00C875A4"/>
    <w:rsid w:val="00C87A11"/>
    <w:rsid w:val="00C87A83"/>
    <w:rsid w:val="00C87AD5"/>
    <w:rsid w:val="00C91C09"/>
    <w:rsid w:val="00C92110"/>
    <w:rsid w:val="00C921BC"/>
    <w:rsid w:val="00C93114"/>
    <w:rsid w:val="00C9332F"/>
    <w:rsid w:val="00C93D72"/>
    <w:rsid w:val="00C942AF"/>
    <w:rsid w:val="00C942F9"/>
    <w:rsid w:val="00C946F4"/>
    <w:rsid w:val="00C94F03"/>
    <w:rsid w:val="00C94FA5"/>
    <w:rsid w:val="00C95240"/>
    <w:rsid w:val="00C954D4"/>
    <w:rsid w:val="00C9607A"/>
    <w:rsid w:val="00C96617"/>
    <w:rsid w:val="00C96780"/>
    <w:rsid w:val="00C9706A"/>
    <w:rsid w:val="00C974ED"/>
    <w:rsid w:val="00CA0129"/>
    <w:rsid w:val="00CA0393"/>
    <w:rsid w:val="00CA04B2"/>
    <w:rsid w:val="00CA1B04"/>
    <w:rsid w:val="00CA1CCA"/>
    <w:rsid w:val="00CA28F7"/>
    <w:rsid w:val="00CA3087"/>
    <w:rsid w:val="00CA32AF"/>
    <w:rsid w:val="00CA40B6"/>
    <w:rsid w:val="00CA4266"/>
    <w:rsid w:val="00CA4BF7"/>
    <w:rsid w:val="00CA578B"/>
    <w:rsid w:val="00CA6171"/>
    <w:rsid w:val="00CA736A"/>
    <w:rsid w:val="00CA7574"/>
    <w:rsid w:val="00CB11DB"/>
    <w:rsid w:val="00CB199D"/>
    <w:rsid w:val="00CB241E"/>
    <w:rsid w:val="00CB33D6"/>
    <w:rsid w:val="00CB456D"/>
    <w:rsid w:val="00CB5031"/>
    <w:rsid w:val="00CB60A8"/>
    <w:rsid w:val="00CB663D"/>
    <w:rsid w:val="00CB7BED"/>
    <w:rsid w:val="00CC0452"/>
    <w:rsid w:val="00CC0D86"/>
    <w:rsid w:val="00CC1746"/>
    <w:rsid w:val="00CC1BED"/>
    <w:rsid w:val="00CC21FB"/>
    <w:rsid w:val="00CC2D1D"/>
    <w:rsid w:val="00CC334B"/>
    <w:rsid w:val="00CC3D64"/>
    <w:rsid w:val="00CC4899"/>
    <w:rsid w:val="00CC4A1F"/>
    <w:rsid w:val="00CC4AE2"/>
    <w:rsid w:val="00CC4B3F"/>
    <w:rsid w:val="00CC7CE9"/>
    <w:rsid w:val="00CC7EF4"/>
    <w:rsid w:val="00CD0594"/>
    <w:rsid w:val="00CD06CD"/>
    <w:rsid w:val="00CD08E6"/>
    <w:rsid w:val="00CD0AFE"/>
    <w:rsid w:val="00CD0B5E"/>
    <w:rsid w:val="00CD1178"/>
    <w:rsid w:val="00CD11E8"/>
    <w:rsid w:val="00CD1457"/>
    <w:rsid w:val="00CD4BED"/>
    <w:rsid w:val="00CD5A48"/>
    <w:rsid w:val="00CD5E63"/>
    <w:rsid w:val="00CD5F26"/>
    <w:rsid w:val="00CD622A"/>
    <w:rsid w:val="00CD629F"/>
    <w:rsid w:val="00CD6864"/>
    <w:rsid w:val="00CD6F6D"/>
    <w:rsid w:val="00CE3182"/>
    <w:rsid w:val="00CE4E38"/>
    <w:rsid w:val="00CE5182"/>
    <w:rsid w:val="00CE59C2"/>
    <w:rsid w:val="00CE5DD5"/>
    <w:rsid w:val="00CE7C50"/>
    <w:rsid w:val="00CF12F3"/>
    <w:rsid w:val="00CF1C3C"/>
    <w:rsid w:val="00CF1FF8"/>
    <w:rsid w:val="00CF2100"/>
    <w:rsid w:val="00CF246D"/>
    <w:rsid w:val="00CF2E6F"/>
    <w:rsid w:val="00CF389E"/>
    <w:rsid w:val="00CF3A5D"/>
    <w:rsid w:val="00CF46BD"/>
    <w:rsid w:val="00CF5546"/>
    <w:rsid w:val="00CF58EF"/>
    <w:rsid w:val="00CF623A"/>
    <w:rsid w:val="00CF7B15"/>
    <w:rsid w:val="00CF7C2F"/>
    <w:rsid w:val="00CF7C46"/>
    <w:rsid w:val="00D00511"/>
    <w:rsid w:val="00D01688"/>
    <w:rsid w:val="00D01D5C"/>
    <w:rsid w:val="00D0295B"/>
    <w:rsid w:val="00D02C5C"/>
    <w:rsid w:val="00D03F10"/>
    <w:rsid w:val="00D03F39"/>
    <w:rsid w:val="00D03FD3"/>
    <w:rsid w:val="00D04A79"/>
    <w:rsid w:val="00D059D7"/>
    <w:rsid w:val="00D05AAD"/>
    <w:rsid w:val="00D06273"/>
    <w:rsid w:val="00D11BD7"/>
    <w:rsid w:val="00D11C01"/>
    <w:rsid w:val="00D12254"/>
    <w:rsid w:val="00D13E68"/>
    <w:rsid w:val="00D13F23"/>
    <w:rsid w:val="00D14FCB"/>
    <w:rsid w:val="00D1509F"/>
    <w:rsid w:val="00D151AA"/>
    <w:rsid w:val="00D157E3"/>
    <w:rsid w:val="00D15A10"/>
    <w:rsid w:val="00D16356"/>
    <w:rsid w:val="00D16B71"/>
    <w:rsid w:val="00D2058D"/>
    <w:rsid w:val="00D20AED"/>
    <w:rsid w:val="00D218BA"/>
    <w:rsid w:val="00D219FE"/>
    <w:rsid w:val="00D223B9"/>
    <w:rsid w:val="00D227A2"/>
    <w:rsid w:val="00D228D2"/>
    <w:rsid w:val="00D231EE"/>
    <w:rsid w:val="00D235B0"/>
    <w:rsid w:val="00D237F1"/>
    <w:rsid w:val="00D24C6E"/>
    <w:rsid w:val="00D254ED"/>
    <w:rsid w:val="00D25CF6"/>
    <w:rsid w:val="00D264EB"/>
    <w:rsid w:val="00D27955"/>
    <w:rsid w:val="00D27E55"/>
    <w:rsid w:val="00D322D4"/>
    <w:rsid w:val="00D324EB"/>
    <w:rsid w:val="00D3252C"/>
    <w:rsid w:val="00D33193"/>
    <w:rsid w:val="00D33DEE"/>
    <w:rsid w:val="00D35429"/>
    <w:rsid w:val="00D369EE"/>
    <w:rsid w:val="00D36CF1"/>
    <w:rsid w:val="00D378EF"/>
    <w:rsid w:val="00D40BBE"/>
    <w:rsid w:val="00D41680"/>
    <w:rsid w:val="00D41E8B"/>
    <w:rsid w:val="00D43201"/>
    <w:rsid w:val="00D4326B"/>
    <w:rsid w:val="00D4355E"/>
    <w:rsid w:val="00D43D23"/>
    <w:rsid w:val="00D4416D"/>
    <w:rsid w:val="00D44795"/>
    <w:rsid w:val="00D45C85"/>
    <w:rsid w:val="00D46C09"/>
    <w:rsid w:val="00D46E8F"/>
    <w:rsid w:val="00D47338"/>
    <w:rsid w:val="00D47AD3"/>
    <w:rsid w:val="00D47D5D"/>
    <w:rsid w:val="00D50186"/>
    <w:rsid w:val="00D50A12"/>
    <w:rsid w:val="00D51162"/>
    <w:rsid w:val="00D518AA"/>
    <w:rsid w:val="00D51CAE"/>
    <w:rsid w:val="00D520C5"/>
    <w:rsid w:val="00D52AF9"/>
    <w:rsid w:val="00D52E26"/>
    <w:rsid w:val="00D534CE"/>
    <w:rsid w:val="00D54535"/>
    <w:rsid w:val="00D54BA5"/>
    <w:rsid w:val="00D54C29"/>
    <w:rsid w:val="00D55A20"/>
    <w:rsid w:val="00D567E4"/>
    <w:rsid w:val="00D57408"/>
    <w:rsid w:val="00D5769A"/>
    <w:rsid w:val="00D57F41"/>
    <w:rsid w:val="00D60C89"/>
    <w:rsid w:val="00D62454"/>
    <w:rsid w:val="00D63100"/>
    <w:rsid w:val="00D6329D"/>
    <w:rsid w:val="00D639C8"/>
    <w:rsid w:val="00D63D52"/>
    <w:rsid w:val="00D64F79"/>
    <w:rsid w:val="00D67992"/>
    <w:rsid w:val="00D67FAE"/>
    <w:rsid w:val="00D7010C"/>
    <w:rsid w:val="00D70D47"/>
    <w:rsid w:val="00D7136F"/>
    <w:rsid w:val="00D71888"/>
    <w:rsid w:val="00D71B2E"/>
    <w:rsid w:val="00D71FDF"/>
    <w:rsid w:val="00D72C91"/>
    <w:rsid w:val="00D72CDB"/>
    <w:rsid w:val="00D73D32"/>
    <w:rsid w:val="00D7433C"/>
    <w:rsid w:val="00D74785"/>
    <w:rsid w:val="00D74A05"/>
    <w:rsid w:val="00D75333"/>
    <w:rsid w:val="00D768AD"/>
    <w:rsid w:val="00D76D76"/>
    <w:rsid w:val="00D77F0A"/>
    <w:rsid w:val="00D80C67"/>
    <w:rsid w:val="00D81132"/>
    <w:rsid w:val="00D820BD"/>
    <w:rsid w:val="00D82142"/>
    <w:rsid w:val="00D8255A"/>
    <w:rsid w:val="00D82D6B"/>
    <w:rsid w:val="00D832B2"/>
    <w:rsid w:val="00D8528F"/>
    <w:rsid w:val="00D85757"/>
    <w:rsid w:val="00D86373"/>
    <w:rsid w:val="00D87AB8"/>
    <w:rsid w:val="00D90506"/>
    <w:rsid w:val="00D9133F"/>
    <w:rsid w:val="00D91A77"/>
    <w:rsid w:val="00D92C13"/>
    <w:rsid w:val="00D93982"/>
    <w:rsid w:val="00D93BAE"/>
    <w:rsid w:val="00D93D87"/>
    <w:rsid w:val="00D9518C"/>
    <w:rsid w:val="00D96A01"/>
    <w:rsid w:val="00D977CC"/>
    <w:rsid w:val="00DA00CD"/>
    <w:rsid w:val="00DA05DC"/>
    <w:rsid w:val="00DA1465"/>
    <w:rsid w:val="00DA1F70"/>
    <w:rsid w:val="00DA3358"/>
    <w:rsid w:val="00DA3702"/>
    <w:rsid w:val="00DA3E1E"/>
    <w:rsid w:val="00DA416A"/>
    <w:rsid w:val="00DA42C9"/>
    <w:rsid w:val="00DA557E"/>
    <w:rsid w:val="00DA74D1"/>
    <w:rsid w:val="00DA76A6"/>
    <w:rsid w:val="00DA77AE"/>
    <w:rsid w:val="00DB0016"/>
    <w:rsid w:val="00DB00B8"/>
    <w:rsid w:val="00DB0CCB"/>
    <w:rsid w:val="00DB11C2"/>
    <w:rsid w:val="00DB21D8"/>
    <w:rsid w:val="00DB428E"/>
    <w:rsid w:val="00DB6416"/>
    <w:rsid w:val="00DB707A"/>
    <w:rsid w:val="00DB7233"/>
    <w:rsid w:val="00DB7529"/>
    <w:rsid w:val="00DB7B6D"/>
    <w:rsid w:val="00DC0044"/>
    <w:rsid w:val="00DC1A4C"/>
    <w:rsid w:val="00DC264E"/>
    <w:rsid w:val="00DC33E0"/>
    <w:rsid w:val="00DC3D7E"/>
    <w:rsid w:val="00DC4119"/>
    <w:rsid w:val="00DC5514"/>
    <w:rsid w:val="00DC763D"/>
    <w:rsid w:val="00DC7C68"/>
    <w:rsid w:val="00DD055D"/>
    <w:rsid w:val="00DD1006"/>
    <w:rsid w:val="00DD1C8B"/>
    <w:rsid w:val="00DD33C7"/>
    <w:rsid w:val="00DD346A"/>
    <w:rsid w:val="00DD39BE"/>
    <w:rsid w:val="00DD3A00"/>
    <w:rsid w:val="00DD3A78"/>
    <w:rsid w:val="00DD3FCA"/>
    <w:rsid w:val="00DD45DC"/>
    <w:rsid w:val="00DD6B20"/>
    <w:rsid w:val="00DD7689"/>
    <w:rsid w:val="00DD78C4"/>
    <w:rsid w:val="00DE0EDE"/>
    <w:rsid w:val="00DE1E5C"/>
    <w:rsid w:val="00DE31CE"/>
    <w:rsid w:val="00DE37C9"/>
    <w:rsid w:val="00DE431E"/>
    <w:rsid w:val="00DE6DE8"/>
    <w:rsid w:val="00DE6ED2"/>
    <w:rsid w:val="00DE7B4D"/>
    <w:rsid w:val="00DF03BE"/>
    <w:rsid w:val="00DF0AC5"/>
    <w:rsid w:val="00DF14D3"/>
    <w:rsid w:val="00DF14E7"/>
    <w:rsid w:val="00DF1DBE"/>
    <w:rsid w:val="00DF3C76"/>
    <w:rsid w:val="00DF433A"/>
    <w:rsid w:val="00DF43F5"/>
    <w:rsid w:val="00DF4953"/>
    <w:rsid w:val="00DF4AD1"/>
    <w:rsid w:val="00DF53FC"/>
    <w:rsid w:val="00DF5D6B"/>
    <w:rsid w:val="00DF63B2"/>
    <w:rsid w:val="00DF6959"/>
    <w:rsid w:val="00E00788"/>
    <w:rsid w:val="00E00A7A"/>
    <w:rsid w:val="00E029DC"/>
    <w:rsid w:val="00E02B07"/>
    <w:rsid w:val="00E02C45"/>
    <w:rsid w:val="00E02CD6"/>
    <w:rsid w:val="00E03BC0"/>
    <w:rsid w:val="00E0416D"/>
    <w:rsid w:val="00E04808"/>
    <w:rsid w:val="00E04B07"/>
    <w:rsid w:val="00E054F9"/>
    <w:rsid w:val="00E0632E"/>
    <w:rsid w:val="00E063FE"/>
    <w:rsid w:val="00E07887"/>
    <w:rsid w:val="00E10E9E"/>
    <w:rsid w:val="00E11B4E"/>
    <w:rsid w:val="00E1261E"/>
    <w:rsid w:val="00E12A54"/>
    <w:rsid w:val="00E13402"/>
    <w:rsid w:val="00E13A1B"/>
    <w:rsid w:val="00E13DB2"/>
    <w:rsid w:val="00E13E4A"/>
    <w:rsid w:val="00E14252"/>
    <w:rsid w:val="00E150FE"/>
    <w:rsid w:val="00E17818"/>
    <w:rsid w:val="00E17F68"/>
    <w:rsid w:val="00E20284"/>
    <w:rsid w:val="00E207A9"/>
    <w:rsid w:val="00E21BEC"/>
    <w:rsid w:val="00E21CB6"/>
    <w:rsid w:val="00E22C5D"/>
    <w:rsid w:val="00E23073"/>
    <w:rsid w:val="00E23304"/>
    <w:rsid w:val="00E23B02"/>
    <w:rsid w:val="00E23F86"/>
    <w:rsid w:val="00E242D0"/>
    <w:rsid w:val="00E2467A"/>
    <w:rsid w:val="00E25024"/>
    <w:rsid w:val="00E2630F"/>
    <w:rsid w:val="00E26491"/>
    <w:rsid w:val="00E265A9"/>
    <w:rsid w:val="00E26A75"/>
    <w:rsid w:val="00E30115"/>
    <w:rsid w:val="00E30FFE"/>
    <w:rsid w:val="00E31081"/>
    <w:rsid w:val="00E3185F"/>
    <w:rsid w:val="00E31AB8"/>
    <w:rsid w:val="00E334BA"/>
    <w:rsid w:val="00E335DE"/>
    <w:rsid w:val="00E33A25"/>
    <w:rsid w:val="00E34208"/>
    <w:rsid w:val="00E35F48"/>
    <w:rsid w:val="00E35FD0"/>
    <w:rsid w:val="00E41524"/>
    <w:rsid w:val="00E419C1"/>
    <w:rsid w:val="00E42977"/>
    <w:rsid w:val="00E43140"/>
    <w:rsid w:val="00E4314E"/>
    <w:rsid w:val="00E432EC"/>
    <w:rsid w:val="00E43458"/>
    <w:rsid w:val="00E43652"/>
    <w:rsid w:val="00E437B9"/>
    <w:rsid w:val="00E44370"/>
    <w:rsid w:val="00E4542A"/>
    <w:rsid w:val="00E458E8"/>
    <w:rsid w:val="00E46A93"/>
    <w:rsid w:val="00E474A7"/>
    <w:rsid w:val="00E47647"/>
    <w:rsid w:val="00E47D99"/>
    <w:rsid w:val="00E500F4"/>
    <w:rsid w:val="00E5092C"/>
    <w:rsid w:val="00E524FF"/>
    <w:rsid w:val="00E5270F"/>
    <w:rsid w:val="00E5313C"/>
    <w:rsid w:val="00E54274"/>
    <w:rsid w:val="00E54FCE"/>
    <w:rsid w:val="00E5518A"/>
    <w:rsid w:val="00E55A3B"/>
    <w:rsid w:val="00E5695B"/>
    <w:rsid w:val="00E56A18"/>
    <w:rsid w:val="00E56D71"/>
    <w:rsid w:val="00E573A7"/>
    <w:rsid w:val="00E57A2D"/>
    <w:rsid w:val="00E610C0"/>
    <w:rsid w:val="00E61448"/>
    <w:rsid w:val="00E61CF6"/>
    <w:rsid w:val="00E6217E"/>
    <w:rsid w:val="00E62BA6"/>
    <w:rsid w:val="00E62E56"/>
    <w:rsid w:val="00E62FF6"/>
    <w:rsid w:val="00E6333F"/>
    <w:rsid w:val="00E64592"/>
    <w:rsid w:val="00E64B1E"/>
    <w:rsid w:val="00E64F96"/>
    <w:rsid w:val="00E651D6"/>
    <w:rsid w:val="00E6563F"/>
    <w:rsid w:val="00E6587D"/>
    <w:rsid w:val="00E65B02"/>
    <w:rsid w:val="00E65D15"/>
    <w:rsid w:val="00E66BA2"/>
    <w:rsid w:val="00E700AC"/>
    <w:rsid w:val="00E713EF"/>
    <w:rsid w:val="00E7156F"/>
    <w:rsid w:val="00E72F7C"/>
    <w:rsid w:val="00E732DB"/>
    <w:rsid w:val="00E736EF"/>
    <w:rsid w:val="00E74750"/>
    <w:rsid w:val="00E74769"/>
    <w:rsid w:val="00E74A32"/>
    <w:rsid w:val="00E755C9"/>
    <w:rsid w:val="00E76497"/>
    <w:rsid w:val="00E76551"/>
    <w:rsid w:val="00E76761"/>
    <w:rsid w:val="00E769BF"/>
    <w:rsid w:val="00E76EF0"/>
    <w:rsid w:val="00E77773"/>
    <w:rsid w:val="00E80882"/>
    <w:rsid w:val="00E808D1"/>
    <w:rsid w:val="00E80BF4"/>
    <w:rsid w:val="00E81AD0"/>
    <w:rsid w:val="00E82C43"/>
    <w:rsid w:val="00E832D7"/>
    <w:rsid w:val="00E83552"/>
    <w:rsid w:val="00E838E4"/>
    <w:rsid w:val="00E83EFB"/>
    <w:rsid w:val="00E84F8A"/>
    <w:rsid w:val="00E851D1"/>
    <w:rsid w:val="00E855CE"/>
    <w:rsid w:val="00E86A39"/>
    <w:rsid w:val="00E8734D"/>
    <w:rsid w:val="00E90E9A"/>
    <w:rsid w:val="00E92338"/>
    <w:rsid w:val="00E9297B"/>
    <w:rsid w:val="00E92A75"/>
    <w:rsid w:val="00E934AA"/>
    <w:rsid w:val="00E93D15"/>
    <w:rsid w:val="00E94210"/>
    <w:rsid w:val="00E95831"/>
    <w:rsid w:val="00E9646B"/>
    <w:rsid w:val="00E965C3"/>
    <w:rsid w:val="00EA0332"/>
    <w:rsid w:val="00EA090B"/>
    <w:rsid w:val="00EA0C84"/>
    <w:rsid w:val="00EA0D8C"/>
    <w:rsid w:val="00EA2D9B"/>
    <w:rsid w:val="00EA3D8D"/>
    <w:rsid w:val="00EA3F2F"/>
    <w:rsid w:val="00EA4CB5"/>
    <w:rsid w:val="00EA50C3"/>
    <w:rsid w:val="00EA5BCA"/>
    <w:rsid w:val="00EA5F24"/>
    <w:rsid w:val="00EA6430"/>
    <w:rsid w:val="00EA73DF"/>
    <w:rsid w:val="00EB10E0"/>
    <w:rsid w:val="00EB1882"/>
    <w:rsid w:val="00EB27A1"/>
    <w:rsid w:val="00EB2EBA"/>
    <w:rsid w:val="00EB2EEA"/>
    <w:rsid w:val="00EB3EF5"/>
    <w:rsid w:val="00EB4575"/>
    <w:rsid w:val="00EB4623"/>
    <w:rsid w:val="00EB5068"/>
    <w:rsid w:val="00EB53DC"/>
    <w:rsid w:val="00EB54FE"/>
    <w:rsid w:val="00EB5ED3"/>
    <w:rsid w:val="00EB7C74"/>
    <w:rsid w:val="00EC02A6"/>
    <w:rsid w:val="00EC175B"/>
    <w:rsid w:val="00EC1E1D"/>
    <w:rsid w:val="00EC25BC"/>
    <w:rsid w:val="00EC2683"/>
    <w:rsid w:val="00EC28D8"/>
    <w:rsid w:val="00EC3DE4"/>
    <w:rsid w:val="00EC42B5"/>
    <w:rsid w:val="00EC4D76"/>
    <w:rsid w:val="00EC55AA"/>
    <w:rsid w:val="00EC5FEF"/>
    <w:rsid w:val="00EC67E5"/>
    <w:rsid w:val="00EC712E"/>
    <w:rsid w:val="00EC73DD"/>
    <w:rsid w:val="00EC7F08"/>
    <w:rsid w:val="00ED029D"/>
    <w:rsid w:val="00ED0386"/>
    <w:rsid w:val="00ED0A24"/>
    <w:rsid w:val="00ED11C6"/>
    <w:rsid w:val="00ED1C13"/>
    <w:rsid w:val="00ED2115"/>
    <w:rsid w:val="00ED21D3"/>
    <w:rsid w:val="00ED255A"/>
    <w:rsid w:val="00ED2A0E"/>
    <w:rsid w:val="00ED2D88"/>
    <w:rsid w:val="00ED3D0A"/>
    <w:rsid w:val="00ED459F"/>
    <w:rsid w:val="00ED4B11"/>
    <w:rsid w:val="00ED50B1"/>
    <w:rsid w:val="00ED5779"/>
    <w:rsid w:val="00ED5D9F"/>
    <w:rsid w:val="00ED672C"/>
    <w:rsid w:val="00EE2121"/>
    <w:rsid w:val="00EE2E2C"/>
    <w:rsid w:val="00EE3D43"/>
    <w:rsid w:val="00EE4ED3"/>
    <w:rsid w:val="00EE5278"/>
    <w:rsid w:val="00EE5DE3"/>
    <w:rsid w:val="00EE726D"/>
    <w:rsid w:val="00EE7ECB"/>
    <w:rsid w:val="00EF094D"/>
    <w:rsid w:val="00EF19B5"/>
    <w:rsid w:val="00EF208A"/>
    <w:rsid w:val="00EF2C58"/>
    <w:rsid w:val="00EF4906"/>
    <w:rsid w:val="00EF4C32"/>
    <w:rsid w:val="00EF711B"/>
    <w:rsid w:val="00F008E4"/>
    <w:rsid w:val="00F019DE"/>
    <w:rsid w:val="00F022EF"/>
    <w:rsid w:val="00F0234C"/>
    <w:rsid w:val="00F03E58"/>
    <w:rsid w:val="00F041AD"/>
    <w:rsid w:val="00F04907"/>
    <w:rsid w:val="00F06A6C"/>
    <w:rsid w:val="00F06F99"/>
    <w:rsid w:val="00F0741B"/>
    <w:rsid w:val="00F0760F"/>
    <w:rsid w:val="00F07756"/>
    <w:rsid w:val="00F079BF"/>
    <w:rsid w:val="00F10E1F"/>
    <w:rsid w:val="00F111AF"/>
    <w:rsid w:val="00F11FFA"/>
    <w:rsid w:val="00F1247D"/>
    <w:rsid w:val="00F12B62"/>
    <w:rsid w:val="00F14FC4"/>
    <w:rsid w:val="00F15D52"/>
    <w:rsid w:val="00F16F2F"/>
    <w:rsid w:val="00F16FBA"/>
    <w:rsid w:val="00F17FFA"/>
    <w:rsid w:val="00F2041B"/>
    <w:rsid w:val="00F21238"/>
    <w:rsid w:val="00F21F92"/>
    <w:rsid w:val="00F21FCF"/>
    <w:rsid w:val="00F23601"/>
    <w:rsid w:val="00F2386F"/>
    <w:rsid w:val="00F23F2E"/>
    <w:rsid w:val="00F25F92"/>
    <w:rsid w:val="00F26701"/>
    <w:rsid w:val="00F26847"/>
    <w:rsid w:val="00F276B7"/>
    <w:rsid w:val="00F316AA"/>
    <w:rsid w:val="00F319CF"/>
    <w:rsid w:val="00F3228C"/>
    <w:rsid w:val="00F32420"/>
    <w:rsid w:val="00F32C31"/>
    <w:rsid w:val="00F32CBB"/>
    <w:rsid w:val="00F3309E"/>
    <w:rsid w:val="00F33E64"/>
    <w:rsid w:val="00F33EF6"/>
    <w:rsid w:val="00F341D8"/>
    <w:rsid w:val="00F34521"/>
    <w:rsid w:val="00F34B6C"/>
    <w:rsid w:val="00F3508C"/>
    <w:rsid w:val="00F37C47"/>
    <w:rsid w:val="00F37E5A"/>
    <w:rsid w:val="00F37FFB"/>
    <w:rsid w:val="00F40376"/>
    <w:rsid w:val="00F40657"/>
    <w:rsid w:val="00F407D3"/>
    <w:rsid w:val="00F4215C"/>
    <w:rsid w:val="00F430B2"/>
    <w:rsid w:val="00F43433"/>
    <w:rsid w:val="00F459C7"/>
    <w:rsid w:val="00F46EE4"/>
    <w:rsid w:val="00F47E00"/>
    <w:rsid w:val="00F504C6"/>
    <w:rsid w:val="00F50C9F"/>
    <w:rsid w:val="00F50CC4"/>
    <w:rsid w:val="00F50D45"/>
    <w:rsid w:val="00F51EB7"/>
    <w:rsid w:val="00F523A1"/>
    <w:rsid w:val="00F52484"/>
    <w:rsid w:val="00F528BB"/>
    <w:rsid w:val="00F52A63"/>
    <w:rsid w:val="00F53C7A"/>
    <w:rsid w:val="00F5478E"/>
    <w:rsid w:val="00F548A5"/>
    <w:rsid w:val="00F55676"/>
    <w:rsid w:val="00F569E8"/>
    <w:rsid w:val="00F56AD6"/>
    <w:rsid w:val="00F57EEA"/>
    <w:rsid w:val="00F60897"/>
    <w:rsid w:val="00F61595"/>
    <w:rsid w:val="00F62A5D"/>
    <w:rsid w:val="00F6328E"/>
    <w:rsid w:val="00F63485"/>
    <w:rsid w:val="00F63609"/>
    <w:rsid w:val="00F63A90"/>
    <w:rsid w:val="00F647F8"/>
    <w:rsid w:val="00F64828"/>
    <w:rsid w:val="00F64E3C"/>
    <w:rsid w:val="00F65903"/>
    <w:rsid w:val="00F66F5D"/>
    <w:rsid w:val="00F67757"/>
    <w:rsid w:val="00F70492"/>
    <w:rsid w:val="00F71761"/>
    <w:rsid w:val="00F7261B"/>
    <w:rsid w:val="00F733A3"/>
    <w:rsid w:val="00F7389A"/>
    <w:rsid w:val="00F73A9B"/>
    <w:rsid w:val="00F74641"/>
    <w:rsid w:val="00F75448"/>
    <w:rsid w:val="00F76021"/>
    <w:rsid w:val="00F77893"/>
    <w:rsid w:val="00F80677"/>
    <w:rsid w:val="00F81306"/>
    <w:rsid w:val="00F82891"/>
    <w:rsid w:val="00F851A9"/>
    <w:rsid w:val="00F85C0F"/>
    <w:rsid w:val="00F86009"/>
    <w:rsid w:val="00F87425"/>
    <w:rsid w:val="00F87691"/>
    <w:rsid w:val="00F87E7A"/>
    <w:rsid w:val="00F908F7"/>
    <w:rsid w:val="00F90D16"/>
    <w:rsid w:val="00F91645"/>
    <w:rsid w:val="00F975AC"/>
    <w:rsid w:val="00F97614"/>
    <w:rsid w:val="00FA017B"/>
    <w:rsid w:val="00FA21A2"/>
    <w:rsid w:val="00FA23BC"/>
    <w:rsid w:val="00FA2BA5"/>
    <w:rsid w:val="00FA30C7"/>
    <w:rsid w:val="00FA40D4"/>
    <w:rsid w:val="00FA42C8"/>
    <w:rsid w:val="00FA48EA"/>
    <w:rsid w:val="00FA4E78"/>
    <w:rsid w:val="00FA55D0"/>
    <w:rsid w:val="00FA64A4"/>
    <w:rsid w:val="00FA6A00"/>
    <w:rsid w:val="00FA6D8B"/>
    <w:rsid w:val="00FA6DC4"/>
    <w:rsid w:val="00FA7137"/>
    <w:rsid w:val="00FB25ED"/>
    <w:rsid w:val="00FB271B"/>
    <w:rsid w:val="00FB3C7C"/>
    <w:rsid w:val="00FB3CB5"/>
    <w:rsid w:val="00FB3F7E"/>
    <w:rsid w:val="00FB4C05"/>
    <w:rsid w:val="00FB6294"/>
    <w:rsid w:val="00FC162A"/>
    <w:rsid w:val="00FC191C"/>
    <w:rsid w:val="00FC41DD"/>
    <w:rsid w:val="00FC46FC"/>
    <w:rsid w:val="00FC540A"/>
    <w:rsid w:val="00FC5520"/>
    <w:rsid w:val="00FC5762"/>
    <w:rsid w:val="00FC5E1D"/>
    <w:rsid w:val="00FC688C"/>
    <w:rsid w:val="00FC7CFA"/>
    <w:rsid w:val="00FD03E5"/>
    <w:rsid w:val="00FD0C10"/>
    <w:rsid w:val="00FD0EDF"/>
    <w:rsid w:val="00FD0FA5"/>
    <w:rsid w:val="00FD1DBF"/>
    <w:rsid w:val="00FD1FDC"/>
    <w:rsid w:val="00FD22CC"/>
    <w:rsid w:val="00FD2304"/>
    <w:rsid w:val="00FD3BBA"/>
    <w:rsid w:val="00FD47D1"/>
    <w:rsid w:val="00FD5883"/>
    <w:rsid w:val="00FD6A3F"/>
    <w:rsid w:val="00FD75ED"/>
    <w:rsid w:val="00FD7B39"/>
    <w:rsid w:val="00FD7EE4"/>
    <w:rsid w:val="00FD7F23"/>
    <w:rsid w:val="00FE2CDB"/>
    <w:rsid w:val="00FE3030"/>
    <w:rsid w:val="00FE32B7"/>
    <w:rsid w:val="00FE3470"/>
    <w:rsid w:val="00FE398C"/>
    <w:rsid w:val="00FE520B"/>
    <w:rsid w:val="00FE6A76"/>
    <w:rsid w:val="00FE71A3"/>
    <w:rsid w:val="00FF0560"/>
    <w:rsid w:val="00FF062A"/>
    <w:rsid w:val="00FF0F85"/>
    <w:rsid w:val="00FF1CF8"/>
    <w:rsid w:val="00FF2389"/>
    <w:rsid w:val="00FF272A"/>
    <w:rsid w:val="00FF2E37"/>
    <w:rsid w:val="00FF30C7"/>
    <w:rsid w:val="00FF31A5"/>
    <w:rsid w:val="00FF32A4"/>
    <w:rsid w:val="00FF3880"/>
    <w:rsid w:val="00FF4361"/>
    <w:rsid w:val="00FF5A3D"/>
    <w:rsid w:val="00FF5AFA"/>
    <w:rsid w:val="00FF6A6A"/>
    <w:rsid w:val="00FF72C6"/>
    <w:rsid w:val="00FF745B"/>
    <w:rsid w:val="00FF7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5E394"/>
  <w15:docId w15:val="{D79A3B79-D9F9-4055-9943-01F47AB0D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sz w:val="22"/>
        <w:szCs w:val="22"/>
        <w:lang w:val="en-GB" w:eastAsia="en-US" w:bidi="ar-SA"/>
      </w:rPr>
    </w:rPrDefault>
    <w:pPrDefault>
      <w:pPr>
        <w:autoSpaceDN w:val="0"/>
        <w:spacing w:before="120" w:after="120"/>
        <w:jc w:val="both"/>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7626"/>
    <w:pPr>
      <w:suppressAutoHyphens/>
    </w:pPr>
    <w:rPr>
      <w:color w:val="1C1C1C"/>
    </w:rPr>
  </w:style>
  <w:style w:type="paragraph" w:styleId="Heading1">
    <w:name w:val="heading 1"/>
    <w:aliases w:val="1,FIAS,Headline,ARTICULO 1º,h1,Section Heading,HEADING 1,Section,LetHead1,MisHead1,Normalhead1,l1,Normal Heading 1,Z_hanging_1,SZRptH1,Hewson Heading 1,TITRE,(cntl 1),TITRE 1,big head,PA Chapter,h11,h12,h13,h14,h15,h16,h17,Project 1,RFS,ni1"/>
    <w:next w:val="BodyText"/>
    <w:link w:val="Heading1Char1"/>
    <w:qFormat/>
    <w:pPr>
      <w:keepNext/>
      <w:keepLines/>
      <w:pageBreakBefore/>
      <w:numPr>
        <w:numId w:val="1"/>
      </w:numPr>
      <w:suppressAutoHyphens/>
      <w:spacing w:before="440" w:after="200"/>
      <w:outlineLvl w:val="0"/>
    </w:pPr>
    <w:rPr>
      <w:rFonts w:eastAsia="Times New Roman"/>
      <w:smallCaps/>
      <w:color w:val="002B7F"/>
      <w:sz w:val="34"/>
      <w:szCs w:val="32"/>
    </w:rPr>
  </w:style>
  <w:style w:type="paragraph" w:styleId="Heading2">
    <w:name w:val="heading 2"/>
    <w:aliases w:val="Subchapter 1.1,Chapter Indo,Major,título 2,título 21,título 22,título 23,título 24,título 25,Titulo 2,H2-Heading 2,2,Header 2,l2,Header2,h2,22,heading2,list2,H2,Heading 2 Hidden,heading 21,Heading 2 Hidden1,Titolo2,TITULO,A,A.B.C,h"/>
    <w:next w:val="BodyText"/>
    <w:qFormat/>
    <w:pPr>
      <w:keepNext/>
      <w:keepLines/>
      <w:numPr>
        <w:ilvl w:val="1"/>
        <w:numId w:val="1"/>
      </w:numPr>
      <w:suppressAutoHyphens/>
      <w:spacing w:before="400" w:after="200"/>
      <w:outlineLvl w:val="1"/>
    </w:pPr>
    <w:rPr>
      <w:rFonts w:eastAsia="Times New Roman"/>
      <w:smallCaps/>
      <w:color w:val="002B7F"/>
      <w:sz w:val="30"/>
      <w:szCs w:val="26"/>
    </w:rPr>
  </w:style>
  <w:style w:type="paragraph" w:styleId="Heading3">
    <w:name w:val="heading 3"/>
    <w:aliases w:val="3,h3,No Indent,Newshead1,C Heading,Half Space,Minor,Título 3_PDAPM_3,h31,l3,CT,LetHead3,Normal Heading 3,MisHead3,Normalhead3,Z_hanging_3,H3,H31,H32,H33,H34,H35,H36,H37,H38,H311,H321,H331,H341,H351,H361,H371,H39,H312,H322,Bu,Bul"/>
    <w:next w:val="BodyText"/>
    <w:qFormat/>
    <w:pPr>
      <w:keepNext/>
      <w:keepLines/>
      <w:numPr>
        <w:ilvl w:val="2"/>
        <w:numId w:val="1"/>
      </w:numPr>
      <w:suppressAutoHyphens/>
      <w:spacing w:before="320" w:after="200"/>
      <w:outlineLvl w:val="2"/>
    </w:pPr>
    <w:rPr>
      <w:rFonts w:eastAsia="Times New Roman"/>
      <w:smallCaps/>
      <w:color w:val="002B7F"/>
      <w:sz w:val="28"/>
      <w:szCs w:val="24"/>
    </w:rPr>
  </w:style>
  <w:style w:type="paragraph" w:styleId="Heading4">
    <w:name w:val="heading 4"/>
    <w:aliases w:val="o,4,( i ),Título 4B,h41,h4,aa,LetHead4,MisHead4,Normalhead4,l4,I4,Normal Heading 4,Sub-Minor,Level 2 - a,Section heading level 2,Section Heading Level 2,Strat Imp,Z_hanging_4,H4,H41,H42,H43,H44,H45,H46,H47,H48,H49,H411,H421,H431,H441,H451"/>
    <w:next w:val="BodyText"/>
    <w:qFormat/>
    <w:pPr>
      <w:keepNext/>
      <w:keepLines/>
      <w:numPr>
        <w:ilvl w:val="3"/>
        <w:numId w:val="1"/>
      </w:numPr>
      <w:suppressAutoHyphens/>
      <w:spacing w:before="240" w:after="200"/>
      <w:outlineLvl w:val="3"/>
    </w:pPr>
    <w:rPr>
      <w:rFonts w:eastAsia="Times New Roman"/>
      <w:b/>
      <w:iCs/>
      <w:color w:val="002B7F"/>
      <w:szCs w:val="24"/>
    </w:rPr>
  </w:style>
  <w:style w:type="paragraph" w:styleId="Heading5">
    <w:name w:val="heading 5"/>
    <w:aliases w:val="op,h5,h51,5,RSKH5,Appendix,Heading 5 URS,dash,ds,dd,Block Label,Level 3 - i"/>
    <w:next w:val="BodyText"/>
    <w:qFormat/>
    <w:pPr>
      <w:keepNext/>
      <w:keepLines/>
      <w:numPr>
        <w:ilvl w:val="4"/>
        <w:numId w:val="1"/>
      </w:numPr>
      <w:suppressAutoHyphens/>
      <w:spacing w:after="200"/>
      <w:outlineLvl w:val="4"/>
    </w:pPr>
    <w:rPr>
      <w:rFonts w:eastAsia="Times New Roman"/>
      <w:i/>
      <w:iCs/>
      <w:color w:val="002B7F"/>
      <w:szCs w:val="24"/>
    </w:rPr>
  </w:style>
  <w:style w:type="paragraph" w:styleId="Heading6">
    <w:name w:val="heading 6"/>
    <w:basedOn w:val="Normal"/>
    <w:next w:val="Normal"/>
    <w:pPr>
      <w:keepNext/>
      <w:keepLines/>
      <w:spacing w:before="40" w:after="0"/>
      <w:outlineLvl w:val="5"/>
    </w:pPr>
    <w:rPr>
      <w:rFonts w:ascii="Calibri Light" w:eastAsia="Times New Roman"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3">
    <w:name w:val="WW_OutlineListStyle_3"/>
    <w:basedOn w:val="NoList"/>
    <w:pPr>
      <w:numPr>
        <w:numId w:val="1"/>
      </w:numPr>
    </w:pPr>
  </w:style>
  <w:style w:type="character" w:customStyle="1" w:styleId="Heading1Char">
    <w:name w:val="Heading 1 Char"/>
    <w:aliases w:val="1 Char,FIAS Char,Headline Char,ARTICULO 1º Char,h1 Char,Section Heading Char,HEADING 1 Char,Section Char,LetHead1 Char,MisHead1 Char,Normalhead1 Char,l1 Char,Normal Heading 1 Char,Z_hanging_1 Char,SZRptH1 Char,Hewson Heading 1 Char"/>
    <w:basedOn w:val="DefaultParagraphFont"/>
    <w:rPr>
      <w:rFonts w:eastAsia="Times New Roman" w:cs="Times New Roman"/>
      <w:smallCaps/>
      <w:color w:val="002B7F"/>
      <w:sz w:val="34"/>
      <w:szCs w:val="32"/>
    </w:rPr>
  </w:style>
  <w:style w:type="character" w:customStyle="1" w:styleId="Heading2Char">
    <w:name w:val="Heading 2 Char"/>
    <w:aliases w:val="Subchapter 1.1 Char,Chapter Indo Char,Major Char,título 2 Char,título 21 Char,título 22 Char,título 23 Char,título 24 Char,título 25 Char,Titulo 2 Char,H2-Heading 2 Char,2 Char,Header 2 Char,l2 Char,Header2 Char,h2 Char,22 Char,list2 Char"/>
    <w:basedOn w:val="DefaultParagraphFont"/>
    <w:rPr>
      <w:rFonts w:eastAsia="Times New Roman" w:cs="Times New Roman"/>
      <w:smallCaps/>
      <w:color w:val="002B7F"/>
      <w:sz w:val="30"/>
      <w:szCs w:val="26"/>
    </w:rPr>
  </w:style>
  <w:style w:type="character" w:customStyle="1" w:styleId="Heading3Char">
    <w:name w:val="Heading 3 Char"/>
    <w:aliases w:val="3 Char,h3 Char,No Indent Char,Newshead1 Char,C Heading Char,Half Space Char,Minor Char,Título 3_PDAPM_3 Char,h31 Char,l3 Char,CT Char,LetHead3 Char,Normal Heading 3 Char,MisHead3 Char,Normalhead3 Char,Z_hanging_3 Char,H3 Char,H31 Char"/>
    <w:basedOn w:val="DefaultParagraphFont"/>
    <w:rPr>
      <w:rFonts w:eastAsia="Times New Roman" w:cs="Times New Roman"/>
      <w:smallCaps/>
      <w:color w:val="002B7F"/>
      <w:sz w:val="28"/>
      <w:szCs w:val="24"/>
    </w:rPr>
  </w:style>
  <w:style w:type="character" w:customStyle="1" w:styleId="Heading4Char">
    <w:name w:val="Heading 4 Char"/>
    <w:aliases w:val="o Char,4 Char,( i ) Char,Título 4B Char,h41 Char,h4 Char,aa Char,LetHead4 Char,MisHead4 Char,Normalhead4 Char,l4 Char,I4 Char,Normal Heading 4 Char,Sub-Minor Char,Level 2 - a Char,Section heading level 2 Char,Section Heading Level 2 Char"/>
    <w:basedOn w:val="DefaultParagraphFont"/>
    <w:rPr>
      <w:rFonts w:eastAsia="Times New Roman" w:cs="Times New Roman"/>
      <w:b/>
      <w:iCs/>
      <w:color w:val="002B7F"/>
      <w:szCs w:val="24"/>
    </w:rPr>
  </w:style>
  <w:style w:type="character" w:customStyle="1" w:styleId="Heading5Char">
    <w:name w:val="Heading 5 Char"/>
    <w:aliases w:val="op Char,h5 Char,h51 Char,5 Char,RSKH5 Char,Appendix Char,Heading 5 URS Char,dash Char,ds Char,dd Char,Block Label Char,Level 3 - i Char"/>
    <w:basedOn w:val="DefaultParagraphFont"/>
    <w:rPr>
      <w:rFonts w:eastAsia="Times New Roman" w:cs="Times New Roman"/>
      <w:i/>
      <w:iCs/>
      <w:color w:val="002B7F"/>
      <w:szCs w:val="24"/>
    </w:rPr>
  </w:style>
  <w:style w:type="paragraph" w:styleId="BodyText">
    <w:name w:val="Body Text"/>
    <w:uiPriority w:val="99"/>
    <w:qFormat/>
    <w:pPr>
      <w:suppressAutoHyphens/>
      <w:spacing w:before="0" w:after="140"/>
    </w:pPr>
    <w:rPr>
      <w:color w:val="1C1C1C"/>
    </w:rPr>
  </w:style>
  <w:style w:type="character" w:customStyle="1" w:styleId="BodyTextChar">
    <w:name w:val="Body Text Char"/>
    <w:basedOn w:val="DefaultParagraphFont"/>
    <w:uiPriority w:val="99"/>
    <w:rPr>
      <w:color w:val="1C1C1C"/>
    </w:rPr>
  </w:style>
  <w:style w:type="paragraph" w:styleId="BodyText2">
    <w:name w:val="Body Text 2"/>
    <w:basedOn w:val="BodyText"/>
    <w:uiPriority w:val="3"/>
    <w:pPr>
      <w:spacing w:line="480" w:lineRule="auto"/>
    </w:pPr>
  </w:style>
  <w:style w:type="character" w:customStyle="1" w:styleId="BodyText2Char">
    <w:name w:val="Body Text 2 Char"/>
    <w:basedOn w:val="DefaultParagraphFont"/>
    <w:uiPriority w:val="3"/>
  </w:style>
  <w:style w:type="paragraph" w:styleId="BodyText3">
    <w:name w:val="Body Text 3"/>
    <w:basedOn w:val="BodyText"/>
    <w:uiPriority w:val="3"/>
    <w:rPr>
      <w:sz w:val="16"/>
      <w:szCs w:val="16"/>
    </w:rPr>
  </w:style>
  <w:style w:type="character" w:customStyle="1" w:styleId="BodyText3Char">
    <w:name w:val="Body Text 3 Char"/>
    <w:basedOn w:val="DefaultParagraphFont"/>
    <w:uiPriority w:val="3"/>
    <w:rPr>
      <w:sz w:val="16"/>
      <w:szCs w:val="16"/>
    </w:rPr>
  </w:style>
  <w:style w:type="paragraph" w:styleId="ListBullet">
    <w:name w:val="List Bullet"/>
    <w:basedOn w:val="BodyText"/>
    <w:uiPriority w:val="99"/>
    <w:qFormat/>
    <w:pPr>
      <w:numPr>
        <w:numId w:val="5"/>
      </w:numPr>
      <w:spacing w:after="60"/>
    </w:pPr>
  </w:style>
  <w:style w:type="paragraph" w:styleId="ListBullet2">
    <w:name w:val="List Bullet 2"/>
    <w:basedOn w:val="BodyText"/>
    <w:uiPriority w:val="99"/>
    <w:qFormat/>
    <w:pPr>
      <w:numPr>
        <w:numId w:val="6"/>
      </w:numPr>
      <w:spacing w:after="60"/>
    </w:pPr>
  </w:style>
  <w:style w:type="paragraph" w:styleId="BlockText">
    <w:name w:val="Block Text"/>
    <w:basedOn w:val="Normal"/>
    <w:uiPriority w:val="99"/>
    <w:pPr>
      <w:pBdr>
        <w:top w:val="single" w:sz="2" w:space="10" w:color="002B7F"/>
        <w:left w:val="single" w:sz="2" w:space="10" w:color="002B7F"/>
        <w:bottom w:val="single" w:sz="2" w:space="10" w:color="002B7F"/>
        <w:right w:val="single" w:sz="2" w:space="10" w:color="002B7F"/>
      </w:pBdr>
      <w:ind w:left="1152" w:right="1152"/>
    </w:pPr>
    <w:rPr>
      <w:rFonts w:eastAsia="Times New Roman"/>
      <w:i/>
      <w:iCs/>
      <w:color w:val="002B7F"/>
    </w:rPr>
  </w:style>
  <w:style w:type="paragraph" w:styleId="ListBullet3">
    <w:name w:val="List Bullet 3"/>
    <w:basedOn w:val="BodyText"/>
    <w:uiPriority w:val="99"/>
    <w:qFormat/>
    <w:pPr>
      <w:numPr>
        <w:numId w:val="7"/>
      </w:numPr>
      <w:spacing w:after="60"/>
    </w:pPr>
  </w:style>
  <w:style w:type="paragraph" w:styleId="Header">
    <w:name w:val="header"/>
    <w:basedOn w:val="BodyText"/>
    <w:uiPriority w:val="99"/>
    <w:pPr>
      <w:pBdr>
        <w:bottom w:val="single" w:sz="4" w:space="1" w:color="A6A6A6"/>
      </w:pBdr>
      <w:tabs>
        <w:tab w:val="center" w:pos="4252"/>
        <w:tab w:val="right" w:pos="8504"/>
      </w:tabs>
      <w:spacing w:after="60"/>
    </w:pPr>
    <w:rPr>
      <w:color w:val="002B7F"/>
      <w:sz w:val="18"/>
    </w:rPr>
  </w:style>
  <w:style w:type="character" w:customStyle="1" w:styleId="HeaderChar">
    <w:name w:val="Header Char"/>
    <w:basedOn w:val="DefaultParagraphFont"/>
    <w:uiPriority w:val="99"/>
    <w:rPr>
      <w:color w:val="002B7F"/>
      <w:sz w:val="18"/>
    </w:rPr>
  </w:style>
  <w:style w:type="paragraph" w:styleId="Footer">
    <w:name w:val="footer"/>
    <w:basedOn w:val="Header"/>
    <w:uiPriority w:val="99"/>
    <w:pPr>
      <w:pBdr>
        <w:top w:val="single" w:sz="4" w:space="1" w:color="A6A6A6"/>
        <w:bottom w:val="none" w:sz="0" w:space="0" w:color="auto"/>
      </w:pBdr>
      <w:spacing w:before="60" w:after="0"/>
    </w:pPr>
  </w:style>
  <w:style w:type="character" w:customStyle="1" w:styleId="FooterChar">
    <w:name w:val="Footer Char"/>
    <w:basedOn w:val="DefaultParagraphFont"/>
    <w:uiPriority w:val="99"/>
    <w:rPr>
      <w:sz w:val="18"/>
    </w:rPr>
  </w:style>
  <w:style w:type="paragraph" w:styleId="TOC1">
    <w:name w:val="toc 1"/>
    <w:next w:val="Normal"/>
    <w:uiPriority w:val="39"/>
    <w:pPr>
      <w:suppressAutoHyphens/>
      <w:spacing w:before="0" w:after="200"/>
    </w:pPr>
    <w:rPr>
      <w:b/>
      <w:smallCaps/>
      <w:color w:val="002B7F"/>
    </w:rPr>
  </w:style>
  <w:style w:type="paragraph" w:styleId="TOC2">
    <w:name w:val="toc 2"/>
    <w:next w:val="Normal"/>
    <w:uiPriority w:val="39"/>
    <w:pPr>
      <w:suppressAutoHyphens/>
      <w:spacing w:after="100"/>
      <w:ind w:left="284"/>
    </w:pPr>
    <w:rPr>
      <w:b/>
      <w:color w:val="555555"/>
    </w:rPr>
  </w:style>
  <w:style w:type="paragraph" w:styleId="TOC3">
    <w:name w:val="toc 3"/>
    <w:basedOn w:val="TOC2"/>
    <w:next w:val="Normal"/>
    <w:uiPriority w:val="39"/>
    <w:pPr>
      <w:ind w:left="425"/>
    </w:pPr>
    <w:rPr>
      <w:b w:val="0"/>
    </w:rPr>
  </w:style>
  <w:style w:type="paragraph" w:styleId="TOC4">
    <w:name w:val="toc 4"/>
    <w:basedOn w:val="TOC3"/>
    <w:next w:val="Normal"/>
    <w:uiPriority w:val="39"/>
    <w:pPr>
      <w:ind w:left="567"/>
    </w:pPr>
  </w:style>
  <w:style w:type="paragraph" w:styleId="TOC5">
    <w:name w:val="toc 5"/>
    <w:basedOn w:val="TOC4"/>
    <w:next w:val="Normal"/>
    <w:uiPriority w:val="39"/>
    <w:pPr>
      <w:ind w:left="709"/>
    </w:pPr>
    <w:rPr>
      <w:i/>
    </w:rPr>
  </w:style>
  <w:style w:type="paragraph" w:styleId="Index1">
    <w:name w:val="index 1"/>
    <w:basedOn w:val="BodyText"/>
    <w:next w:val="Normal"/>
    <w:uiPriority w:val="99"/>
    <w:pPr>
      <w:spacing w:after="0"/>
      <w:ind w:left="113"/>
    </w:pPr>
  </w:style>
  <w:style w:type="paragraph" w:styleId="Index2">
    <w:name w:val="index 2"/>
    <w:basedOn w:val="Index1"/>
    <w:next w:val="Normal"/>
    <w:uiPriority w:val="99"/>
    <w:pPr>
      <w:ind w:left="221"/>
    </w:pPr>
  </w:style>
  <w:style w:type="paragraph" w:styleId="Index3">
    <w:name w:val="index 3"/>
    <w:basedOn w:val="Index2"/>
    <w:next w:val="Normal"/>
    <w:uiPriority w:val="99"/>
    <w:pPr>
      <w:ind w:left="442"/>
    </w:pPr>
  </w:style>
  <w:style w:type="paragraph" w:styleId="Index4">
    <w:name w:val="index 4"/>
    <w:basedOn w:val="Index3"/>
    <w:next w:val="Normal"/>
    <w:uiPriority w:val="99"/>
    <w:pPr>
      <w:ind w:left="658"/>
    </w:pPr>
  </w:style>
  <w:style w:type="paragraph" w:styleId="Index5">
    <w:name w:val="index 5"/>
    <w:basedOn w:val="Index4"/>
    <w:next w:val="Normal"/>
    <w:uiPriority w:val="99"/>
    <w:pPr>
      <w:ind w:left="879"/>
    </w:pPr>
  </w:style>
  <w:style w:type="paragraph" w:customStyle="1" w:styleId="Figure">
    <w:name w:val="Figure"/>
    <w:uiPriority w:val="2"/>
    <w:qFormat/>
    <w:pPr>
      <w:suppressAutoHyphens/>
      <w:spacing w:after="200"/>
      <w:jc w:val="center"/>
    </w:pPr>
    <w:rPr>
      <w:color w:val="002B7F"/>
    </w:rPr>
  </w:style>
  <w:style w:type="paragraph" w:styleId="ListNumber">
    <w:name w:val="List Number"/>
    <w:basedOn w:val="Normal"/>
    <w:uiPriority w:val="99"/>
    <w:qFormat/>
    <w:pPr>
      <w:numPr>
        <w:numId w:val="8"/>
      </w:numPr>
      <w:tabs>
        <w:tab w:val="left" w:pos="-720"/>
      </w:tabs>
      <w:spacing w:before="60" w:after="60"/>
    </w:pPr>
  </w:style>
  <w:style w:type="paragraph" w:styleId="TableofFigures">
    <w:name w:val="table of figures"/>
    <w:basedOn w:val="Normal"/>
    <w:next w:val="Normal"/>
    <w:uiPriority w:val="99"/>
    <w:pPr>
      <w:spacing w:after="0"/>
    </w:pPr>
  </w:style>
  <w:style w:type="paragraph" w:styleId="List">
    <w:name w:val="List"/>
    <w:basedOn w:val="Normal"/>
    <w:uiPriority w:val="99"/>
    <w:pPr>
      <w:spacing w:before="60" w:after="60"/>
    </w:pPr>
  </w:style>
  <w:style w:type="paragraph" w:styleId="ListNumber2">
    <w:name w:val="List Number 2"/>
    <w:basedOn w:val="ListNumber"/>
    <w:uiPriority w:val="99"/>
    <w:pPr>
      <w:numPr>
        <w:numId w:val="9"/>
      </w:numPr>
    </w:pPr>
  </w:style>
  <w:style w:type="paragraph" w:styleId="ListNumber3">
    <w:name w:val="List Number 3"/>
    <w:basedOn w:val="ListNumber2"/>
    <w:uiPriority w:val="99"/>
    <w:pPr>
      <w:numPr>
        <w:numId w:val="10"/>
      </w:numPr>
    </w:pPr>
  </w:style>
  <w:style w:type="paragraph" w:styleId="ListParagraph">
    <w:name w:val="List Paragraph"/>
    <w:aliases w:val="List1,List Paragraph1,Numbered Indented Text,List Paragraph Char Char Char,List Paragraph Char Char,Bullet 1,lp1,List Paragraph11,List Paragraph (numbered (a)),Bullet Styles para,roel"/>
    <w:basedOn w:val="Normal"/>
    <w:uiPriority w:val="34"/>
    <w:qFormat/>
    <w:pPr>
      <w:ind w:left="720"/>
    </w:pPr>
  </w:style>
  <w:style w:type="character" w:styleId="FootnoteReference">
    <w:name w:val="footnote reference"/>
    <w:aliases w:val="Ref,de nota al pie,ftref,Footnote Reference Number,Style 6,16 Point,Superscript 6 Point,SUPERS,EN Footnote Reference,(NECG) Footnote Reference,footnote ref,fr,Footnote text,referencia nota al pie,0 PIER Footnote Reference,12 p..."/>
    <w:basedOn w:val="DefaultParagraphFont"/>
    <w:uiPriority w:val="99"/>
    <w:rPr>
      <w:position w:val="0"/>
      <w:sz w:val="18"/>
      <w:vertAlign w:val="superscript"/>
      <w:lang w:val="en-GB"/>
    </w:rPr>
  </w:style>
  <w:style w:type="paragraph" w:styleId="FootnoteText">
    <w:name w:val="footnote text"/>
    <w:aliases w:val="DTE-Voetnoottekst,DTE-Voetnoottekst Char,fn,Footnotes,Footnote ak,Footnote Text Char1,Footnote Text Char Char,Footnote Text Char1 Char Char,Footnote Text Char Char Char Char, Char Char Char Char Char, Char Char Char,FN,Geneva 9,Boston 10"/>
    <w:basedOn w:val="BodyText"/>
    <w:uiPriority w:val="99"/>
    <w:qFormat/>
    <w:pPr>
      <w:spacing w:after="0"/>
    </w:pPr>
    <w:rPr>
      <w:sz w:val="18"/>
      <w:szCs w:val="20"/>
    </w:rPr>
  </w:style>
  <w:style w:type="character" w:customStyle="1" w:styleId="FootnoteTextChar">
    <w:name w:val="Footnote Text Char"/>
    <w:aliases w:val="DTE-Voetnoottekst Char1,DTE-Voetnoottekst Char Char,fn Char,Footnotes Char,Footnote ak Char,Footnote Text Char1 Char,Footnote Text Char Char Char,Footnote Text Char1 Char Char Char,Footnote Text Char Char Char Char Char,FN Char"/>
    <w:basedOn w:val="DefaultParagraphFont"/>
    <w:uiPriority w:val="99"/>
    <w:rPr>
      <w:sz w:val="18"/>
      <w:szCs w:val="20"/>
    </w:rPr>
  </w:style>
  <w:style w:type="paragraph" w:styleId="Caption">
    <w:name w:val="caption"/>
    <w:aliases w:val="~Caption,Tabellen,Exr,Figure Caption,Char1, Char1"/>
    <w:basedOn w:val="BodyText"/>
    <w:next w:val="Normal"/>
    <w:qFormat/>
    <w:pPr>
      <w:keepNext/>
      <w:keepLines/>
      <w:spacing w:after="120"/>
      <w:jc w:val="center"/>
    </w:pPr>
    <w:rPr>
      <w:iCs/>
      <w:color w:val="002B7F"/>
      <w:szCs w:val="18"/>
    </w:rPr>
  </w:style>
  <w:style w:type="paragraph" w:styleId="NoSpacing">
    <w:name w:val="No Spacing"/>
    <w:uiPriority w:val="99"/>
    <w:qFormat/>
    <w:pPr>
      <w:suppressAutoHyphens/>
      <w:spacing w:before="0" w:after="0"/>
      <w:jc w:val="left"/>
    </w:pPr>
    <w:rPr>
      <w:rFonts w:eastAsia="Times New Roman"/>
      <w:lang w:val="en-US"/>
    </w:rPr>
  </w:style>
  <w:style w:type="character" w:customStyle="1" w:styleId="NoSpacingChar">
    <w:name w:val="No Spacing Char"/>
    <w:basedOn w:val="DefaultParagraphFont"/>
    <w:uiPriority w:val="1"/>
    <w:rPr>
      <w:rFonts w:ascii="Calibri" w:eastAsia="Times New Roman" w:hAnsi="Calibri"/>
      <w:lang w:val="en-US"/>
    </w:rPr>
  </w:style>
  <w:style w:type="character" w:styleId="Emphasis">
    <w:name w:val="Emphasis"/>
    <w:basedOn w:val="DefaultParagraphFont"/>
    <w:uiPriority w:val="20"/>
    <w:rPr>
      <w:i/>
      <w:iCs/>
    </w:rPr>
  </w:style>
  <w:style w:type="paragraph" w:customStyle="1" w:styleId="Sourcefooter">
    <w:name w:val="Source_footer"/>
    <w:basedOn w:val="BodyText"/>
    <w:next w:val="BodyText"/>
    <w:uiPriority w:val="2"/>
    <w:qFormat/>
    <w:pPr>
      <w:keepNext/>
      <w:keepLines/>
    </w:pPr>
    <w:rPr>
      <w:i/>
      <w:sz w:val="18"/>
    </w:rPr>
  </w:style>
  <w:style w:type="character" w:customStyle="1" w:styleId="SourcefooterChar">
    <w:name w:val="Source_footer Char"/>
    <w:basedOn w:val="BodyTextChar"/>
    <w:uiPriority w:val="2"/>
    <w:rPr>
      <w:i/>
      <w:color w:val="555555"/>
      <w:sz w:val="18"/>
    </w:rPr>
  </w:style>
  <w:style w:type="paragraph" w:styleId="Title">
    <w:name w:val="Title"/>
    <w:next w:val="Normal"/>
    <w:uiPriority w:val="10"/>
    <w:pPr>
      <w:suppressAutoHyphens/>
      <w:spacing w:before="0" w:after="0"/>
    </w:pPr>
    <w:rPr>
      <w:rFonts w:ascii="Calibri Light" w:eastAsia="Times New Roman" w:hAnsi="Calibri Light"/>
      <w:color w:val="002B7F"/>
      <w:spacing w:val="-10"/>
      <w:kern w:val="3"/>
      <w:sz w:val="56"/>
      <w:szCs w:val="56"/>
    </w:rPr>
  </w:style>
  <w:style w:type="character" w:customStyle="1" w:styleId="TitleChar">
    <w:name w:val="Title Char"/>
    <w:basedOn w:val="DefaultParagraphFont"/>
    <w:uiPriority w:val="10"/>
    <w:rPr>
      <w:rFonts w:ascii="Calibri Light" w:eastAsia="Times New Roman" w:hAnsi="Calibri Light" w:cs="Times New Roman"/>
      <w:color w:val="002B7F"/>
      <w:spacing w:val="-10"/>
      <w:kern w:val="3"/>
      <w:sz w:val="56"/>
      <w:szCs w:val="56"/>
    </w:rPr>
  </w:style>
  <w:style w:type="character" w:styleId="Hyperlink">
    <w:name w:val="Hyperlink"/>
    <w:basedOn w:val="DefaultParagraphFont"/>
    <w:uiPriority w:val="99"/>
    <w:rPr>
      <w:color w:val="0563C1"/>
      <w:u w:val="single"/>
    </w:rPr>
  </w:style>
  <w:style w:type="paragraph" w:styleId="BalloonText">
    <w:name w:val="Balloon Text"/>
    <w:basedOn w:val="Normal"/>
    <w:uiPriority w:val="99"/>
    <w:pPr>
      <w:spacing w:before="0" w:after="0"/>
    </w:pPr>
    <w:rPr>
      <w:rFonts w:ascii="Segoe UI" w:hAnsi="Segoe UI" w:cs="Segoe UI"/>
      <w:sz w:val="18"/>
      <w:szCs w:val="18"/>
    </w:rPr>
  </w:style>
  <w:style w:type="character" w:customStyle="1" w:styleId="BalloonTextChar">
    <w:name w:val="Balloon Text Char"/>
    <w:basedOn w:val="DefaultParagraphFont"/>
    <w:uiPriority w:val="99"/>
    <w:rPr>
      <w:rFonts w:ascii="Segoe UI" w:hAnsi="Segoe UI" w:cs="Segoe UI"/>
      <w:color w:val="555555"/>
      <w:sz w:val="18"/>
      <w:szCs w:val="18"/>
    </w:rPr>
  </w:style>
  <w:style w:type="character" w:customStyle="1" w:styleId="ListParagraphChar">
    <w:name w:val="List Paragraph Char"/>
    <w:aliases w:val="List1 Char,List Paragraph1 Char,Numbered Indented Text Char,List Paragraph Char Char Char Char,List Paragraph Char Char Char1,Bullet 1 Char,lp1 Char,List Paragraph11 Char,List Paragraph (numbered (a)) Char,Bullet Styles para Char"/>
    <w:uiPriority w:val="99"/>
    <w:rPr>
      <w:color w:val="1C1C1C"/>
    </w:rPr>
  </w:style>
  <w:style w:type="character" w:customStyle="1" w:styleId="CaptionChar">
    <w:name w:val="Caption Char"/>
    <w:aliases w:val="~Caption Char,Tabellen Char,Exr Char,Figure Caption Char,Char1 Char, Char1 Char"/>
    <w:basedOn w:val="DefaultParagraphFont"/>
    <w:rPr>
      <w:iCs/>
      <w:color w:val="002B7F"/>
      <w:szCs w:val="18"/>
    </w:rPr>
  </w:style>
  <w:style w:type="character" w:customStyle="1" w:styleId="FootnoteTextChar2">
    <w:name w:val="Footnote Text Char2"/>
    <w:basedOn w:val="DefaultParagraphFont"/>
    <w:rPr>
      <w:rFonts w:ascii="Verdana" w:hAnsi="Verdana"/>
      <w:sz w:val="16"/>
      <w:szCs w:val="16"/>
      <w:lang w:val="en-GB"/>
    </w:rPr>
  </w:style>
  <w:style w:type="paragraph" w:customStyle="1" w:styleId="Default">
    <w:name w:val="Default"/>
    <w:pPr>
      <w:suppressAutoHyphens/>
      <w:autoSpaceDE w:val="0"/>
      <w:spacing w:before="0" w:after="0"/>
      <w:jc w:val="left"/>
    </w:pPr>
    <w:rPr>
      <w:rFonts w:ascii="Times New Roman" w:hAnsi="Times New Roman"/>
      <w:color w:val="000000"/>
      <w:sz w:val="24"/>
      <w:szCs w:val="24"/>
    </w:rPr>
  </w:style>
  <w:style w:type="paragraph" w:customStyle="1" w:styleId="Listavietas2">
    <w:name w:val="Lista viñetas 2"/>
    <w:basedOn w:val="Normal"/>
    <w:pPr>
      <w:numPr>
        <w:numId w:val="11"/>
      </w:numPr>
      <w:suppressAutoHyphens w:val="0"/>
      <w:spacing w:before="0" w:after="0"/>
      <w:jc w:val="left"/>
      <w:textAlignment w:val="auto"/>
    </w:pPr>
    <w:rPr>
      <w:rFonts w:ascii="Times New Roman" w:eastAsia="Times New Roman" w:hAnsi="Times New Roman"/>
      <w:color w:val="auto"/>
      <w:sz w:val="24"/>
      <w:szCs w:val="24"/>
      <w:lang w:val="es-ES" w:eastAsia="es-ES"/>
    </w:rPr>
  </w:style>
  <w:style w:type="paragraph" w:customStyle="1" w:styleId="Char2">
    <w:name w:val="Char2"/>
    <w:basedOn w:val="Normal"/>
    <w:uiPriority w:val="99"/>
    <w:pPr>
      <w:suppressAutoHyphens w:val="0"/>
      <w:spacing w:before="0" w:after="160" w:line="240" w:lineRule="exact"/>
      <w:jc w:val="left"/>
      <w:textAlignment w:val="auto"/>
    </w:pPr>
    <w:rPr>
      <w:color w:val="auto"/>
      <w:sz w:val="18"/>
      <w:vertAlign w:val="superscript"/>
    </w:rPr>
  </w:style>
  <w:style w:type="paragraph" w:styleId="NormalWeb">
    <w:name w:val="Normal (Web)"/>
    <w:basedOn w:val="Normal"/>
    <w:uiPriority w:val="99"/>
    <w:pPr>
      <w:suppressAutoHyphens w:val="0"/>
      <w:spacing w:before="100" w:after="100"/>
      <w:jc w:val="left"/>
      <w:textAlignment w:val="auto"/>
    </w:pPr>
    <w:rPr>
      <w:rFonts w:ascii="Times New Roman" w:eastAsia="Times New Roman" w:hAnsi="Times New Roman"/>
      <w:color w:val="auto"/>
      <w:sz w:val="24"/>
      <w:szCs w:val="24"/>
      <w:lang w:eastAsia="en-GB"/>
    </w:rPr>
  </w:style>
  <w:style w:type="character" w:customStyle="1" w:styleId="Heading6Char">
    <w:name w:val="Heading 6 Char"/>
    <w:basedOn w:val="DefaultParagraphFont"/>
    <w:rPr>
      <w:rFonts w:ascii="Calibri Light" w:eastAsia="Times New Roman" w:hAnsi="Calibri Light" w:cs="Times New Roman"/>
      <w:color w:val="1F4D78"/>
    </w:rPr>
  </w:style>
  <w:style w:type="character" w:styleId="CommentReference">
    <w:name w:val="annotation reference"/>
    <w:basedOn w:val="DefaultParagraphFont"/>
    <w:uiPriority w:val="99"/>
    <w:rPr>
      <w:sz w:val="16"/>
      <w:szCs w:val="16"/>
    </w:rPr>
  </w:style>
  <w:style w:type="paragraph" w:styleId="CommentText">
    <w:name w:val="annotation text"/>
    <w:basedOn w:val="Normal"/>
    <w:uiPriority w:val="99"/>
    <w:rPr>
      <w:sz w:val="20"/>
      <w:szCs w:val="20"/>
    </w:rPr>
  </w:style>
  <w:style w:type="character" w:customStyle="1" w:styleId="CommentTextChar">
    <w:name w:val="Comment Text Char"/>
    <w:basedOn w:val="DefaultParagraphFont"/>
    <w:uiPriority w:val="99"/>
    <w:rPr>
      <w:color w:val="1C1C1C"/>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color w:val="1C1C1C"/>
      <w:sz w:val="20"/>
      <w:szCs w:val="20"/>
    </w:rPr>
  </w:style>
  <w:style w:type="character" w:styleId="FollowedHyperlink">
    <w:name w:val="FollowedHyperlink"/>
    <w:basedOn w:val="DefaultParagraphFont"/>
    <w:uiPriority w:val="99"/>
    <w:rPr>
      <w:color w:val="954F72"/>
      <w:u w:val="single"/>
    </w:rPr>
  </w:style>
  <w:style w:type="numbering" w:customStyle="1" w:styleId="WWOutlineListStyle2">
    <w:name w:val="WW_OutlineListStyle_2"/>
    <w:basedOn w:val="NoList"/>
    <w:pPr>
      <w:numPr>
        <w:numId w:val="2"/>
      </w:numPr>
    </w:pPr>
  </w:style>
  <w:style w:type="numbering" w:customStyle="1" w:styleId="WWOutlineListStyle1">
    <w:name w:val="WW_OutlineListStyle_1"/>
    <w:basedOn w:val="NoList"/>
    <w:pPr>
      <w:numPr>
        <w:numId w:val="3"/>
      </w:numPr>
    </w:pPr>
  </w:style>
  <w:style w:type="numbering" w:customStyle="1" w:styleId="WWOutlineListStyle">
    <w:name w:val="WW_OutlineListStyle"/>
    <w:basedOn w:val="NoList"/>
    <w:pPr>
      <w:numPr>
        <w:numId w:val="4"/>
      </w:numPr>
    </w:pPr>
  </w:style>
  <w:style w:type="numbering" w:customStyle="1" w:styleId="LFO3">
    <w:name w:val="LFO3"/>
    <w:basedOn w:val="NoList"/>
    <w:pPr>
      <w:numPr>
        <w:numId w:val="5"/>
      </w:numPr>
    </w:pPr>
  </w:style>
  <w:style w:type="numbering" w:customStyle="1" w:styleId="LFO4">
    <w:name w:val="LFO4"/>
    <w:basedOn w:val="NoList"/>
    <w:pPr>
      <w:numPr>
        <w:numId w:val="6"/>
      </w:numPr>
    </w:pPr>
  </w:style>
  <w:style w:type="numbering" w:customStyle="1" w:styleId="LFO5">
    <w:name w:val="LFO5"/>
    <w:basedOn w:val="NoList"/>
    <w:pPr>
      <w:numPr>
        <w:numId w:val="7"/>
      </w:numPr>
    </w:pPr>
  </w:style>
  <w:style w:type="numbering" w:customStyle="1" w:styleId="LFO8">
    <w:name w:val="LFO8"/>
    <w:basedOn w:val="NoList"/>
    <w:pPr>
      <w:numPr>
        <w:numId w:val="8"/>
      </w:numPr>
    </w:pPr>
  </w:style>
  <w:style w:type="numbering" w:customStyle="1" w:styleId="LFO9">
    <w:name w:val="LFO9"/>
    <w:basedOn w:val="NoList"/>
    <w:pPr>
      <w:numPr>
        <w:numId w:val="9"/>
      </w:numPr>
    </w:pPr>
  </w:style>
  <w:style w:type="numbering" w:customStyle="1" w:styleId="LFO10">
    <w:name w:val="LFO10"/>
    <w:basedOn w:val="NoList"/>
    <w:pPr>
      <w:numPr>
        <w:numId w:val="10"/>
      </w:numPr>
    </w:pPr>
  </w:style>
  <w:style w:type="numbering" w:customStyle="1" w:styleId="LFO15">
    <w:name w:val="LFO15"/>
    <w:basedOn w:val="NoList"/>
    <w:pPr>
      <w:numPr>
        <w:numId w:val="11"/>
      </w:numPr>
    </w:pPr>
  </w:style>
  <w:style w:type="table" w:customStyle="1" w:styleId="PlainTable51">
    <w:name w:val="Plain Table 51"/>
    <w:basedOn w:val="TableNormal"/>
    <w:uiPriority w:val="45"/>
    <w:rsid w:val="00AB6B67"/>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AB6B6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eGrid">
    <w:name w:val="Table Grid"/>
    <w:basedOn w:val="TableNormal"/>
    <w:uiPriority w:val="39"/>
    <w:rsid w:val="006F3AB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6F3AB0"/>
    <w:pPr>
      <w:spacing w:after="0"/>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LFO2">
    <w:name w:val="LFO2"/>
    <w:basedOn w:val="NoList"/>
    <w:rsid w:val="0082270B"/>
    <w:pPr>
      <w:numPr>
        <w:numId w:val="12"/>
      </w:numPr>
    </w:pPr>
  </w:style>
  <w:style w:type="table" w:customStyle="1" w:styleId="GridTable4-Accent11">
    <w:name w:val="Grid Table 4 - Accent 11"/>
    <w:basedOn w:val="TableNormal"/>
    <w:uiPriority w:val="49"/>
    <w:rsid w:val="00197914"/>
    <w:pPr>
      <w:spacing w:after="0"/>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Theme">
    <w:name w:val="Table Theme"/>
    <w:basedOn w:val="TableNormal"/>
    <w:uiPriority w:val="99"/>
    <w:semiHidden/>
    <w:unhideWhenUsed/>
    <w:rsid w:val="00D0295B"/>
    <w:pPr>
      <w:autoSpaceDN/>
      <w:spacing w:before="0" w:after="0"/>
      <w:textAlignment w:val="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uiPriority w:val="99"/>
    <w:semiHidden/>
    <w:unhideWhenUsed/>
    <w:rsid w:val="00D0295B"/>
    <w:pPr>
      <w:autoSpaceDN/>
      <w:spacing w:before="0" w:after="0"/>
      <w:textAlignment w:val="auto"/>
    </w:pPr>
    <w:rPr>
      <w:rFonts w:eastAsiaTheme="minorHAnsi" w:cstheme="minorBid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List1">
    <w:name w:val="Table List 1"/>
    <w:basedOn w:val="TableNormal"/>
    <w:uiPriority w:val="99"/>
    <w:semiHidden/>
    <w:unhideWhenUsed/>
    <w:rsid w:val="00D0295B"/>
    <w:pPr>
      <w:autoSpaceDN/>
      <w:spacing w:before="0" w:after="0"/>
      <w:textAlignment w:val="auto"/>
    </w:pPr>
    <w:rPr>
      <w:rFonts w:eastAsiaTheme="minorHAnsi" w:cstheme="minorBid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0295B"/>
    <w:pPr>
      <w:autoSpaceDN/>
      <w:spacing w:before="0" w:after="0"/>
      <w:textAlignment w:val="auto"/>
    </w:pPr>
    <w:rPr>
      <w:rFonts w:eastAsiaTheme="minorHAnsi" w:cstheme="minorBid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D0295B"/>
    <w:pPr>
      <w:autoSpaceDN/>
      <w:spacing w:before="0" w:after="0"/>
      <w:textAlignment w:val="auto"/>
    </w:pPr>
    <w:rPr>
      <w:rFonts w:eastAsiaTheme="minorHAnsi" w:cstheme="minorBid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semiHidden/>
    <w:unhideWhenUsed/>
    <w:rsid w:val="00D0295B"/>
    <w:pPr>
      <w:autoSpaceDN/>
      <w:spacing w:before="0" w:after="0"/>
      <w:textAlignment w:val="auto"/>
    </w:pPr>
    <w:rPr>
      <w:rFonts w:eastAsiaTheme="minorHAnsi" w:cstheme="minorBid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1">
    <w:name w:val="Table Columns 1"/>
    <w:basedOn w:val="TableNormal"/>
    <w:uiPriority w:val="99"/>
    <w:semiHidden/>
    <w:unhideWhenUsed/>
    <w:rsid w:val="00D0295B"/>
    <w:pPr>
      <w:autoSpaceDN/>
      <w:spacing w:before="0" w:after="0"/>
      <w:textAlignment w:val="auto"/>
    </w:pPr>
    <w:rPr>
      <w:rFonts w:eastAsiaTheme="minorHAnsi" w:cstheme="minorBid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0295B"/>
    <w:pPr>
      <w:autoSpaceDN/>
      <w:spacing w:before="0" w:after="0"/>
      <w:textAlignment w:val="auto"/>
    </w:pPr>
    <w:rPr>
      <w:rFonts w:eastAsiaTheme="minorHAnsi" w:cstheme="minorBid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0295B"/>
    <w:pPr>
      <w:autoSpaceDN/>
      <w:spacing w:before="0" w:after="0"/>
      <w:textAlignment w:val="auto"/>
    </w:pPr>
    <w:rPr>
      <w:rFonts w:eastAsiaTheme="minorHAnsi" w:cstheme="minorBid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uiPriority w:val="99"/>
    <w:semiHidden/>
    <w:unhideWhenUsed/>
    <w:rsid w:val="00D0295B"/>
    <w:pPr>
      <w:autoSpaceDN/>
      <w:spacing w:before="0" w:after="0"/>
      <w:textAlignment w:val="auto"/>
    </w:pPr>
    <w:rPr>
      <w:rFonts w:eastAsiaTheme="minorHAnsi" w:cstheme="minorBid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PlainTable11">
    <w:name w:val="Plain Table 11"/>
    <w:basedOn w:val="TableNormal"/>
    <w:uiPriority w:val="41"/>
    <w:rsid w:val="00D0295B"/>
    <w:pPr>
      <w:autoSpaceDN/>
      <w:spacing w:after="0"/>
      <w:textAlignment w:val="auto"/>
    </w:pPr>
    <w:rPr>
      <w:rFonts w:eastAsia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Accent21">
    <w:name w:val="Grid Table 6 Colorful - Accent 21"/>
    <w:basedOn w:val="TableNormal"/>
    <w:uiPriority w:val="51"/>
    <w:rsid w:val="00D0295B"/>
    <w:pPr>
      <w:autoSpaceDN/>
      <w:spacing w:after="0"/>
      <w:textAlignment w:val="auto"/>
    </w:pPr>
    <w:rPr>
      <w:rFonts w:eastAsiaTheme="minorHAnsi" w:cstheme="minorBidi"/>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MRCTable">
    <w:name w:val="MRC Table"/>
    <w:basedOn w:val="TableNormal"/>
    <w:uiPriority w:val="99"/>
    <w:rsid w:val="00D0295B"/>
    <w:pPr>
      <w:keepNext/>
      <w:keepLines/>
      <w:autoSpaceDN/>
      <w:spacing w:before="0" w:after="0"/>
      <w:jc w:val="left"/>
      <w:textAlignment w:val="auto"/>
    </w:pPr>
    <w:rPr>
      <w:rFonts w:eastAsiaTheme="minorHAnsi" w:cstheme="minorBidi"/>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tblBorders>
      <w:tblCellMar>
        <w:left w:w="57" w:type="dxa"/>
        <w:right w:w="57" w:type="dxa"/>
      </w:tblCellMar>
    </w:tblPr>
    <w:tblStylePr w:type="firstRow">
      <w:pPr>
        <w:keepNext/>
        <w:keepLines/>
        <w:widowControl/>
        <w:wordWrap/>
        <w:spacing w:beforeLines="0" w:before="0" w:beforeAutospacing="0" w:afterLines="0" w:after="0" w:afterAutospacing="0"/>
        <w:jc w:val="center"/>
      </w:pPr>
      <w:rPr>
        <w:b/>
        <w:i w:val="0"/>
      </w:rPr>
      <w:tblPr/>
      <w:tcPr>
        <w:tcBorders>
          <w:top w:val="single" w:sz="4" w:space="0" w:color="FFC000" w:themeColor="accent4"/>
          <w:left w:val="single" w:sz="4" w:space="0" w:color="FFC000" w:themeColor="accent4"/>
          <w:bottom w:val="double" w:sz="4" w:space="0" w:color="FFC000" w:themeColor="accent4"/>
          <w:right w:val="single" w:sz="4" w:space="0" w:color="FFC000" w:themeColor="accent4"/>
          <w:insideH w:val="nil"/>
          <w:insideV w:val="nil"/>
          <w:tl2br w:val="nil"/>
          <w:tr2bl w:val="nil"/>
        </w:tcBorders>
      </w:tcPr>
    </w:tblStylePr>
    <w:tblStylePr w:type="lastRow">
      <w:pPr>
        <w:wordWrap/>
        <w:jc w:val="center"/>
      </w:pPr>
      <w:rPr>
        <w:b/>
        <w:i w:val="0"/>
      </w:rPr>
      <w:tblPr/>
      <w:tcPr>
        <w:tcBorders>
          <w:top w:val="double" w:sz="4" w:space="0" w:color="FFC000" w:themeColor="accent4"/>
          <w:left w:val="single" w:sz="4" w:space="0" w:color="FFC000" w:themeColor="accent4"/>
          <w:bottom w:val="single" w:sz="4" w:space="0" w:color="FFC000" w:themeColor="accent4"/>
          <w:right w:val="single" w:sz="4" w:space="0" w:color="FFC000" w:themeColor="accent4"/>
          <w:insideH w:val="nil"/>
          <w:insideV w:val="nil"/>
          <w:tl2br w:val="nil"/>
          <w:tr2bl w:val="nil"/>
        </w:tcBorders>
      </w:tcPr>
    </w:tblStylePr>
    <w:tblStylePr w:type="firstCol">
      <w:pPr>
        <w:wordWrap/>
        <w:jc w:val="left"/>
      </w:pPr>
      <w:rPr>
        <w:b/>
        <w:i w:val="0"/>
      </w:rPr>
    </w:tblStylePr>
    <w:tblStylePr w:type="lastCol">
      <w:rPr>
        <w:b/>
        <w:i w:val="0"/>
      </w:rPr>
    </w:tblStylePr>
    <w:tblStylePr w:type="band1Horz">
      <w:pPr>
        <w:wordWrap/>
        <w:jc w:val="center"/>
      </w:p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l2br w:val="nil"/>
          <w:tr2bl w:val="nil"/>
        </w:tcBorders>
      </w:tcPr>
    </w:tblStylePr>
    <w:tblStylePr w:type="band2Horz">
      <w:pPr>
        <w:wordWrap/>
        <w:jc w:val="center"/>
      </w:p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l2br w:val="nil"/>
          <w:tr2bl w:val="nil"/>
        </w:tcBorders>
        <w:shd w:val="solid" w:color="E7E6E6" w:themeColor="background2" w:fill="F2F2F2" w:themeFill="background1" w:themeFillShade="F2"/>
      </w:tcPr>
    </w:tblStylePr>
  </w:style>
  <w:style w:type="table" w:customStyle="1" w:styleId="MRCTable2">
    <w:name w:val="MRC Table 2"/>
    <w:basedOn w:val="MRCTable"/>
    <w:uiPriority w:val="99"/>
    <w:rsid w:val="00D0295B"/>
    <w:tblPr>
      <w:tblBorders>
        <w:top w:val="none" w:sz="0" w:space="0" w:color="auto"/>
        <w:left w:val="none" w:sz="0" w:space="0" w:color="auto"/>
        <w:bottom w:val="none" w:sz="0" w:space="0" w:color="auto"/>
        <w:right w:val="none" w:sz="0" w:space="0" w:color="auto"/>
        <w:insideH w:val="none" w:sz="0" w:space="0" w:color="auto"/>
        <w:insideV w:val="single" w:sz="4" w:space="0" w:color="FFC000" w:themeColor="accent4"/>
      </w:tblBorders>
    </w:tblPr>
    <w:tblStylePr w:type="firstRow">
      <w:pPr>
        <w:keepNext/>
        <w:keepLines/>
        <w:widowControl/>
        <w:wordWrap/>
        <w:spacing w:beforeLines="0" w:before="0" w:beforeAutospacing="0" w:afterLines="0" w:after="0" w:afterAutospacing="0"/>
        <w:jc w:val="center"/>
      </w:pPr>
      <w:rPr>
        <w:b/>
        <w:i w:val="0"/>
      </w:rPr>
      <w:tblPr/>
      <w:tcPr>
        <w:tcBorders>
          <w:top w:val="single" w:sz="4" w:space="0" w:color="FFC000" w:themeColor="accent4"/>
          <w:left w:val="single" w:sz="4" w:space="0" w:color="FFC000" w:themeColor="accent4"/>
          <w:bottom w:val="double" w:sz="4" w:space="0" w:color="FFC000" w:themeColor="accent4"/>
          <w:right w:val="single" w:sz="4" w:space="0" w:color="FFC000" w:themeColor="accent4"/>
          <w:insideH w:val="nil"/>
          <w:insideV w:val="single" w:sz="4" w:space="0" w:color="FFC000" w:themeColor="accent4"/>
          <w:tl2br w:val="nil"/>
          <w:tr2bl w:val="nil"/>
        </w:tcBorders>
      </w:tcPr>
    </w:tblStylePr>
    <w:tblStylePr w:type="lastRow">
      <w:pPr>
        <w:wordWrap/>
        <w:jc w:val="center"/>
      </w:pPr>
      <w:rPr>
        <w:b/>
        <w:i w:val="0"/>
      </w:rPr>
      <w:tblPr/>
      <w:tcPr>
        <w:tcBorders>
          <w:top w:val="double" w:sz="4" w:space="0" w:color="FFC000" w:themeColor="accent4"/>
          <w:left w:val="single" w:sz="4" w:space="0" w:color="FFC000" w:themeColor="accent4"/>
          <w:bottom w:val="single" w:sz="4" w:space="0" w:color="FFC000" w:themeColor="accent4"/>
          <w:right w:val="single" w:sz="4" w:space="0" w:color="FFC000" w:themeColor="accent4"/>
          <w:insideH w:val="nil"/>
          <w:insideV w:val="single" w:sz="4" w:space="0" w:color="FFC000" w:themeColor="accent4"/>
          <w:tl2br w:val="nil"/>
          <w:tr2bl w:val="nil"/>
        </w:tcBorders>
      </w:tcPr>
    </w:tblStylePr>
    <w:tblStylePr w:type="firstCol">
      <w:pPr>
        <w:wordWrap/>
        <w:jc w:val="left"/>
      </w:pPr>
      <w:rPr>
        <w:b/>
        <w:i w:val="0"/>
      </w:rPr>
    </w:tblStylePr>
    <w:tblStylePr w:type="lastCol">
      <w:rPr>
        <w:b/>
        <w:i w:val="0"/>
      </w:rPr>
    </w:tblStylePr>
    <w:tblStylePr w:type="band1Horz">
      <w:pPr>
        <w:wordWrap/>
        <w:jc w:val="center"/>
      </w:p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l2br w:val="nil"/>
          <w:tr2bl w:val="nil"/>
        </w:tcBorders>
      </w:tcPr>
    </w:tblStylePr>
    <w:tblStylePr w:type="band2Horz">
      <w:pPr>
        <w:wordWrap/>
        <w:jc w:val="center"/>
      </w:p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l2br w:val="nil"/>
          <w:tr2bl w:val="nil"/>
        </w:tcBorders>
        <w:shd w:val="solid" w:color="E7E6E6" w:themeColor="background2" w:fill="F2F2F2" w:themeFill="background1" w:themeFillShade="F2"/>
      </w:tcPr>
    </w:tblStylePr>
  </w:style>
  <w:style w:type="paragraph" w:customStyle="1" w:styleId="Source">
    <w:name w:val="Source"/>
    <w:link w:val="SourceChar"/>
    <w:qFormat/>
    <w:rsid w:val="00D0295B"/>
    <w:pPr>
      <w:autoSpaceDN/>
      <w:spacing w:before="60"/>
      <w:jc w:val="left"/>
      <w:textAlignment w:val="auto"/>
    </w:pPr>
    <w:rPr>
      <w:rFonts w:eastAsia="Times New Roman" w:cs="Tahoma"/>
      <w:i/>
      <w:sz w:val="18"/>
      <w:szCs w:val="16"/>
      <w:lang w:eastAsia="es-ES"/>
    </w:rPr>
  </w:style>
  <w:style w:type="character" w:customStyle="1" w:styleId="SourceChar">
    <w:name w:val="Source Char"/>
    <w:basedOn w:val="DefaultParagraphFont"/>
    <w:link w:val="Source"/>
    <w:rsid w:val="00D0295B"/>
    <w:rPr>
      <w:rFonts w:eastAsia="Times New Roman" w:cs="Tahoma"/>
      <w:i/>
      <w:sz w:val="18"/>
      <w:szCs w:val="16"/>
      <w:lang w:eastAsia="es-ES"/>
    </w:rPr>
  </w:style>
  <w:style w:type="table" w:customStyle="1" w:styleId="LightShading-Accent11">
    <w:name w:val="Light Shading - Accent 11"/>
    <w:basedOn w:val="TableNormal"/>
    <w:uiPriority w:val="60"/>
    <w:rsid w:val="00D0295B"/>
    <w:pPr>
      <w:autoSpaceDN/>
      <w:spacing w:before="0" w:after="0"/>
      <w:jc w:val="center"/>
      <w:textAlignment w:val="auto"/>
    </w:pPr>
    <w:rPr>
      <w:rFonts w:eastAsia="Times New Roman"/>
      <w:szCs w:val="20"/>
      <w:lang w:val="es-ES" w:eastAsia="es-ES"/>
    </w:rPr>
    <w:tblPr>
      <w:tblStyleRowBandSize w:val="1"/>
      <w:tblStyleColBandSize w:val="1"/>
      <w:tblBorders>
        <w:top w:val="single" w:sz="8" w:space="0" w:color="ED7D31" w:themeColor="accent2"/>
        <w:bottom w:val="single" w:sz="8" w:space="0" w:color="ED7D31" w:themeColor="accent2"/>
      </w:tblBorders>
    </w:tblPr>
    <w:tcPr>
      <w:vAlign w:val="center"/>
    </w:tcPr>
    <w:tblStylePr w:type="firstRow">
      <w:pPr>
        <w:spacing w:before="0" w:after="0" w:line="240" w:lineRule="auto"/>
      </w:pPr>
      <w:rPr>
        <w:rFonts w:ascii="Calibri" w:hAnsi="Calibri"/>
        <w:b/>
        <w:bCs/>
        <w:sz w:val="22"/>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rFonts w:ascii="Calibri" w:hAnsi="Calibri"/>
        <w:b/>
        <w:bCs/>
        <w:sz w:val="22"/>
      </w:rPr>
      <w:tblPr/>
      <w:tcPr>
        <w:tcBorders>
          <w:top w:val="single" w:sz="8" w:space="0" w:color="ED7D31" w:themeColor="accent2"/>
          <w:left w:val="nil"/>
          <w:bottom w:val="single" w:sz="8" w:space="0" w:color="ED7D31" w:themeColor="accent2"/>
          <w:right w:val="nil"/>
          <w:insideH w:val="nil"/>
          <w:insideV w:val="nil"/>
        </w:tcBorders>
      </w:tcPr>
    </w:tblStylePr>
    <w:tblStylePr w:type="firstCol">
      <w:rPr>
        <w:rFonts w:ascii="Calibri" w:hAnsi="Calibri"/>
        <w:b/>
        <w:bCs/>
        <w:sz w:val="22"/>
      </w:rPr>
    </w:tblStylePr>
    <w:tblStylePr w:type="lastCol">
      <w:rPr>
        <w:rFonts w:ascii="Calibri" w:hAnsi="Calibri"/>
        <w:b/>
        <w:bCs/>
        <w:sz w:val="22"/>
      </w:rPr>
    </w:tblStylePr>
    <w:tblStylePr w:type="band1Vert">
      <w:rPr>
        <w:rFonts w:ascii="Calibri" w:hAnsi="Calibri"/>
        <w:sz w:val="22"/>
      </w:rPr>
      <w:tblPr/>
      <w:tcPr>
        <w:shd w:val="clear" w:color="auto" w:fill="E7E6E6" w:themeFill="background2"/>
      </w:tcPr>
    </w:tblStylePr>
    <w:tblStylePr w:type="band2Vert">
      <w:rPr>
        <w:rFonts w:ascii="Calibri" w:hAnsi="Calibri"/>
        <w:sz w:val="22"/>
      </w:rPr>
    </w:tblStylePr>
    <w:tblStylePr w:type="band1Horz">
      <w:rPr>
        <w:rFonts w:ascii="Calibri" w:hAnsi="Calibri"/>
        <w:sz w:val="22"/>
      </w:rPr>
      <w:tblPr/>
      <w:tcPr>
        <w:shd w:val="clear" w:color="auto" w:fill="E7E6E6" w:themeFill="background2"/>
      </w:tcPr>
    </w:tblStylePr>
    <w:tblStylePr w:type="band2Horz">
      <w:rPr>
        <w:rFonts w:ascii="Calibri" w:hAnsi="Calibri"/>
        <w:sz w:val="22"/>
      </w:rPr>
    </w:tblStylePr>
    <w:tblStylePr w:type="neCell">
      <w:rPr>
        <w:rFonts w:ascii="Calibri" w:hAnsi="Calibri"/>
        <w:sz w:val="22"/>
      </w:rPr>
    </w:tblStylePr>
    <w:tblStylePr w:type="nwCell">
      <w:rPr>
        <w:rFonts w:ascii="Calibri" w:hAnsi="Calibri"/>
        <w:sz w:val="22"/>
      </w:rPr>
    </w:tblStylePr>
    <w:tblStylePr w:type="seCell">
      <w:rPr>
        <w:rFonts w:ascii="Calibri" w:hAnsi="Calibri"/>
        <w:sz w:val="22"/>
      </w:rPr>
    </w:tblStylePr>
    <w:tblStylePr w:type="swCell">
      <w:rPr>
        <w:rFonts w:ascii="Calibri" w:hAnsi="Calibri"/>
        <w:sz w:val="22"/>
      </w:rPr>
    </w:tblStylePr>
  </w:style>
  <w:style w:type="paragraph" w:customStyle="1" w:styleId="Exrnumberedlist">
    <w:name w:val="Exr numbered list"/>
    <w:basedOn w:val="ListParagraph"/>
    <w:qFormat/>
    <w:rsid w:val="00D0295B"/>
    <w:pPr>
      <w:numPr>
        <w:numId w:val="13"/>
      </w:numPr>
      <w:tabs>
        <w:tab w:val="left" w:pos="567"/>
      </w:tabs>
      <w:suppressAutoHyphens w:val="0"/>
      <w:autoSpaceDN/>
      <w:spacing w:after="240" w:line="276" w:lineRule="auto"/>
      <w:contextualSpacing/>
      <w:textAlignment w:val="auto"/>
    </w:pPr>
    <w:rPr>
      <w:rFonts w:ascii="Arial" w:eastAsia="Times New Roman" w:hAnsi="Arial"/>
      <w:color w:val="auto"/>
      <w:szCs w:val="20"/>
    </w:rPr>
  </w:style>
  <w:style w:type="character" w:customStyle="1" w:styleId="longtext">
    <w:name w:val="long_text"/>
    <w:basedOn w:val="DefaultParagraphFont"/>
    <w:rsid w:val="00D0295B"/>
  </w:style>
  <w:style w:type="table" w:customStyle="1" w:styleId="ListTable3-Accent11">
    <w:name w:val="List Table 3 - Accent 11"/>
    <w:basedOn w:val="TableNormal"/>
    <w:uiPriority w:val="48"/>
    <w:rsid w:val="00D0295B"/>
    <w:pPr>
      <w:autoSpaceDN/>
      <w:spacing w:after="0"/>
      <w:textAlignment w:val="auto"/>
    </w:pPr>
    <w:rPr>
      <w:rFonts w:eastAsiaTheme="minorHAnsi" w:cstheme="minorBidi"/>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Listaletras2">
    <w:name w:val="Lista letras 2"/>
    <w:basedOn w:val="Normal"/>
    <w:uiPriority w:val="99"/>
    <w:rsid w:val="00D0295B"/>
    <w:pPr>
      <w:numPr>
        <w:numId w:val="14"/>
      </w:numPr>
      <w:suppressAutoHyphens w:val="0"/>
      <w:autoSpaceDN/>
      <w:textAlignment w:val="auto"/>
    </w:pPr>
    <w:rPr>
      <w:rFonts w:ascii="Verdana" w:eastAsia="Times New Roman" w:hAnsi="Verdana"/>
      <w:color w:val="auto"/>
      <w:sz w:val="18"/>
      <w:szCs w:val="18"/>
      <w:lang w:eastAsia="es-ES"/>
    </w:rPr>
  </w:style>
  <w:style w:type="paragraph" w:styleId="Revision">
    <w:name w:val="Revision"/>
    <w:hidden/>
    <w:uiPriority w:val="99"/>
    <w:semiHidden/>
    <w:rsid w:val="00D0295B"/>
    <w:pPr>
      <w:autoSpaceDN/>
      <w:spacing w:before="0" w:after="0"/>
      <w:jc w:val="left"/>
      <w:textAlignment w:val="auto"/>
    </w:pPr>
    <w:rPr>
      <w:color w:val="1C1C1C"/>
    </w:rPr>
  </w:style>
  <w:style w:type="paragraph" w:customStyle="1" w:styleId="Style1">
    <w:name w:val="Style1"/>
    <w:basedOn w:val="Normal"/>
    <w:link w:val="Style1Char"/>
    <w:qFormat/>
    <w:rsid w:val="00D0295B"/>
  </w:style>
  <w:style w:type="paragraph" w:customStyle="1" w:styleId="MAX">
    <w:name w:val="MAX"/>
    <w:basedOn w:val="Heading1"/>
    <w:link w:val="MAXChar"/>
    <w:qFormat/>
    <w:rsid w:val="00D0295B"/>
    <w:pPr>
      <w:numPr>
        <w:numId w:val="15"/>
      </w:numPr>
      <w:spacing w:before="1920"/>
      <w:ind w:left="720"/>
    </w:pPr>
  </w:style>
  <w:style w:type="character" w:customStyle="1" w:styleId="Style1Char">
    <w:name w:val="Style1 Char"/>
    <w:basedOn w:val="DefaultParagraphFont"/>
    <w:link w:val="Style1"/>
    <w:rsid w:val="00D0295B"/>
    <w:rPr>
      <w:color w:val="1C1C1C"/>
    </w:rPr>
  </w:style>
  <w:style w:type="character" w:customStyle="1" w:styleId="Heading1Char1">
    <w:name w:val="Heading 1 Char1"/>
    <w:aliases w:val="1 Char1,FIAS Char1,Headline Char1,ARTICULO 1º Char1,h1 Char1,Section Heading Char1,HEADING 1 Char1,Section Char1,LetHead1 Char1,MisHead1 Char1,Normalhead1 Char1,l1 Char1,Normal Heading 1 Char1,Z_hanging_1 Char1,SZRptH1 Char1,TITRE Char"/>
    <w:basedOn w:val="DefaultParagraphFont"/>
    <w:link w:val="Heading1"/>
    <w:rsid w:val="00D0295B"/>
    <w:rPr>
      <w:rFonts w:eastAsia="Times New Roman"/>
      <w:smallCaps/>
      <w:color w:val="002B7F"/>
      <w:sz w:val="34"/>
      <w:szCs w:val="32"/>
    </w:rPr>
  </w:style>
  <w:style w:type="character" w:customStyle="1" w:styleId="MAXChar">
    <w:name w:val="MAX Char"/>
    <w:basedOn w:val="Heading1Char1"/>
    <w:link w:val="MAX"/>
    <w:rsid w:val="00D0295B"/>
    <w:rPr>
      <w:rFonts w:eastAsia="Times New Roman"/>
      <w:smallCaps/>
      <w:color w:val="002B7F"/>
      <w:sz w:val="34"/>
      <w:szCs w:val="32"/>
    </w:rPr>
  </w:style>
  <w:style w:type="paragraph" w:styleId="TOC6">
    <w:name w:val="toc 6"/>
    <w:basedOn w:val="Normal"/>
    <w:next w:val="Normal"/>
    <w:autoRedefine/>
    <w:uiPriority w:val="39"/>
    <w:unhideWhenUsed/>
    <w:rsid w:val="00C34F14"/>
    <w:pPr>
      <w:suppressAutoHyphens w:val="0"/>
      <w:autoSpaceDN/>
      <w:spacing w:before="0" w:after="100" w:line="259" w:lineRule="auto"/>
      <w:ind w:left="1100"/>
      <w:jc w:val="left"/>
      <w:textAlignment w:val="auto"/>
    </w:pPr>
    <w:rPr>
      <w:rFonts w:asciiTheme="minorHAnsi" w:eastAsiaTheme="minorEastAsia" w:hAnsiTheme="minorHAnsi" w:cstheme="minorBidi"/>
      <w:color w:val="auto"/>
      <w:lang w:eastAsia="en-GB"/>
    </w:rPr>
  </w:style>
  <w:style w:type="paragraph" w:styleId="TOC7">
    <w:name w:val="toc 7"/>
    <w:basedOn w:val="Normal"/>
    <w:next w:val="Normal"/>
    <w:autoRedefine/>
    <w:uiPriority w:val="39"/>
    <w:unhideWhenUsed/>
    <w:rsid w:val="00C34F14"/>
    <w:pPr>
      <w:suppressAutoHyphens w:val="0"/>
      <w:autoSpaceDN/>
      <w:spacing w:before="0" w:after="100" w:line="259" w:lineRule="auto"/>
      <w:ind w:left="1320"/>
      <w:jc w:val="left"/>
      <w:textAlignment w:val="auto"/>
    </w:pPr>
    <w:rPr>
      <w:rFonts w:asciiTheme="minorHAnsi" w:eastAsiaTheme="minorEastAsia" w:hAnsiTheme="minorHAnsi" w:cstheme="minorBidi"/>
      <w:color w:val="auto"/>
      <w:lang w:eastAsia="en-GB"/>
    </w:rPr>
  </w:style>
  <w:style w:type="paragraph" w:styleId="TOC8">
    <w:name w:val="toc 8"/>
    <w:basedOn w:val="Normal"/>
    <w:next w:val="Normal"/>
    <w:autoRedefine/>
    <w:uiPriority w:val="39"/>
    <w:unhideWhenUsed/>
    <w:rsid w:val="00C34F14"/>
    <w:pPr>
      <w:suppressAutoHyphens w:val="0"/>
      <w:autoSpaceDN/>
      <w:spacing w:before="0" w:after="100" w:line="259" w:lineRule="auto"/>
      <w:ind w:left="1540"/>
      <w:jc w:val="left"/>
      <w:textAlignment w:val="auto"/>
    </w:pPr>
    <w:rPr>
      <w:rFonts w:asciiTheme="minorHAnsi" w:eastAsiaTheme="minorEastAsia" w:hAnsiTheme="minorHAnsi" w:cstheme="minorBidi"/>
      <w:color w:val="auto"/>
      <w:lang w:eastAsia="en-GB"/>
    </w:rPr>
  </w:style>
  <w:style w:type="paragraph" w:styleId="TOC9">
    <w:name w:val="toc 9"/>
    <w:basedOn w:val="Normal"/>
    <w:next w:val="Normal"/>
    <w:autoRedefine/>
    <w:uiPriority w:val="39"/>
    <w:unhideWhenUsed/>
    <w:rsid w:val="00C34F14"/>
    <w:pPr>
      <w:suppressAutoHyphens w:val="0"/>
      <w:autoSpaceDN/>
      <w:spacing w:before="0" w:after="100" w:line="259" w:lineRule="auto"/>
      <w:ind w:left="1760"/>
      <w:jc w:val="left"/>
      <w:textAlignment w:val="auto"/>
    </w:pPr>
    <w:rPr>
      <w:rFonts w:asciiTheme="minorHAnsi" w:eastAsiaTheme="minorEastAsia" w:hAnsiTheme="minorHAnsi" w:cstheme="minorBidi"/>
      <w:color w:val="auto"/>
      <w:lang w:eastAsia="en-GB"/>
    </w:rPr>
  </w:style>
  <w:style w:type="table" w:customStyle="1" w:styleId="TableGrid10">
    <w:name w:val="Table Grid1"/>
    <w:basedOn w:val="TableNormal"/>
    <w:next w:val="TableGrid"/>
    <w:uiPriority w:val="39"/>
    <w:rsid w:val="005A4F68"/>
    <w:pPr>
      <w:autoSpaceDN/>
      <w:spacing w:before="0" w:after="0"/>
      <w:jc w:val="left"/>
      <w:textAlignment w:val="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0362A"/>
    <w:pPr>
      <w:autoSpaceDN/>
      <w:spacing w:before="0" w:after="0"/>
      <w:jc w:val="left"/>
      <w:textAlignment w:val="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0number">
    <w:name w:val="Point 0 (number)"/>
    <w:basedOn w:val="Normal"/>
    <w:rsid w:val="00657EB1"/>
    <w:pPr>
      <w:numPr>
        <w:numId w:val="22"/>
      </w:numPr>
      <w:suppressAutoHyphens w:val="0"/>
      <w:autoSpaceDN/>
      <w:textAlignment w:val="auto"/>
    </w:pPr>
    <w:rPr>
      <w:rFonts w:ascii="Times New Roman" w:eastAsiaTheme="minorHAnsi" w:hAnsi="Times New Roman"/>
      <w:color w:val="auto"/>
      <w:sz w:val="24"/>
    </w:rPr>
  </w:style>
  <w:style w:type="paragraph" w:customStyle="1" w:styleId="Point1number">
    <w:name w:val="Point 1 (number)"/>
    <w:basedOn w:val="Normal"/>
    <w:rsid w:val="00657EB1"/>
    <w:pPr>
      <w:numPr>
        <w:ilvl w:val="2"/>
        <w:numId w:val="22"/>
      </w:numPr>
      <w:suppressAutoHyphens w:val="0"/>
      <w:autoSpaceDN/>
      <w:textAlignment w:val="auto"/>
    </w:pPr>
    <w:rPr>
      <w:rFonts w:ascii="Times New Roman" w:eastAsiaTheme="minorHAnsi" w:hAnsi="Times New Roman"/>
      <w:color w:val="auto"/>
      <w:sz w:val="24"/>
    </w:rPr>
  </w:style>
  <w:style w:type="paragraph" w:customStyle="1" w:styleId="Point2number">
    <w:name w:val="Point 2 (number)"/>
    <w:basedOn w:val="Normal"/>
    <w:rsid w:val="00657EB1"/>
    <w:pPr>
      <w:numPr>
        <w:ilvl w:val="4"/>
        <w:numId w:val="22"/>
      </w:numPr>
      <w:suppressAutoHyphens w:val="0"/>
      <w:autoSpaceDN/>
      <w:textAlignment w:val="auto"/>
    </w:pPr>
    <w:rPr>
      <w:rFonts w:ascii="Times New Roman" w:eastAsiaTheme="minorHAnsi" w:hAnsi="Times New Roman"/>
      <w:color w:val="auto"/>
      <w:sz w:val="24"/>
    </w:rPr>
  </w:style>
  <w:style w:type="paragraph" w:customStyle="1" w:styleId="Point3number">
    <w:name w:val="Point 3 (number)"/>
    <w:basedOn w:val="Normal"/>
    <w:rsid w:val="00657EB1"/>
    <w:pPr>
      <w:numPr>
        <w:ilvl w:val="6"/>
        <w:numId w:val="22"/>
      </w:numPr>
      <w:suppressAutoHyphens w:val="0"/>
      <w:autoSpaceDN/>
      <w:textAlignment w:val="auto"/>
    </w:pPr>
    <w:rPr>
      <w:rFonts w:ascii="Times New Roman" w:eastAsiaTheme="minorHAnsi" w:hAnsi="Times New Roman"/>
      <w:color w:val="auto"/>
      <w:sz w:val="24"/>
    </w:rPr>
  </w:style>
  <w:style w:type="paragraph" w:customStyle="1" w:styleId="Point0letter">
    <w:name w:val="Point 0 (letter)"/>
    <w:basedOn w:val="Normal"/>
    <w:rsid w:val="00657EB1"/>
    <w:pPr>
      <w:numPr>
        <w:ilvl w:val="1"/>
        <w:numId w:val="22"/>
      </w:numPr>
      <w:suppressAutoHyphens w:val="0"/>
      <w:autoSpaceDN/>
      <w:textAlignment w:val="auto"/>
    </w:pPr>
    <w:rPr>
      <w:rFonts w:ascii="Times New Roman" w:eastAsiaTheme="minorHAnsi" w:hAnsi="Times New Roman"/>
      <w:color w:val="auto"/>
      <w:sz w:val="24"/>
    </w:rPr>
  </w:style>
  <w:style w:type="paragraph" w:customStyle="1" w:styleId="Point1letter">
    <w:name w:val="Point 1 (letter)"/>
    <w:basedOn w:val="Normal"/>
    <w:rsid w:val="00657EB1"/>
    <w:pPr>
      <w:numPr>
        <w:ilvl w:val="3"/>
        <w:numId w:val="22"/>
      </w:numPr>
      <w:suppressAutoHyphens w:val="0"/>
      <w:autoSpaceDN/>
      <w:textAlignment w:val="auto"/>
    </w:pPr>
    <w:rPr>
      <w:rFonts w:ascii="Times New Roman" w:eastAsiaTheme="minorHAnsi" w:hAnsi="Times New Roman"/>
      <w:color w:val="auto"/>
      <w:sz w:val="24"/>
    </w:rPr>
  </w:style>
  <w:style w:type="paragraph" w:customStyle="1" w:styleId="Point2letter">
    <w:name w:val="Point 2 (letter)"/>
    <w:basedOn w:val="Normal"/>
    <w:rsid w:val="00657EB1"/>
    <w:pPr>
      <w:numPr>
        <w:ilvl w:val="5"/>
        <w:numId w:val="22"/>
      </w:numPr>
      <w:suppressAutoHyphens w:val="0"/>
      <w:autoSpaceDN/>
      <w:textAlignment w:val="auto"/>
    </w:pPr>
    <w:rPr>
      <w:rFonts w:ascii="Times New Roman" w:eastAsiaTheme="minorHAnsi" w:hAnsi="Times New Roman"/>
      <w:color w:val="auto"/>
      <w:sz w:val="24"/>
    </w:rPr>
  </w:style>
  <w:style w:type="paragraph" w:customStyle="1" w:styleId="Point3letter">
    <w:name w:val="Point 3 (letter)"/>
    <w:basedOn w:val="Normal"/>
    <w:rsid w:val="00657EB1"/>
    <w:pPr>
      <w:numPr>
        <w:ilvl w:val="7"/>
        <w:numId w:val="22"/>
      </w:numPr>
      <w:suppressAutoHyphens w:val="0"/>
      <w:autoSpaceDN/>
      <w:textAlignment w:val="auto"/>
    </w:pPr>
    <w:rPr>
      <w:rFonts w:ascii="Times New Roman" w:eastAsiaTheme="minorHAnsi" w:hAnsi="Times New Roman"/>
      <w:color w:val="auto"/>
      <w:sz w:val="24"/>
    </w:rPr>
  </w:style>
  <w:style w:type="paragraph" w:customStyle="1" w:styleId="Point4letter">
    <w:name w:val="Point 4 (letter)"/>
    <w:basedOn w:val="Normal"/>
    <w:rsid w:val="00657EB1"/>
    <w:pPr>
      <w:numPr>
        <w:ilvl w:val="8"/>
        <w:numId w:val="22"/>
      </w:numPr>
      <w:suppressAutoHyphens w:val="0"/>
      <w:autoSpaceDN/>
      <w:textAlignment w:val="auto"/>
    </w:pPr>
    <w:rPr>
      <w:rFonts w:ascii="Times New Roman" w:eastAsiaTheme="minorHAnsi" w:hAnsi="Times New Roman"/>
      <w:color w:val="auto"/>
      <w:sz w:val="24"/>
    </w:rPr>
  </w:style>
  <w:style w:type="table" w:customStyle="1" w:styleId="TableGrid3">
    <w:name w:val="Table Grid3"/>
    <w:basedOn w:val="TableNormal"/>
    <w:next w:val="TableGrid"/>
    <w:uiPriority w:val="39"/>
    <w:rsid w:val="00E8734D"/>
    <w:pPr>
      <w:autoSpaceDN/>
      <w:spacing w:before="0" w:after="0"/>
      <w:jc w:val="left"/>
      <w:textAlignment w:val="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D771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14488">
      <w:bodyDiv w:val="1"/>
      <w:marLeft w:val="0"/>
      <w:marRight w:val="0"/>
      <w:marTop w:val="0"/>
      <w:marBottom w:val="0"/>
      <w:divBdr>
        <w:top w:val="none" w:sz="0" w:space="0" w:color="auto"/>
        <w:left w:val="none" w:sz="0" w:space="0" w:color="auto"/>
        <w:bottom w:val="none" w:sz="0" w:space="0" w:color="auto"/>
        <w:right w:val="none" w:sz="0" w:space="0" w:color="auto"/>
      </w:divBdr>
    </w:div>
    <w:div w:id="115949512">
      <w:bodyDiv w:val="1"/>
      <w:marLeft w:val="0"/>
      <w:marRight w:val="0"/>
      <w:marTop w:val="0"/>
      <w:marBottom w:val="0"/>
      <w:divBdr>
        <w:top w:val="none" w:sz="0" w:space="0" w:color="auto"/>
        <w:left w:val="none" w:sz="0" w:space="0" w:color="auto"/>
        <w:bottom w:val="none" w:sz="0" w:space="0" w:color="auto"/>
        <w:right w:val="none" w:sz="0" w:space="0" w:color="auto"/>
      </w:divBdr>
    </w:div>
    <w:div w:id="175921278">
      <w:bodyDiv w:val="1"/>
      <w:marLeft w:val="0"/>
      <w:marRight w:val="0"/>
      <w:marTop w:val="0"/>
      <w:marBottom w:val="0"/>
      <w:divBdr>
        <w:top w:val="none" w:sz="0" w:space="0" w:color="auto"/>
        <w:left w:val="none" w:sz="0" w:space="0" w:color="auto"/>
        <w:bottom w:val="none" w:sz="0" w:space="0" w:color="auto"/>
        <w:right w:val="none" w:sz="0" w:space="0" w:color="auto"/>
      </w:divBdr>
    </w:div>
    <w:div w:id="238368744">
      <w:bodyDiv w:val="1"/>
      <w:marLeft w:val="0"/>
      <w:marRight w:val="0"/>
      <w:marTop w:val="0"/>
      <w:marBottom w:val="0"/>
      <w:divBdr>
        <w:top w:val="none" w:sz="0" w:space="0" w:color="auto"/>
        <w:left w:val="none" w:sz="0" w:space="0" w:color="auto"/>
        <w:bottom w:val="none" w:sz="0" w:space="0" w:color="auto"/>
        <w:right w:val="none" w:sz="0" w:space="0" w:color="auto"/>
      </w:divBdr>
    </w:div>
    <w:div w:id="313069908">
      <w:bodyDiv w:val="1"/>
      <w:marLeft w:val="0"/>
      <w:marRight w:val="0"/>
      <w:marTop w:val="0"/>
      <w:marBottom w:val="0"/>
      <w:divBdr>
        <w:top w:val="none" w:sz="0" w:space="0" w:color="auto"/>
        <w:left w:val="none" w:sz="0" w:space="0" w:color="auto"/>
        <w:bottom w:val="none" w:sz="0" w:space="0" w:color="auto"/>
        <w:right w:val="none" w:sz="0" w:space="0" w:color="auto"/>
      </w:divBdr>
    </w:div>
    <w:div w:id="366296639">
      <w:bodyDiv w:val="1"/>
      <w:marLeft w:val="0"/>
      <w:marRight w:val="0"/>
      <w:marTop w:val="0"/>
      <w:marBottom w:val="0"/>
      <w:divBdr>
        <w:top w:val="none" w:sz="0" w:space="0" w:color="auto"/>
        <w:left w:val="none" w:sz="0" w:space="0" w:color="auto"/>
        <w:bottom w:val="none" w:sz="0" w:space="0" w:color="auto"/>
        <w:right w:val="none" w:sz="0" w:space="0" w:color="auto"/>
      </w:divBdr>
    </w:div>
    <w:div w:id="397822276">
      <w:bodyDiv w:val="1"/>
      <w:marLeft w:val="0"/>
      <w:marRight w:val="0"/>
      <w:marTop w:val="0"/>
      <w:marBottom w:val="0"/>
      <w:divBdr>
        <w:top w:val="none" w:sz="0" w:space="0" w:color="auto"/>
        <w:left w:val="none" w:sz="0" w:space="0" w:color="auto"/>
        <w:bottom w:val="none" w:sz="0" w:space="0" w:color="auto"/>
        <w:right w:val="none" w:sz="0" w:space="0" w:color="auto"/>
      </w:divBdr>
    </w:div>
    <w:div w:id="521088146">
      <w:bodyDiv w:val="1"/>
      <w:marLeft w:val="0"/>
      <w:marRight w:val="0"/>
      <w:marTop w:val="0"/>
      <w:marBottom w:val="0"/>
      <w:divBdr>
        <w:top w:val="none" w:sz="0" w:space="0" w:color="auto"/>
        <w:left w:val="none" w:sz="0" w:space="0" w:color="auto"/>
        <w:bottom w:val="none" w:sz="0" w:space="0" w:color="auto"/>
        <w:right w:val="none" w:sz="0" w:space="0" w:color="auto"/>
      </w:divBdr>
    </w:div>
    <w:div w:id="522673668">
      <w:bodyDiv w:val="1"/>
      <w:marLeft w:val="0"/>
      <w:marRight w:val="0"/>
      <w:marTop w:val="0"/>
      <w:marBottom w:val="0"/>
      <w:divBdr>
        <w:top w:val="none" w:sz="0" w:space="0" w:color="auto"/>
        <w:left w:val="none" w:sz="0" w:space="0" w:color="auto"/>
        <w:bottom w:val="none" w:sz="0" w:space="0" w:color="auto"/>
        <w:right w:val="none" w:sz="0" w:space="0" w:color="auto"/>
      </w:divBdr>
    </w:div>
    <w:div w:id="654259258">
      <w:bodyDiv w:val="1"/>
      <w:marLeft w:val="0"/>
      <w:marRight w:val="0"/>
      <w:marTop w:val="0"/>
      <w:marBottom w:val="0"/>
      <w:divBdr>
        <w:top w:val="none" w:sz="0" w:space="0" w:color="auto"/>
        <w:left w:val="none" w:sz="0" w:space="0" w:color="auto"/>
        <w:bottom w:val="none" w:sz="0" w:space="0" w:color="auto"/>
        <w:right w:val="none" w:sz="0" w:space="0" w:color="auto"/>
      </w:divBdr>
    </w:div>
    <w:div w:id="717625185">
      <w:bodyDiv w:val="1"/>
      <w:marLeft w:val="0"/>
      <w:marRight w:val="0"/>
      <w:marTop w:val="0"/>
      <w:marBottom w:val="0"/>
      <w:divBdr>
        <w:top w:val="none" w:sz="0" w:space="0" w:color="auto"/>
        <w:left w:val="none" w:sz="0" w:space="0" w:color="auto"/>
        <w:bottom w:val="none" w:sz="0" w:space="0" w:color="auto"/>
        <w:right w:val="none" w:sz="0" w:space="0" w:color="auto"/>
      </w:divBdr>
    </w:div>
    <w:div w:id="717970633">
      <w:bodyDiv w:val="1"/>
      <w:marLeft w:val="0"/>
      <w:marRight w:val="0"/>
      <w:marTop w:val="0"/>
      <w:marBottom w:val="0"/>
      <w:divBdr>
        <w:top w:val="none" w:sz="0" w:space="0" w:color="auto"/>
        <w:left w:val="none" w:sz="0" w:space="0" w:color="auto"/>
        <w:bottom w:val="none" w:sz="0" w:space="0" w:color="auto"/>
        <w:right w:val="none" w:sz="0" w:space="0" w:color="auto"/>
      </w:divBdr>
    </w:div>
    <w:div w:id="753279958">
      <w:bodyDiv w:val="1"/>
      <w:marLeft w:val="0"/>
      <w:marRight w:val="0"/>
      <w:marTop w:val="0"/>
      <w:marBottom w:val="0"/>
      <w:divBdr>
        <w:top w:val="none" w:sz="0" w:space="0" w:color="auto"/>
        <w:left w:val="none" w:sz="0" w:space="0" w:color="auto"/>
        <w:bottom w:val="none" w:sz="0" w:space="0" w:color="auto"/>
        <w:right w:val="none" w:sz="0" w:space="0" w:color="auto"/>
      </w:divBdr>
    </w:div>
    <w:div w:id="835342572">
      <w:bodyDiv w:val="1"/>
      <w:marLeft w:val="0"/>
      <w:marRight w:val="0"/>
      <w:marTop w:val="0"/>
      <w:marBottom w:val="0"/>
      <w:divBdr>
        <w:top w:val="none" w:sz="0" w:space="0" w:color="auto"/>
        <w:left w:val="none" w:sz="0" w:space="0" w:color="auto"/>
        <w:bottom w:val="none" w:sz="0" w:space="0" w:color="auto"/>
        <w:right w:val="none" w:sz="0" w:space="0" w:color="auto"/>
      </w:divBdr>
    </w:div>
    <w:div w:id="881139167">
      <w:bodyDiv w:val="1"/>
      <w:marLeft w:val="0"/>
      <w:marRight w:val="0"/>
      <w:marTop w:val="0"/>
      <w:marBottom w:val="0"/>
      <w:divBdr>
        <w:top w:val="none" w:sz="0" w:space="0" w:color="auto"/>
        <w:left w:val="none" w:sz="0" w:space="0" w:color="auto"/>
        <w:bottom w:val="none" w:sz="0" w:space="0" w:color="auto"/>
        <w:right w:val="none" w:sz="0" w:space="0" w:color="auto"/>
      </w:divBdr>
    </w:div>
    <w:div w:id="983704842">
      <w:bodyDiv w:val="1"/>
      <w:marLeft w:val="0"/>
      <w:marRight w:val="0"/>
      <w:marTop w:val="0"/>
      <w:marBottom w:val="0"/>
      <w:divBdr>
        <w:top w:val="none" w:sz="0" w:space="0" w:color="auto"/>
        <w:left w:val="none" w:sz="0" w:space="0" w:color="auto"/>
        <w:bottom w:val="none" w:sz="0" w:space="0" w:color="auto"/>
        <w:right w:val="none" w:sz="0" w:space="0" w:color="auto"/>
      </w:divBdr>
    </w:div>
    <w:div w:id="1054812161">
      <w:bodyDiv w:val="1"/>
      <w:marLeft w:val="0"/>
      <w:marRight w:val="0"/>
      <w:marTop w:val="0"/>
      <w:marBottom w:val="0"/>
      <w:divBdr>
        <w:top w:val="none" w:sz="0" w:space="0" w:color="auto"/>
        <w:left w:val="none" w:sz="0" w:space="0" w:color="auto"/>
        <w:bottom w:val="none" w:sz="0" w:space="0" w:color="auto"/>
        <w:right w:val="none" w:sz="0" w:space="0" w:color="auto"/>
      </w:divBdr>
    </w:div>
    <w:div w:id="1055856901">
      <w:bodyDiv w:val="1"/>
      <w:marLeft w:val="0"/>
      <w:marRight w:val="0"/>
      <w:marTop w:val="0"/>
      <w:marBottom w:val="0"/>
      <w:divBdr>
        <w:top w:val="none" w:sz="0" w:space="0" w:color="auto"/>
        <w:left w:val="none" w:sz="0" w:space="0" w:color="auto"/>
        <w:bottom w:val="none" w:sz="0" w:space="0" w:color="auto"/>
        <w:right w:val="none" w:sz="0" w:space="0" w:color="auto"/>
      </w:divBdr>
    </w:div>
    <w:div w:id="1126511205">
      <w:bodyDiv w:val="1"/>
      <w:marLeft w:val="0"/>
      <w:marRight w:val="0"/>
      <w:marTop w:val="0"/>
      <w:marBottom w:val="0"/>
      <w:divBdr>
        <w:top w:val="none" w:sz="0" w:space="0" w:color="auto"/>
        <w:left w:val="none" w:sz="0" w:space="0" w:color="auto"/>
        <w:bottom w:val="none" w:sz="0" w:space="0" w:color="auto"/>
        <w:right w:val="none" w:sz="0" w:space="0" w:color="auto"/>
      </w:divBdr>
    </w:div>
    <w:div w:id="1200514403">
      <w:bodyDiv w:val="1"/>
      <w:marLeft w:val="0"/>
      <w:marRight w:val="0"/>
      <w:marTop w:val="0"/>
      <w:marBottom w:val="0"/>
      <w:divBdr>
        <w:top w:val="none" w:sz="0" w:space="0" w:color="auto"/>
        <w:left w:val="none" w:sz="0" w:space="0" w:color="auto"/>
        <w:bottom w:val="none" w:sz="0" w:space="0" w:color="auto"/>
        <w:right w:val="none" w:sz="0" w:space="0" w:color="auto"/>
      </w:divBdr>
    </w:div>
    <w:div w:id="1334914911">
      <w:bodyDiv w:val="1"/>
      <w:marLeft w:val="0"/>
      <w:marRight w:val="0"/>
      <w:marTop w:val="0"/>
      <w:marBottom w:val="0"/>
      <w:divBdr>
        <w:top w:val="none" w:sz="0" w:space="0" w:color="auto"/>
        <w:left w:val="none" w:sz="0" w:space="0" w:color="auto"/>
        <w:bottom w:val="none" w:sz="0" w:space="0" w:color="auto"/>
        <w:right w:val="none" w:sz="0" w:space="0" w:color="auto"/>
      </w:divBdr>
    </w:div>
    <w:div w:id="1412195392">
      <w:bodyDiv w:val="1"/>
      <w:marLeft w:val="0"/>
      <w:marRight w:val="0"/>
      <w:marTop w:val="0"/>
      <w:marBottom w:val="0"/>
      <w:divBdr>
        <w:top w:val="none" w:sz="0" w:space="0" w:color="auto"/>
        <w:left w:val="none" w:sz="0" w:space="0" w:color="auto"/>
        <w:bottom w:val="none" w:sz="0" w:space="0" w:color="auto"/>
        <w:right w:val="none" w:sz="0" w:space="0" w:color="auto"/>
      </w:divBdr>
    </w:div>
    <w:div w:id="1413433720">
      <w:bodyDiv w:val="1"/>
      <w:marLeft w:val="0"/>
      <w:marRight w:val="0"/>
      <w:marTop w:val="0"/>
      <w:marBottom w:val="0"/>
      <w:divBdr>
        <w:top w:val="none" w:sz="0" w:space="0" w:color="auto"/>
        <w:left w:val="none" w:sz="0" w:space="0" w:color="auto"/>
        <w:bottom w:val="none" w:sz="0" w:space="0" w:color="auto"/>
        <w:right w:val="none" w:sz="0" w:space="0" w:color="auto"/>
      </w:divBdr>
    </w:div>
    <w:div w:id="1527983908">
      <w:bodyDiv w:val="1"/>
      <w:marLeft w:val="0"/>
      <w:marRight w:val="0"/>
      <w:marTop w:val="0"/>
      <w:marBottom w:val="0"/>
      <w:divBdr>
        <w:top w:val="none" w:sz="0" w:space="0" w:color="auto"/>
        <w:left w:val="none" w:sz="0" w:space="0" w:color="auto"/>
        <w:bottom w:val="none" w:sz="0" w:space="0" w:color="auto"/>
        <w:right w:val="none" w:sz="0" w:space="0" w:color="auto"/>
      </w:divBdr>
    </w:div>
    <w:div w:id="1549562864">
      <w:bodyDiv w:val="1"/>
      <w:marLeft w:val="0"/>
      <w:marRight w:val="0"/>
      <w:marTop w:val="0"/>
      <w:marBottom w:val="0"/>
      <w:divBdr>
        <w:top w:val="none" w:sz="0" w:space="0" w:color="auto"/>
        <w:left w:val="none" w:sz="0" w:space="0" w:color="auto"/>
        <w:bottom w:val="none" w:sz="0" w:space="0" w:color="auto"/>
        <w:right w:val="none" w:sz="0" w:space="0" w:color="auto"/>
      </w:divBdr>
    </w:div>
    <w:div w:id="1586573906">
      <w:bodyDiv w:val="1"/>
      <w:marLeft w:val="0"/>
      <w:marRight w:val="0"/>
      <w:marTop w:val="0"/>
      <w:marBottom w:val="0"/>
      <w:divBdr>
        <w:top w:val="none" w:sz="0" w:space="0" w:color="auto"/>
        <w:left w:val="none" w:sz="0" w:space="0" w:color="auto"/>
        <w:bottom w:val="none" w:sz="0" w:space="0" w:color="auto"/>
        <w:right w:val="none" w:sz="0" w:space="0" w:color="auto"/>
      </w:divBdr>
    </w:div>
    <w:div w:id="1684045268">
      <w:bodyDiv w:val="1"/>
      <w:marLeft w:val="0"/>
      <w:marRight w:val="0"/>
      <w:marTop w:val="0"/>
      <w:marBottom w:val="0"/>
      <w:divBdr>
        <w:top w:val="none" w:sz="0" w:space="0" w:color="auto"/>
        <w:left w:val="none" w:sz="0" w:space="0" w:color="auto"/>
        <w:bottom w:val="none" w:sz="0" w:space="0" w:color="auto"/>
        <w:right w:val="none" w:sz="0" w:space="0" w:color="auto"/>
      </w:divBdr>
    </w:div>
    <w:div w:id="1685278801">
      <w:bodyDiv w:val="1"/>
      <w:marLeft w:val="0"/>
      <w:marRight w:val="0"/>
      <w:marTop w:val="0"/>
      <w:marBottom w:val="0"/>
      <w:divBdr>
        <w:top w:val="none" w:sz="0" w:space="0" w:color="auto"/>
        <w:left w:val="none" w:sz="0" w:space="0" w:color="auto"/>
        <w:bottom w:val="none" w:sz="0" w:space="0" w:color="auto"/>
        <w:right w:val="none" w:sz="0" w:space="0" w:color="auto"/>
      </w:divBdr>
    </w:div>
    <w:div w:id="1696495621">
      <w:bodyDiv w:val="1"/>
      <w:marLeft w:val="0"/>
      <w:marRight w:val="0"/>
      <w:marTop w:val="0"/>
      <w:marBottom w:val="0"/>
      <w:divBdr>
        <w:top w:val="none" w:sz="0" w:space="0" w:color="auto"/>
        <w:left w:val="none" w:sz="0" w:space="0" w:color="auto"/>
        <w:bottom w:val="none" w:sz="0" w:space="0" w:color="auto"/>
        <w:right w:val="none" w:sz="0" w:space="0" w:color="auto"/>
      </w:divBdr>
    </w:div>
    <w:div w:id="1742170533">
      <w:bodyDiv w:val="1"/>
      <w:marLeft w:val="0"/>
      <w:marRight w:val="0"/>
      <w:marTop w:val="0"/>
      <w:marBottom w:val="0"/>
      <w:divBdr>
        <w:top w:val="none" w:sz="0" w:space="0" w:color="auto"/>
        <w:left w:val="none" w:sz="0" w:space="0" w:color="auto"/>
        <w:bottom w:val="none" w:sz="0" w:space="0" w:color="auto"/>
        <w:right w:val="none" w:sz="0" w:space="0" w:color="auto"/>
      </w:divBdr>
    </w:div>
    <w:div w:id="1757818650">
      <w:bodyDiv w:val="1"/>
      <w:marLeft w:val="0"/>
      <w:marRight w:val="0"/>
      <w:marTop w:val="0"/>
      <w:marBottom w:val="0"/>
      <w:divBdr>
        <w:top w:val="none" w:sz="0" w:space="0" w:color="auto"/>
        <w:left w:val="none" w:sz="0" w:space="0" w:color="auto"/>
        <w:bottom w:val="none" w:sz="0" w:space="0" w:color="auto"/>
        <w:right w:val="none" w:sz="0" w:space="0" w:color="auto"/>
      </w:divBdr>
    </w:div>
    <w:div w:id="1838762101">
      <w:bodyDiv w:val="1"/>
      <w:marLeft w:val="0"/>
      <w:marRight w:val="0"/>
      <w:marTop w:val="0"/>
      <w:marBottom w:val="0"/>
      <w:divBdr>
        <w:top w:val="none" w:sz="0" w:space="0" w:color="auto"/>
        <w:left w:val="none" w:sz="0" w:space="0" w:color="auto"/>
        <w:bottom w:val="none" w:sz="0" w:space="0" w:color="auto"/>
        <w:right w:val="none" w:sz="0" w:space="0" w:color="auto"/>
      </w:divBdr>
    </w:div>
    <w:div w:id="1842234594">
      <w:bodyDiv w:val="1"/>
      <w:marLeft w:val="0"/>
      <w:marRight w:val="0"/>
      <w:marTop w:val="0"/>
      <w:marBottom w:val="0"/>
      <w:divBdr>
        <w:top w:val="none" w:sz="0" w:space="0" w:color="auto"/>
        <w:left w:val="none" w:sz="0" w:space="0" w:color="auto"/>
        <w:bottom w:val="none" w:sz="0" w:space="0" w:color="auto"/>
        <w:right w:val="none" w:sz="0" w:space="0" w:color="auto"/>
      </w:divBdr>
    </w:div>
    <w:div w:id="1908027148">
      <w:bodyDiv w:val="1"/>
      <w:marLeft w:val="0"/>
      <w:marRight w:val="0"/>
      <w:marTop w:val="0"/>
      <w:marBottom w:val="0"/>
      <w:divBdr>
        <w:top w:val="none" w:sz="0" w:space="0" w:color="auto"/>
        <w:left w:val="none" w:sz="0" w:space="0" w:color="auto"/>
        <w:bottom w:val="none" w:sz="0" w:space="0" w:color="auto"/>
        <w:right w:val="none" w:sz="0" w:space="0" w:color="auto"/>
      </w:divBdr>
    </w:div>
    <w:div w:id="1917668283">
      <w:bodyDiv w:val="1"/>
      <w:marLeft w:val="0"/>
      <w:marRight w:val="0"/>
      <w:marTop w:val="0"/>
      <w:marBottom w:val="0"/>
      <w:divBdr>
        <w:top w:val="none" w:sz="0" w:space="0" w:color="auto"/>
        <w:left w:val="none" w:sz="0" w:space="0" w:color="auto"/>
        <w:bottom w:val="none" w:sz="0" w:space="0" w:color="auto"/>
        <w:right w:val="none" w:sz="0" w:space="0" w:color="auto"/>
      </w:divBdr>
    </w:div>
    <w:div w:id="1922367716">
      <w:bodyDiv w:val="1"/>
      <w:marLeft w:val="0"/>
      <w:marRight w:val="0"/>
      <w:marTop w:val="0"/>
      <w:marBottom w:val="0"/>
      <w:divBdr>
        <w:top w:val="none" w:sz="0" w:space="0" w:color="auto"/>
        <w:left w:val="none" w:sz="0" w:space="0" w:color="auto"/>
        <w:bottom w:val="none" w:sz="0" w:space="0" w:color="auto"/>
        <w:right w:val="none" w:sz="0" w:space="0" w:color="auto"/>
      </w:divBdr>
    </w:div>
    <w:div w:id="1967392220">
      <w:bodyDiv w:val="1"/>
      <w:marLeft w:val="0"/>
      <w:marRight w:val="0"/>
      <w:marTop w:val="0"/>
      <w:marBottom w:val="0"/>
      <w:divBdr>
        <w:top w:val="none" w:sz="0" w:space="0" w:color="auto"/>
        <w:left w:val="none" w:sz="0" w:space="0" w:color="auto"/>
        <w:bottom w:val="none" w:sz="0" w:space="0" w:color="auto"/>
        <w:right w:val="none" w:sz="0" w:space="0" w:color="auto"/>
      </w:divBdr>
    </w:div>
    <w:div w:id="2023126165">
      <w:bodyDiv w:val="1"/>
      <w:marLeft w:val="0"/>
      <w:marRight w:val="0"/>
      <w:marTop w:val="0"/>
      <w:marBottom w:val="0"/>
      <w:divBdr>
        <w:top w:val="none" w:sz="0" w:space="0" w:color="auto"/>
        <w:left w:val="none" w:sz="0" w:space="0" w:color="auto"/>
        <w:bottom w:val="none" w:sz="0" w:space="0" w:color="auto"/>
        <w:right w:val="none" w:sz="0" w:space="0" w:color="auto"/>
      </w:divBdr>
    </w:div>
    <w:div w:id="2027900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emf"/><Relationship Id="rId26" Type="http://schemas.openxmlformats.org/officeDocument/2006/relationships/image" Target="media/image16.emf"/><Relationship Id="rId39" Type="http://schemas.openxmlformats.org/officeDocument/2006/relationships/package" Target="embeddings/Microsoft_PowerPoint_Presentation2.pptx"/><Relationship Id="rId21" Type="http://schemas.openxmlformats.org/officeDocument/2006/relationships/image" Target="media/image12.emf"/><Relationship Id="rId34" Type="http://schemas.openxmlformats.org/officeDocument/2006/relationships/image" Target="media/image22.emf"/><Relationship Id="rId42" Type="http://schemas.openxmlformats.org/officeDocument/2006/relationships/image" Target="media/image2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emf"/><Relationship Id="rId32" Type="http://schemas.openxmlformats.org/officeDocument/2006/relationships/image" Target="media/image20.emf"/><Relationship Id="rId37" Type="http://schemas.openxmlformats.org/officeDocument/2006/relationships/package" Target="embeddings/Microsoft_PowerPoint_Presentation.pptx"/><Relationship Id="rId40" Type="http://schemas.openxmlformats.org/officeDocument/2006/relationships/image" Target="media/image25.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3.emf"/><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19.jpg"/><Relationship Id="rId44"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chart" Target="charts/chart2.xml"/><Relationship Id="rId27" Type="http://schemas.openxmlformats.org/officeDocument/2006/relationships/image" Target="media/image17.emf"/><Relationship Id="rId30" Type="http://schemas.openxmlformats.org/officeDocument/2006/relationships/chart" Target="charts/chart4.xml"/><Relationship Id="rId35" Type="http://schemas.openxmlformats.org/officeDocument/2006/relationships/package" Target="embeddings/Microsoft_Word_Document.docx"/><Relationship Id="rId43" Type="http://schemas.openxmlformats.org/officeDocument/2006/relationships/image" Target="media/image27.emf"/><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1.png"/><Relationship Id="rId38" Type="http://schemas.openxmlformats.org/officeDocument/2006/relationships/image" Target="media/image24.emf"/><Relationship Id="rId46"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oleObject" Target="embeddings/oleObject3.bin"/></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System32\MRC%202016%20-%20Report%20Template%20v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US Lighting</a:t>
            </a:r>
            <a:r>
              <a:rPr lang="en-GB" baseline="0"/>
              <a:t> Standards (selection)</a:t>
            </a:r>
          </a:p>
          <a:p>
            <a:pPr>
              <a:defRPr sz="1400" b="0" i="0" u="none" strike="noStrike" kern="1200" spc="0" baseline="0">
                <a:solidFill>
                  <a:schemeClr val="tx1">
                    <a:lumMod val="65000"/>
                    <a:lumOff val="35000"/>
                  </a:schemeClr>
                </a:solidFill>
                <a:latin typeface="+mn-lt"/>
                <a:ea typeface="+mn-ea"/>
                <a:cs typeface="+mn-cs"/>
              </a:defRPr>
            </a:pPr>
            <a:r>
              <a:rPr lang="en-GB" baseline="0"/>
              <a:t>Lamp efficacy</a:t>
            </a:r>
            <a:endParaRPr lang="en-GB"/>
          </a:p>
        </c:rich>
      </c:tx>
      <c:overlay val="0"/>
      <c:spPr>
        <a:noFill/>
        <a:ln>
          <a:noFill/>
        </a:ln>
        <a:effectLst/>
      </c:spPr>
    </c:title>
    <c:autoTitleDeleted val="0"/>
    <c:plotArea>
      <c:layout>
        <c:manualLayout>
          <c:layoutTarget val="inner"/>
          <c:xMode val="edge"/>
          <c:yMode val="edge"/>
          <c:x val="0.12914646966737417"/>
          <c:y val="0.18601841929522123"/>
          <c:w val="0.50791471661541976"/>
          <c:h val="0.63250959014738539"/>
        </c:manualLayout>
      </c:layout>
      <c:scatterChart>
        <c:scatterStyle val="lineMarker"/>
        <c:varyColors val="0"/>
        <c:ser>
          <c:idx val="0"/>
          <c:order val="0"/>
          <c:tx>
            <c:v>Incandescent GSL</c:v>
          </c:tx>
          <c:spPr>
            <a:ln w="19050" cap="rnd">
              <a:solidFill>
                <a:srgbClr val="F86C6C"/>
              </a:solidFill>
              <a:round/>
            </a:ln>
            <a:effectLst/>
          </c:spPr>
          <c:marker>
            <c:symbol val="none"/>
          </c:marker>
          <c:xVal>
            <c:numRef>
              <c:f>'[Data-graficos 11 12 2017-v23.02.18+2lines.xlsx]Sheet1'!$W$7:$W$236</c:f>
              <c:numCache>
                <c:formatCode>General</c:formatCode>
                <c:ptCount val="23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pt idx="60">
                  <c:v>910</c:v>
                </c:pt>
                <c:pt idx="61">
                  <c:v>920</c:v>
                </c:pt>
                <c:pt idx="62">
                  <c:v>930</c:v>
                </c:pt>
                <c:pt idx="63">
                  <c:v>940</c:v>
                </c:pt>
                <c:pt idx="64">
                  <c:v>950</c:v>
                </c:pt>
                <c:pt idx="65">
                  <c:v>960</c:v>
                </c:pt>
                <c:pt idx="66">
                  <c:v>970</c:v>
                </c:pt>
                <c:pt idx="67">
                  <c:v>980</c:v>
                </c:pt>
                <c:pt idx="68">
                  <c:v>990</c:v>
                </c:pt>
                <c:pt idx="69">
                  <c:v>1000</c:v>
                </c:pt>
                <c:pt idx="70">
                  <c:v>1010</c:v>
                </c:pt>
                <c:pt idx="71">
                  <c:v>1020</c:v>
                </c:pt>
                <c:pt idx="72">
                  <c:v>1030</c:v>
                </c:pt>
                <c:pt idx="73">
                  <c:v>1040</c:v>
                </c:pt>
                <c:pt idx="74">
                  <c:v>1050</c:v>
                </c:pt>
                <c:pt idx="75">
                  <c:v>1060</c:v>
                </c:pt>
                <c:pt idx="76">
                  <c:v>1070</c:v>
                </c:pt>
                <c:pt idx="77">
                  <c:v>1080</c:v>
                </c:pt>
                <c:pt idx="78">
                  <c:v>1090</c:v>
                </c:pt>
                <c:pt idx="79">
                  <c:v>1100</c:v>
                </c:pt>
                <c:pt idx="80">
                  <c:v>1110</c:v>
                </c:pt>
                <c:pt idx="81">
                  <c:v>1120</c:v>
                </c:pt>
                <c:pt idx="82">
                  <c:v>1130</c:v>
                </c:pt>
                <c:pt idx="83">
                  <c:v>1140</c:v>
                </c:pt>
                <c:pt idx="84">
                  <c:v>1150</c:v>
                </c:pt>
                <c:pt idx="85">
                  <c:v>1160</c:v>
                </c:pt>
                <c:pt idx="86">
                  <c:v>1170</c:v>
                </c:pt>
                <c:pt idx="87">
                  <c:v>1180</c:v>
                </c:pt>
                <c:pt idx="88">
                  <c:v>1190</c:v>
                </c:pt>
                <c:pt idx="89">
                  <c:v>1200</c:v>
                </c:pt>
                <c:pt idx="90">
                  <c:v>1210</c:v>
                </c:pt>
                <c:pt idx="91">
                  <c:v>1220</c:v>
                </c:pt>
                <c:pt idx="92">
                  <c:v>1230</c:v>
                </c:pt>
                <c:pt idx="93">
                  <c:v>1240</c:v>
                </c:pt>
                <c:pt idx="94">
                  <c:v>1250</c:v>
                </c:pt>
                <c:pt idx="95">
                  <c:v>1260</c:v>
                </c:pt>
                <c:pt idx="96">
                  <c:v>1270</c:v>
                </c:pt>
                <c:pt idx="97">
                  <c:v>1280</c:v>
                </c:pt>
                <c:pt idx="98">
                  <c:v>1290</c:v>
                </c:pt>
                <c:pt idx="99">
                  <c:v>1300</c:v>
                </c:pt>
                <c:pt idx="100">
                  <c:v>1310</c:v>
                </c:pt>
                <c:pt idx="101">
                  <c:v>1320</c:v>
                </c:pt>
                <c:pt idx="102">
                  <c:v>1330</c:v>
                </c:pt>
                <c:pt idx="103">
                  <c:v>1340</c:v>
                </c:pt>
                <c:pt idx="104">
                  <c:v>1350</c:v>
                </c:pt>
                <c:pt idx="105">
                  <c:v>1360</c:v>
                </c:pt>
                <c:pt idx="106">
                  <c:v>1370</c:v>
                </c:pt>
                <c:pt idx="107">
                  <c:v>1380</c:v>
                </c:pt>
                <c:pt idx="108">
                  <c:v>1390</c:v>
                </c:pt>
                <c:pt idx="109">
                  <c:v>1400</c:v>
                </c:pt>
                <c:pt idx="110">
                  <c:v>1410</c:v>
                </c:pt>
                <c:pt idx="111">
                  <c:v>1420</c:v>
                </c:pt>
                <c:pt idx="112">
                  <c:v>1430</c:v>
                </c:pt>
                <c:pt idx="113">
                  <c:v>1440</c:v>
                </c:pt>
                <c:pt idx="114">
                  <c:v>1450</c:v>
                </c:pt>
                <c:pt idx="115">
                  <c:v>1460</c:v>
                </c:pt>
                <c:pt idx="116">
                  <c:v>1470</c:v>
                </c:pt>
                <c:pt idx="117">
                  <c:v>1480</c:v>
                </c:pt>
                <c:pt idx="118">
                  <c:v>1490</c:v>
                </c:pt>
                <c:pt idx="119">
                  <c:v>1500</c:v>
                </c:pt>
                <c:pt idx="120">
                  <c:v>1510</c:v>
                </c:pt>
                <c:pt idx="121">
                  <c:v>1520</c:v>
                </c:pt>
                <c:pt idx="122">
                  <c:v>1530</c:v>
                </c:pt>
                <c:pt idx="123">
                  <c:v>1540</c:v>
                </c:pt>
                <c:pt idx="124">
                  <c:v>1550</c:v>
                </c:pt>
                <c:pt idx="125">
                  <c:v>1560</c:v>
                </c:pt>
                <c:pt idx="126">
                  <c:v>1570</c:v>
                </c:pt>
                <c:pt idx="127">
                  <c:v>1580</c:v>
                </c:pt>
                <c:pt idx="128">
                  <c:v>1590</c:v>
                </c:pt>
                <c:pt idx="129">
                  <c:v>1600</c:v>
                </c:pt>
                <c:pt idx="130">
                  <c:v>1610</c:v>
                </c:pt>
                <c:pt idx="131">
                  <c:v>1620</c:v>
                </c:pt>
                <c:pt idx="132">
                  <c:v>1630</c:v>
                </c:pt>
                <c:pt idx="133">
                  <c:v>1640</c:v>
                </c:pt>
                <c:pt idx="134">
                  <c:v>1650</c:v>
                </c:pt>
                <c:pt idx="135">
                  <c:v>1660</c:v>
                </c:pt>
                <c:pt idx="136">
                  <c:v>1670</c:v>
                </c:pt>
                <c:pt idx="137">
                  <c:v>1680</c:v>
                </c:pt>
                <c:pt idx="138">
                  <c:v>1690</c:v>
                </c:pt>
                <c:pt idx="139">
                  <c:v>1700</c:v>
                </c:pt>
                <c:pt idx="140">
                  <c:v>1710</c:v>
                </c:pt>
                <c:pt idx="141">
                  <c:v>1720</c:v>
                </c:pt>
                <c:pt idx="142">
                  <c:v>1730</c:v>
                </c:pt>
                <c:pt idx="143">
                  <c:v>1740</c:v>
                </c:pt>
                <c:pt idx="144">
                  <c:v>1750</c:v>
                </c:pt>
                <c:pt idx="145">
                  <c:v>1760</c:v>
                </c:pt>
                <c:pt idx="146">
                  <c:v>1770</c:v>
                </c:pt>
                <c:pt idx="147">
                  <c:v>1780</c:v>
                </c:pt>
                <c:pt idx="148">
                  <c:v>1790</c:v>
                </c:pt>
                <c:pt idx="149">
                  <c:v>1800</c:v>
                </c:pt>
                <c:pt idx="150">
                  <c:v>1810</c:v>
                </c:pt>
                <c:pt idx="151">
                  <c:v>1820</c:v>
                </c:pt>
                <c:pt idx="152">
                  <c:v>1830</c:v>
                </c:pt>
                <c:pt idx="153">
                  <c:v>1840</c:v>
                </c:pt>
                <c:pt idx="154">
                  <c:v>1850</c:v>
                </c:pt>
                <c:pt idx="155">
                  <c:v>1860</c:v>
                </c:pt>
                <c:pt idx="156">
                  <c:v>1870</c:v>
                </c:pt>
                <c:pt idx="157">
                  <c:v>1880</c:v>
                </c:pt>
                <c:pt idx="158">
                  <c:v>1890</c:v>
                </c:pt>
                <c:pt idx="159">
                  <c:v>1900</c:v>
                </c:pt>
                <c:pt idx="160">
                  <c:v>1910</c:v>
                </c:pt>
                <c:pt idx="161">
                  <c:v>1920</c:v>
                </c:pt>
                <c:pt idx="162">
                  <c:v>1930</c:v>
                </c:pt>
                <c:pt idx="163">
                  <c:v>1940</c:v>
                </c:pt>
                <c:pt idx="164">
                  <c:v>1950</c:v>
                </c:pt>
                <c:pt idx="165">
                  <c:v>1960</c:v>
                </c:pt>
                <c:pt idx="166">
                  <c:v>1970</c:v>
                </c:pt>
                <c:pt idx="167">
                  <c:v>1980</c:v>
                </c:pt>
                <c:pt idx="168">
                  <c:v>1990</c:v>
                </c:pt>
                <c:pt idx="169">
                  <c:v>2000</c:v>
                </c:pt>
                <c:pt idx="170">
                  <c:v>2010</c:v>
                </c:pt>
                <c:pt idx="171">
                  <c:v>2020</c:v>
                </c:pt>
                <c:pt idx="172">
                  <c:v>2030</c:v>
                </c:pt>
                <c:pt idx="173">
                  <c:v>2040</c:v>
                </c:pt>
                <c:pt idx="174">
                  <c:v>2050</c:v>
                </c:pt>
                <c:pt idx="175">
                  <c:v>2060</c:v>
                </c:pt>
                <c:pt idx="176">
                  <c:v>2070</c:v>
                </c:pt>
                <c:pt idx="177">
                  <c:v>2080</c:v>
                </c:pt>
                <c:pt idx="178">
                  <c:v>2090</c:v>
                </c:pt>
                <c:pt idx="179">
                  <c:v>2100</c:v>
                </c:pt>
                <c:pt idx="180">
                  <c:v>2110</c:v>
                </c:pt>
                <c:pt idx="181">
                  <c:v>2120</c:v>
                </c:pt>
                <c:pt idx="182">
                  <c:v>2130</c:v>
                </c:pt>
                <c:pt idx="183">
                  <c:v>2140</c:v>
                </c:pt>
                <c:pt idx="184">
                  <c:v>2150</c:v>
                </c:pt>
                <c:pt idx="185">
                  <c:v>2160</c:v>
                </c:pt>
                <c:pt idx="186">
                  <c:v>2170</c:v>
                </c:pt>
                <c:pt idx="187">
                  <c:v>2180</c:v>
                </c:pt>
                <c:pt idx="188">
                  <c:v>2190</c:v>
                </c:pt>
                <c:pt idx="189">
                  <c:v>2200</c:v>
                </c:pt>
                <c:pt idx="190">
                  <c:v>2210</c:v>
                </c:pt>
                <c:pt idx="191">
                  <c:v>2220</c:v>
                </c:pt>
                <c:pt idx="192">
                  <c:v>2230</c:v>
                </c:pt>
                <c:pt idx="193">
                  <c:v>2240</c:v>
                </c:pt>
                <c:pt idx="194">
                  <c:v>2250</c:v>
                </c:pt>
                <c:pt idx="195">
                  <c:v>2260</c:v>
                </c:pt>
                <c:pt idx="196">
                  <c:v>2270</c:v>
                </c:pt>
                <c:pt idx="197">
                  <c:v>2280</c:v>
                </c:pt>
                <c:pt idx="198">
                  <c:v>2290</c:v>
                </c:pt>
                <c:pt idx="199">
                  <c:v>2300</c:v>
                </c:pt>
                <c:pt idx="200">
                  <c:v>2310</c:v>
                </c:pt>
                <c:pt idx="201">
                  <c:v>2320</c:v>
                </c:pt>
                <c:pt idx="202">
                  <c:v>2330</c:v>
                </c:pt>
                <c:pt idx="203">
                  <c:v>2340</c:v>
                </c:pt>
                <c:pt idx="204">
                  <c:v>2350</c:v>
                </c:pt>
                <c:pt idx="205">
                  <c:v>2360</c:v>
                </c:pt>
                <c:pt idx="206">
                  <c:v>2370</c:v>
                </c:pt>
                <c:pt idx="207">
                  <c:v>2380</c:v>
                </c:pt>
                <c:pt idx="208">
                  <c:v>2390</c:v>
                </c:pt>
                <c:pt idx="209">
                  <c:v>2400</c:v>
                </c:pt>
                <c:pt idx="210">
                  <c:v>2410</c:v>
                </c:pt>
                <c:pt idx="211">
                  <c:v>2420</c:v>
                </c:pt>
                <c:pt idx="212">
                  <c:v>2430</c:v>
                </c:pt>
                <c:pt idx="213">
                  <c:v>2440</c:v>
                </c:pt>
                <c:pt idx="214">
                  <c:v>2450</c:v>
                </c:pt>
                <c:pt idx="215">
                  <c:v>2460</c:v>
                </c:pt>
                <c:pt idx="216">
                  <c:v>2470</c:v>
                </c:pt>
                <c:pt idx="217">
                  <c:v>2480</c:v>
                </c:pt>
                <c:pt idx="218">
                  <c:v>2490</c:v>
                </c:pt>
                <c:pt idx="219">
                  <c:v>2500</c:v>
                </c:pt>
                <c:pt idx="220">
                  <c:v>2510</c:v>
                </c:pt>
                <c:pt idx="221">
                  <c:v>2520</c:v>
                </c:pt>
                <c:pt idx="222">
                  <c:v>2530</c:v>
                </c:pt>
                <c:pt idx="223">
                  <c:v>2540</c:v>
                </c:pt>
                <c:pt idx="224">
                  <c:v>2550</c:v>
                </c:pt>
                <c:pt idx="225">
                  <c:v>2560</c:v>
                </c:pt>
                <c:pt idx="226">
                  <c:v>2570</c:v>
                </c:pt>
                <c:pt idx="227">
                  <c:v>2580</c:v>
                </c:pt>
                <c:pt idx="228">
                  <c:v>2590</c:v>
                </c:pt>
                <c:pt idx="229">
                  <c:v>2600</c:v>
                </c:pt>
              </c:numCache>
            </c:numRef>
          </c:xVal>
          <c:yVal>
            <c:numRef>
              <c:f>'[Data-graficos 11 12 2017-v23.02.18+2lines.xlsx]Sheet1'!$Y$7:$Y$236</c:f>
              <c:numCache>
                <c:formatCode>0.0</c:formatCode>
                <c:ptCount val="230"/>
                <c:pt idx="0">
                  <c:v>10.689655172413794</c:v>
                </c:pt>
                <c:pt idx="1">
                  <c:v>11.03448275862069</c:v>
                </c:pt>
                <c:pt idx="2">
                  <c:v>11.379310344827585</c:v>
                </c:pt>
                <c:pt idx="3">
                  <c:v>11.724137931034482</c:v>
                </c:pt>
                <c:pt idx="4">
                  <c:v>12.068965517241379</c:v>
                </c:pt>
                <c:pt idx="5">
                  <c:v>12.413793103448276</c:v>
                </c:pt>
                <c:pt idx="6">
                  <c:v>12.758620689655173</c:v>
                </c:pt>
                <c:pt idx="7">
                  <c:v>13.103448275862069</c:v>
                </c:pt>
                <c:pt idx="8">
                  <c:v>13.448275862068966</c:v>
                </c:pt>
                <c:pt idx="9">
                  <c:v>13.793103448275861</c:v>
                </c:pt>
                <c:pt idx="10">
                  <c:v>14.137931034482758</c:v>
                </c:pt>
                <c:pt idx="11">
                  <c:v>14.482758620689655</c:v>
                </c:pt>
                <c:pt idx="12">
                  <c:v>14.827586206896552</c:v>
                </c:pt>
                <c:pt idx="13">
                  <c:v>15.172413793103448</c:v>
                </c:pt>
                <c:pt idx="14">
                  <c:v>15.517241379310345</c:v>
                </c:pt>
                <c:pt idx="15">
                  <c:v>15.862068965517242</c:v>
                </c:pt>
                <c:pt idx="16">
                  <c:v>16.206896551724139</c:v>
                </c:pt>
                <c:pt idx="17">
                  <c:v>16.551724137931036</c:v>
                </c:pt>
                <c:pt idx="18">
                  <c:v>16.896551724137932</c:v>
                </c:pt>
                <c:pt idx="19">
                  <c:v>17.241379310344829</c:v>
                </c:pt>
                <c:pt idx="20">
                  <c:v>17.586206896551722</c:v>
                </c:pt>
                <c:pt idx="21">
                  <c:v>17.931034482758619</c:v>
                </c:pt>
                <c:pt idx="22">
                  <c:v>18.275862068965516</c:v>
                </c:pt>
                <c:pt idx="23">
                  <c:v>18.620689655172413</c:v>
                </c:pt>
                <c:pt idx="24">
                  <c:v>18.96551724137931</c:v>
                </c:pt>
                <c:pt idx="25">
                  <c:v>19.310344827586206</c:v>
                </c:pt>
                <c:pt idx="26">
                  <c:v>19.655172413793103</c:v>
                </c:pt>
                <c:pt idx="27">
                  <c:v>20</c:v>
                </c:pt>
                <c:pt idx="28">
                  <c:v>20.344827586206897</c:v>
                </c:pt>
                <c:pt idx="29">
                  <c:v>20.689655172413794</c:v>
                </c:pt>
                <c:pt idx="30">
                  <c:v>21.03448275862069</c:v>
                </c:pt>
                <c:pt idx="31">
                  <c:v>21.379310344827587</c:v>
                </c:pt>
                <c:pt idx="32">
                  <c:v>21.724137931034484</c:v>
                </c:pt>
                <c:pt idx="33">
                  <c:v>22.068965517241381</c:v>
                </c:pt>
                <c:pt idx="34">
                  <c:v>22.413793103448278</c:v>
                </c:pt>
                <c:pt idx="35">
                  <c:v>22.758620689655171</c:v>
                </c:pt>
                <c:pt idx="36">
                  <c:v>23.103448275862068</c:v>
                </c:pt>
                <c:pt idx="37">
                  <c:v>23.448275862068964</c:v>
                </c:pt>
                <c:pt idx="38">
                  <c:v>23.793103448275861</c:v>
                </c:pt>
                <c:pt idx="39">
                  <c:v>24.137931034482758</c:v>
                </c:pt>
                <c:pt idx="40">
                  <c:v>24.482758620689655</c:v>
                </c:pt>
                <c:pt idx="41">
                  <c:v>24.827586206896552</c:v>
                </c:pt>
                <c:pt idx="42">
                  <c:v>25.172413793103448</c:v>
                </c:pt>
                <c:pt idx="43">
                  <c:v>25.517241379310345</c:v>
                </c:pt>
                <c:pt idx="44">
                  <c:v>17.441860465116278</c:v>
                </c:pt>
                <c:pt idx="45">
                  <c:v>17.674418604651162</c:v>
                </c:pt>
                <c:pt idx="46">
                  <c:v>17.906976744186046</c:v>
                </c:pt>
                <c:pt idx="47">
                  <c:v>18.13953488372093</c:v>
                </c:pt>
                <c:pt idx="48">
                  <c:v>18.372093023255815</c:v>
                </c:pt>
                <c:pt idx="49">
                  <c:v>18.604651162790699</c:v>
                </c:pt>
                <c:pt idx="50">
                  <c:v>18.837209302325583</c:v>
                </c:pt>
                <c:pt idx="51">
                  <c:v>19.069767441860463</c:v>
                </c:pt>
                <c:pt idx="52">
                  <c:v>19.302325581395348</c:v>
                </c:pt>
                <c:pt idx="53">
                  <c:v>19.534883720930232</c:v>
                </c:pt>
                <c:pt idx="54">
                  <c:v>19.767441860465116</c:v>
                </c:pt>
                <c:pt idx="55">
                  <c:v>20</c:v>
                </c:pt>
                <c:pt idx="56">
                  <c:v>20.232558139534884</c:v>
                </c:pt>
                <c:pt idx="57">
                  <c:v>20.465116279069768</c:v>
                </c:pt>
                <c:pt idx="58">
                  <c:v>20.697674418604652</c:v>
                </c:pt>
                <c:pt idx="59">
                  <c:v>20.930232558139537</c:v>
                </c:pt>
                <c:pt idx="60">
                  <c:v>21.162790697674417</c:v>
                </c:pt>
                <c:pt idx="61">
                  <c:v>21.395348837209301</c:v>
                </c:pt>
                <c:pt idx="62">
                  <c:v>21.627906976744185</c:v>
                </c:pt>
                <c:pt idx="63">
                  <c:v>21.86046511627907</c:v>
                </c:pt>
                <c:pt idx="64">
                  <c:v>22.093023255813954</c:v>
                </c:pt>
                <c:pt idx="65">
                  <c:v>22.325581395348838</c:v>
                </c:pt>
                <c:pt idx="66">
                  <c:v>22.558139534883722</c:v>
                </c:pt>
                <c:pt idx="67">
                  <c:v>22.790697674418606</c:v>
                </c:pt>
                <c:pt idx="68">
                  <c:v>23.023255813953487</c:v>
                </c:pt>
                <c:pt idx="69">
                  <c:v>23.255813953488371</c:v>
                </c:pt>
                <c:pt idx="70">
                  <c:v>23.488372093023255</c:v>
                </c:pt>
                <c:pt idx="71">
                  <c:v>23.720930232558139</c:v>
                </c:pt>
                <c:pt idx="72">
                  <c:v>23.953488372093023</c:v>
                </c:pt>
                <c:pt idx="73">
                  <c:v>24.186046511627907</c:v>
                </c:pt>
                <c:pt idx="74">
                  <c:v>19.811320754716981</c:v>
                </c:pt>
                <c:pt idx="75">
                  <c:v>20</c:v>
                </c:pt>
                <c:pt idx="76">
                  <c:v>20.188679245283019</c:v>
                </c:pt>
                <c:pt idx="77">
                  <c:v>20.377358490566039</c:v>
                </c:pt>
                <c:pt idx="78">
                  <c:v>20.566037735849058</c:v>
                </c:pt>
                <c:pt idx="79">
                  <c:v>20.754716981132077</c:v>
                </c:pt>
                <c:pt idx="80">
                  <c:v>20.943396226415093</c:v>
                </c:pt>
                <c:pt idx="81">
                  <c:v>21.132075471698112</c:v>
                </c:pt>
                <c:pt idx="82">
                  <c:v>21.320754716981131</c:v>
                </c:pt>
                <c:pt idx="83">
                  <c:v>21.509433962264151</c:v>
                </c:pt>
                <c:pt idx="84">
                  <c:v>21.69811320754717</c:v>
                </c:pt>
                <c:pt idx="85">
                  <c:v>21.886792452830189</c:v>
                </c:pt>
                <c:pt idx="86">
                  <c:v>22.075471698113208</c:v>
                </c:pt>
                <c:pt idx="87">
                  <c:v>22.264150943396228</c:v>
                </c:pt>
                <c:pt idx="88">
                  <c:v>22.452830188679247</c:v>
                </c:pt>
                <c:pt idx="89">
                  <c:v>22.641509433962263</c:v>
                </c:pt>
                <c:pt idx="90">
                  <c:v>22.830188679245282</c:v>
                </c:pt>
                <c:pt idx="91">
                  <c:v>23.018867924528301</c:v>
                </c:pt>
                <c:pt idx="92">
                  <c:v>23.20754716981132</c:v>
                </c:pt>
                <c:pt idx="93">
                  <c:v>23.39622641509434</c:v>
                </c:pt>
                <c:pt idx="94">
                  <c:v>23.584905660377359</c:v>
                </c:pt>
                <c:pt idx="95">
                  <c:v>23.773584905660378</c:v>
                </c:pt>
                <c:pt idx="96">
                  <c:v>23.962264150943398</c:v>
                </c:pt>
                <c:pt idx="97">
                  <c:v>24.150943396226417</c:v>
                </c:pt>
                <c:pt idx="98">
                  <c:v>24.339622641509433</c:v>
                </c:pt>
                <c:pt idx="99">
                  <c:v>24.528301886792452</c:v>
                </c:pt>
                <c:pt idx="100">
                  <c:v>24.716981132075471</c:v>
                </c:pt>
                <c:pt idx="101">
                  <c:v>24.90566037735849</c:v>
                </c:pt>
                <c:pt idx="102">
                  <c:v>25.09433962264151</c:v>
                </c:pt>
                <c:pt idx="103">
                  <c:v>25.283018867924529</c:v>
                </c:pt>
                <c:pt idx="104">
                  <c:v>25.471698113207548</c:v>
                </c:pt>
                <c:pt idx="105">
                  <c:v>25.660377358490567</c:v>
                </c:pt>
                <c:pt idx="106">
                  <c:v>25.849056603773583</c:v>
                </c:pt>
                <c:pt idx="107">
                  <c:v>26.037735849056602</c:v>
                </c:pt>
                <c:pt idx="108">
                  <c:v>26.226415094339622</c:v>
                </c:pt>
                <c:pt idx="109">
                  <c:v>26.415094339622641</c:v>
                </c:pt>
                <c:pt idx="110">
                  <c:v>26.60377358490566</c:v>
                </c:pt>
                <c:pt idx="111">
                  <c:v>26.79245283018868</c:v>
                </c:pt>
                <c:pt idx="112">
                  <c:v>26.981132075471699</c:v>
                </c:pt>
                <c:pt idx="113">
                  <c:v>27.169811320754718</c:v>
                </c:pt>
                <c:pt idx="114">
                  <c:v>27.358490566037737</c:v>
                </c:pt>
                <c:pt idx="115">
                  <c:v>27.547169811320753</c:v>
                </c:pt>
                <c:pt idx="116">
                  <c:v>27.735849056603772</c:v>
                </c:pt>
                <c:pt idx="117">
                  <c:v>27.924528301886792</c:v>
                </c:pt>
                <c:pt idx="118">
                  <c:v>20.694444444444443</c:v>
                </c:pt>
                <c:pt idx="119">
                  <c:v>20.833333333333332</c:v>
                </c:pt>
                <c:pt idx="120">
                  <c:v>20.972222222222221</c:v>
                </c:pt>
                <c:pt idx="121">
                  <c:v>21.111111111111111</c:v>
                </c:pt>
                <c:pt idx="122">
                  <c:v>21.25</c:v>
                </c:pt>
                <c:pt idx="123">
                  <c:v>21.388888888888889</c:v>
                </c:pt>
                <c:pt idx="124">
                  <c:v>21.527777777777779</c:v>
                </c:pt>
                <c:pt idx="125">
                  <c:v>21.666666666666668</c:v>
                </c:pt>
                <c:pt idx="126">
                  <c:v>21.805555555555557</c:v>
                </c:pt>
                <c:pt idx="127">
                  <c:v>21.944444444444443</c:v>
                </c:pt>
                <c:pt idx="128">
                  <c:v>22.083333333333332</c:v>
                </c:pt>
                <c:pt idx="129">
                  <c:v>22.222222222222221</c:v>
                </c:pt>
                <c:pt idx="130">
                  <c:v>22.361111111111111</c:v>
                </c:pt>
                <c:pt idx="131">
                  <c:v>22.5</c:v>
                </c:pt>
                <c:pt idx="132">
                  <c:v>22.638888888888889</c:v>
                </c:pt>
                <c:pt idx="133">
                  <c:v>22.777777777777779</c:v>
                </c:pt>
                <c:pt idx="134">
                  <c:v>22.916666666666668</c:v>
                </c:pt>
                <c:pt idx="135">
                  <c:v>23.055555555555557</c:v>
                </c:pt>
                <c:pt idx="136">
                  <c:v>23.194444444444443</c:v>
                </c:pt>
                <c:pt idx="137">
                  <c:v>23.333333333333332</c:v>
                </c:pt>
                <c:pt idx="138">
                  <c:v>23.472222222222221</c:v>
                </c:pt>
                <c:pt idx="139">
                  <c:v>23.611111111111111</c:v>
                </c:pt>
                <c:pt idx="140">
                  <c:v>23.75</c:v>
                </c:pt>
                <c:pt idx="141">
                  <c:v>23.888888888888889</c:v>
                </c:pt>
                <c:pt idx="142">
                  <c:v>24.027777777777779</c:v>
                </c:pt>
                <c:pt idx="143">
                  <c:v>24.166666666666668</c:v>
                </c:pt>
                <c:pt idx="144">
                  <c:v>24.305555555555557</c:v>
                </c:pt>
                <c:pt idx="145">
                  <c:v>24.444444444444443</c:v>
                </c:pt>
                <c:pt idx="146">
                  <c:v>24.583333333333332</c:v>
                </c:pt>
                <c:pt idx="147">
                  <c:v>24.722222222222221</c:v>
                </c:pt>
                <c:pt idx="148">
                  <c:v>24.861111111111111</c:v>
                </c:pt>
                <c:pt idx="149">
                  <c:v>25</c:v>
                </c:pt>
                <c:pt idx="150">
                  <c:v>25.138888888888889</c:v>
                </c:pt>
                <c:pt idx="151">
                  <c:v>25.277777777777779</c:v>
                </c:pt>
                <c:pt idx="152">
                  <c:v>25.416666666666668</c:v>
                </c:pt>
                <c:pt idx="153">
                  <c:v>25.555555555555557</c:v>
                </c:pt>
                <c:pt idx="154">
                  <c:v>25.694444444444443</c:v>
                </c:pt>
                <c:pt idx="155">
                  <c:v>25.833333333333332</c:v>
                </c:pt>
                <c:pt idx="156">
                  <c:v>25.972222222222221</c:v>
                </c:pt>
                <c:pt idx="157">
                  <c:v>26.111111111111111</c:v>
                </c:pt>
                <c:pt idx="158">
                  <c:v>26.25</c:v>
                </c:pt>
                <c:pt idx="159">
                  <c:v>26.388888888888889</c:v>
                </c:pt>
                <c:pt idx="160">
                  <c:v>26.527777777777779</c:v>
                </c:pt>
                <c:pt idx="161">
                  <c:v>26.666666666666668</c:v>
                </c:pt>
                <c:pt idx="162">
                  <c:v>26.805555555555557</c:v>
                </c:pt>
                <c:pt idx="163">
                  <c:v>26.944444444444443</c:v>
                </c:pt>
                <c:pt idx="164">
                  <c:v>27.083333333333332</c:v>
                </c:pt>
                <c:pt idx="165">
                  <c:v>27.222222222222221</c:v>
                </c:pt>
                <c:pt idx="166">
                  <c:v>27.361111111111111</c:v>
                </c:pt>
                <c:pt idx="167">
                  <c:v>27.5</c:v>
                </c:pt>
                <c:pt idx="168">
                  <c:v>27.638888888888889</c:v>
                </c:pt>
                <c:pt idx="169">
                  <c:v>27.777777777777779</c:v>
                </c:pt>
                <c:pt idx="170">
                  <c:v>27.916666666666668</c:v>
                </c:pt>
                <c:pt idx="171">
                  <c:v>28.055555555555557</c:v>
                </c:pt>
                <c:pt idx="172">
                  <c:v>28.194444444444443</c:v>
                </c:pt>
                <c:pt idx="173">
                  <c:v>28.333333333333332</c:v>
                </c:pt>
                <c:pt idx="174">
                  <c:v>28.472222222222221</c:v>
                </c:pt>
                <c:pt idx="175">
                  <c:v>28.611111111111111</c:v>
                </c:pt>
                <c:pt idx="176">
                  <c:v>28.75</c:v>
                </c:pt>
                <c:pt idx="177">
                  <c:v>28.888888888888889</c:v>
                </c:pt>
                <c:pt idx="178">
                  <c:v>29.027777777777779</c:v>
                </c:pt>
                <c:pt idx="179">
                  <c:v>29.166666666666668</c:v>
                </c:pt>
                <c:pt idx="180">
                  <c:v>29.305555555555557</c:v>
                </c:pt>
                <c:pt idx="181">
                  <c:v>29.444444444444443</c:v>
                </c:pt>
                <c:pt idx="182">
                  <c:v>29.583333333333332</c:v>
                </c:pt>
                <c:pt idx="183">
                  <c:v>29.722222222222221</c:v>
                </c:pt>
                <c:pt idx="184">
                  <c:v>29.861111111111111</c:v>
                </c:pt>
                <c:pt idx="185">
                  <c:v>30</c:v>
                </c:pt>
                <c:pt idx="186">
                  <c:v>30.138888888888889</c:v>
                </c:pt>
                <c:pt idx="187">
                  <c:v>30.277777777777779</c:v>
                </c:pt>
                <c:pt idx="188">
                  <c:v>30.416666666666668</c:v>
                </c:pt>
                <c:pt idx="189">
                  <c:v>30.555555555555557</c:v>
                </c:pt>
                <c:pt idx="190">
                  <c:v>30.694444444444443</c:v>
                </c:pt>
                <c:pt idx="191">
                  <c:v>30.833333333333332</c:v>
                </c:pt>
                <c:pt idx="192">
                  <c:v>30.972222222222221</c:v>
                </c:pt>
                <c:pt idx="193">
                  <c:v>31.111111111111111</c:v>
                </c:pt>
                <c:pt idx="194">
                  <c:v>31.25</c:v>
                </c:pt>
                <c:pt idx="195">
                  <c:v>31.388888888888889</c:v>
                </c:pt>
                <c:pt idx="196">
                  <c:v>31.527777777777779</c:v>
                </c:pt>
                <c:pt idx="197">
                  <c:v>31.666666666666668</c:v>
                </c:pt>
                <c:pt idx="198">
                  <c:v>31.805555555555557</c:v>
                </c:pt>
                <c:pt idx="199">
                  <c:v>31.944444444444443</c:v>
                </c:pt>
                <c:pt idx="200">
                  <c:v>32.083333333333336</c:v>
                </c:pt>
                <c:pt idx="201">
                  <c:v>32.222222222222221</c:v>
                </c:pt>
                <c:pt idx="202">
                  <c:v>32.361111111111114</c:v>
                </c:pt>
                <c:pt idx="203">
                  <c:v>32.5</c:v>
                </c:pt>
                <c:pt idx="204">
                  <c:v>32.638888888888886</c:v>
                </c:pt>
                <c:pt idx="205">
                  <c:v>32.777777777777779</c:v>
                </c:pt>
                <c:pt idx="206">
                  <c:v>32.916666666666664</c:v>
                </c:pt>
                <c:pt idx="207">
                  <c:v>33.055555555555557</c:v>
                </c:pt>
                <c:pt idx="208">
                  <c:v>33.194444444444443</c:v>
                </c:pt>
                <c:pt idx="209">
                  <c:v>33.333333333333336</c:v>
                </c:pt>
                <c:pt idx="210">
                  <c:v>33.472222222222221</c:v>
                </c:pt>
                <c:pt idx="211">
                  <c:v>33.611111111111114</c:v>
                </c:pt>
                <c:pt idx="212">
                  <c:v>33.75</c:v>
                </c:pt>
                <c:pt idx="213">
                  <c:v>33.888888888888886</c:v>
                </c:pt>
                <c:pt idx="214">
                  <c:v>34.027777777777779</c:v>
                </c:pt>
                <c:pt idx="215">
                  <c:v>34.166666666666664</c:v>
                </c:pt>
                <c:pt idx="216">
                  <c:v>34.305555555555557</c:v>
                </c:pt>
                <c:pt idx="217">
                  <c:v>34.444444444444443</c:v>
                </c:pt>
                <c:pt idx="218">
                  <c:v>34.583333333333336</c:v>
                </c:pt>
                <c:pt idx="219">
                  <c:v>34.722222222222221</c:v>
                </c:pt>
                <c:pt idx="220">
                  <c:v>34.861111111111114</c:v>
                </c:pt>
                <c:pt idx="221">
                  <c:v>35</c:v>
                </c:pt>
                <c:pt idx="222">
                  <c:v>35.138888888888886</c:v>
                </c:pt>
                <c:pt idx="223">
                  <c:v>35.277777777777779</c:v>
                </c:pt>
                <c:pt idx="224">
                  <c:v>35.416666666666664</c:v>
                </c:pt>
                <c:pt idx="225">
                  <c:v>35.555555555555557</c:v>
                </c:pt>
                <c:pt idx="226">
                  <c:v>35.694444444444443</c:v>
                </c:pt>
                <c:pt idx="227">
                  <c:v>35.833333333333336</c:v>
                </c:pt>
                <c:pt idx="228">
                  <c:v>35.972222222222221</c:v>
                </c:pt>
                <c:pt idx="229">
                  <c:v>36.111111111111114</c:v>
                </c:pt>
              </c:numCache>
            </c:numRef>
          </c:yVal>
          <c:smooth val="1"/>
          <c:extLst>
            <c:ext xmlns:c16="http://schemas.microsoft.com/office/drawing/2014/chart" uri="{C3380CC4-5D6E-409C-BE32-E72D297353CC}">
              <c16:uniqueId val="{00000000-AC67-4490-A7A2-5233B7C6622A}"/>
            </c:ext>
          </c:extLst>
        </c:ser>
        <c:ser>
          <c:idx val="1"/>
          <c:order val="1"/>
          <c:tx>
            <c:v>GSL Proposed rule</c:v>
          </c:tx>
          <c:spPr>
            <a:ln w="19050" cap="rnd">
              <a:solidFill>
                <a:srgbClr val="FF0000"/>
              </a:solidFill>
              <a:round/>
            </a:ln>
            <a:effectLst/>
          </c:spPr>
          <c:marker>
            <c:symbol val="none"/>
          </c:marker>
          <c:xVal>
            <c:numRef>
              <c:f>'[Data-graficos 11 12 2017-v23.02.18+2lines.xlsx]Sheet1'!$Z$7:$Z$236</c:f>
              <c:numCache>
                <c:formatCode>General</c:formatCode>
                <c:ptCount val="23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pt idx="60">
                  <c:v>910</c:v>
                </c:pt>
                <c:pt idx="61">
                  <c:v>920</c:v>
                </c:pt>
                <c:pt idx="62">
                  <c:v>930</c:v>
                </c:pt>
                <c:pt idx="63">
                  <c:v>940</c:v>
                </c:pt>
                <c:pt idx="64">
                  <c:v>950</c:v>
                </c:pt>
                <c:pt idx="65">
                  <c:v>960</c:v>
                </c:pt>
                <c:pt idx="66">
                  <c:v>970</c:v>
                </c:pt>
                <c:pt idx="67">
                  <c:v>980</c:v>
                </c:pt>
                <c:pt idx="68">
                  <c:v>990</c:v>
                </c:pt>
                <c:pt idx="69">
                  <c:v>1000</c:v>
                </c:pt>
                <c:pt idx="70">
                  <c:v>1010</c:v>
                </c:pt>
                <c:pt idx="71">
                  <c:v>1020</c:v>
                </c:pt>
                <c:pt idx="72">
                  <c:v>1030</c:v>
                </c:pt>
                <c:pt idx="73">
                  <c:v>1040</c:v>
                </c:pt>
                <c:pt idx="74">
                  <c:v>1050</c:v>
                </c:pt>
                <c:pt idx="75">
                  <c:v>1060</c:v>
                </c:pt>
                <c:pt idx="76">
                  <c:v>1070</c:v>
                </c:pt>
                <c:pt idx="77">
                  <c:v>1080</c:v>
                </c:pt>
                <c:pt idx="78">
                  <c:v>1090</c:v>
                </c:pt>
                <c:pt idx="79">
                  <c:v>1100</c:v>
                </c:pt>
                <c:pt idx="80">
                  <c:v>1110</c:v>
                </c:pt>
                <c:pt idx="81">
                  <c:v>1120</c:v>
                </c:pt>
                <c:pt idx="82">
                  <c:v>1130</c:v>
                </c:pt>
                <c:pt idx="83">
                  <c:v>1140</c:v>
                </c:pt>
                <c:pt idx="84">
                  <c:v>1150</c:v>
                </c:pt>
                <c:pt idx="85">
                  <c:v>1160</c:v>
                </c:pt>
                <c:pt idx="86">
                  <c:v>1170</c:v>
                </c:pt>
                <c:pt idx="87">
                  <c:v>1180</c:v>
                </c:pt>
                <c:pt idx="88">
                  <c:v>1190</c:v>
                </c:pt>
                <c:pt idx="89">
                  <c:v>1200</c:v>
                </c:pt>
                <c:pt idx="90">
                  <c:v>1210</c:v>
                </c:pt>
                <c:pt idx="91">
                  <c:v>1220</c:v>
                </c:pt>
                <c:pt idx="92">
                  <c:v>1230</c:v>
                </c:pt>
                <c:pt idx="93">
                  <c:v>1240</c:v>
                </c:pt>
                <c:pt idx="94">
                  <c:v>1250</c:v>
                </c:pt>
                <c:pt idx="95">
                  <c:v>1260</c:v>
                </c:pt>
                <c:pt idx="96">
                  <c:v>1270</c:v>
                </c:pt>
                <c:pt idx="97">
                  <c:v>1280</c:v>
                </c:pt>
                <c:pt idx="98">
                  <c:v>1290</c:v>
                </c:pt>
                <c:pt idx="99">
                  <c:v>1300</c:v>
                </c:pt>
                <c:pt idx="100">
                  <c:v>1310</c:v>
                </c:pt>
                <c:pt idx="101">
                  <c:v>1320</c:v>
                </c:pt>
                <c:pt idx="102">
                  <c:v>1330</c:v>
                </c:pt>
                <c:pt idx="103">
                  <c:v>1340</c:v>
                </c:pt>
                <c:pt idx="104">
                  <c:v>1350</c:v>
                </c:pt>
                <c:pt idx="105">
                  <c:v>1360</c:v>
                </c:pt>
                <c:pt idx="106">
                  <c:v>1370</c:v>
                </c:pt>
                <c:pt idx="107">
                  <c:v>1380</c:v>
                </c:pt>
                <c:pt idx="108">
                  <c:v>1390</c:v>
                </c:pt>
                <c:pt idx="109">
                  <c:v>1400</c:v>
                </c:pt>
                <c:pt idx="110">
                  <c:v>1410</c:v>
                </c:pt>
                <c:pt idx="111">
                  <c:v>1420</c:v>
                </c:pt>
                <c:pt idx="112">
                  <c:v>1430</c:v>
                </c:pt>
                <c:pt idx="113">
                  <c:v>1440</c:v>
                </c:pt>
                <c:pt idx="114">
                  <c:v>1450</c:v>
                </c:pt>
                <c:pt idx="115">
                  <c:v>1460</c:v>
                </c:pt>
                <c:pt idx="116">
                  <c:v>1470</c:v>
                </c:pt>
                <c:pt idx="117">
                  <c:v>1480</c:v>
                </c:pt>
                <c:pt idx="118">
                  <c:v>1490</c:v>
                </c:pt>
                <c:pt idx="119">
                  <c:v>1500</c:v>
                </c:pt>
                <c:pt idx="120">
                  <c:v>1510</c:v>
                </c:pt>
                <c:pt idx="121">
                  <c:v>1520</c:v>
                </c:pt>
                <c:pt idx="122">
                  <c:v>1530</c:v>
                </c:pt>
                <c:pt idx="123">
                  <c:v>1540</c:v>
                </c:pt>
                <c:pt idx="124">
                  <c:v>1550</c:v>
                </c:pt>
                <c:pt idx="125">
                  <c:v>1560</c:v>
                </c:pt>
                <c:pt idx="126">
                  <c:v>1570</c:v>
                </c:pt>
                <c:pt idx="127">
                  <c:v>1580</c:v>
                </c:pt>
                <c:pt idx="128">
                  <c:v>1590</c:v>
                </c:pt>
                <c:pt idx="129">
                  <c:v>1600</c:v>
                </c:pt>
                <c:pt idx="130">
                  <c:v>1610</c:v>
                </c:pt>
                <c:pt idx="131">
                  <c:v>1620</c:v>
                </c:pt>
                <c:pt idx="132">
                  <c:v>1630</c:v>
                </c:pt>
                <c:pt idx="133">
                  <c:v>1640</c:v>
                </c:pt>
                <c:pt idx="134">
                  <c:v>1650</c:v>
                </c:pt>
                <c:pt idx="135">
                  <c:v>1660</c:v>
                </c:pt>
                <c:pt idx="136">
                  <c:v>1670</c:v>
                </c:pt>
                <c:pt idx="137">
                  <c:v>1680</c:v>
                </c:pt>
                <c:pt idx="138">
                  <c:v>1690</c:v>
                </c:pt>
                <c:pt idx="139">
                  <c:v>1700</c:v>
                </c:pt>
                <c:pt idx="140">
                  <c:v>1710</c:v>
                </c:pt>
                <c:pt idx="141">
                  <c:v>1720</c:v>
                </c:pt>
                <c:pt idx="142">
                  <c:v>1730</c:v>
                </c:pt>
                <c:pt idx="143">
                  <c:v>1740</c:v>
                </c:pt>
                <c:pt idx="144">
                  <c:v>1750</c:v>
                </c:pt>
                <c:pt idx="145">
                  <c:v>1760</c:v>
                </c:pt>
                <c:pt idx="146">
                  <c:v>1770</c:v>
                </c:pt>
                <c:pt idx="147">
                  <c:v>1780</c:v>
                </c:pt>
                <c:pt idx="148">
                  <c:v>1790</c:v>
                </c:pt>
                <c:pt idx="149">
                  <c:v>1800</c:v>
                </c:pt>
                <c:pt idx="150">
                  <c:v>1810</c:v>
                </c:pt>
                <c:pt idx="151">
                  <c:v>1820</c:v>
                </c:pt>
                <c:pt idx="152">
                  <c:v>1830</c:v>
                </c:pt>
                <c:pt idx="153">
                  <c:v>1840</c:v>
                </c:pt>
                <c:pt idx="154">
                  <c:v>1850</c:v>
                </c:pt>
                <c:pt idx="155">
                  <c:v>1860</c:v>
                </c:pt>
                <c:pt idx="156">
                  <c:v>1870</c:v>
                </c:pt>
                <c:pt idx="157">
                  <c:v>1880</c:v>
                </c:pt>
                <c:pt idx="158">
                  <c:v>1890</c:v>
                </c:pt>
                <c:pt idx="159">
                  <c:v>1900</c:v>
                </c:pt>
                <c:pt idx="160">
                  <c:v>1910</c:v>
                </c:pt>
                <c:pt idx="161">
                  <c:v>1920</c:v>
                </c:pt>
                <c:pt idx="162">
                  <c:v>1930</c:v>
                </c:pt>
                <c:pt idx="163">
                  <c:v>1940</c:v>
                </c:pt>
                <c:pt idx="164">
                  <c:v>1950</c:v>
                </c:pt>
                <c:pt idx="165">
                  <c:v>1960</c:v>
                </c:pt>
                <c:pt idx="166">
                  <c:v>1970</c:v>
                </c:pt>
                <c:pt idx="167">
                  <c:v>1980</c:v>
                </c:pt>
                <c:pt idx="168">
                  <c:v>1990</c:v>
                </c:pt>
                <c:pt idx="169">
                  <c:v>2000</c:v>
                </c:pt>
                <c:pt idx="170">
                  <c:v>2010</c:v>
                </c:pt>
                <c:pt idx="171">
                  <c:v>2020</c:v>
                </c:pt>
                <c:pt idx="172">
                  <c:v>2030</c:v>
                </c:pt>
                <c:pt idx="173">
                  <c:v>2040</c:v>
                </c:pt>
                <c:pt idx="174">
                  <c:v>2050</c:v>
                </c:pt>
                <c:pt idx="175">
                  <c:v>2060</c:v>
                </c:pt>
                <c:pt idx="176">
                  <c:v>2070</c:v>
                </c:pt>
                <c:pt idx="177">
                  <c:v>2080</c:v>
                </c:pt>
                <c:pt idx="178">
                  <c:v>2090</c:v>
                </c:pt>
                <c:pt idx="179">
                  <c:v>2100</c:v>
                </c:pt>
                <c:pt idx="180">
                  <c:v>2110</c:v>
                </c:pt>
                <c:pt idx="181">
                  <c:v>2120</c:v>
                </c:pt>
                <c:pt idx="182">
                  <c:v>2130</c:v>
                </c:pt>
                <c:pt idx="183">
                  <c:v>2140</c:v>
                </c:pt>
                <c:pt idx="184">
                  <c:v>2150</c:v>
                </c:pt>
                <c:pt idx="185">
                  <c:v>2160</c:v>
                </c:pt>
                <c:pt idx="186">
                  <c:v>2170</c:v>
                </c:pt>
                <c:pt idx="187">
                  <c:v>2180</c:v>
                </c:pt>
                <c:pt idx="188">
                  <c:v>2190</c:v>
                </c:pt>
                <c:pt idx="189">
                  <c:v>2200</c:v>
                </c:pt>
                <c:pt idx="190">
                  <c:v>2210</c:v>
                </c:pt>
                <c:pt idx="191">
                  <c:v>2220</c:v>
                </c:pt>
                <c:pt idx="192">
                  <c:v>2230</c:v>
                </c:pt>
                <c:pt idx="193">
                  <c:v>2240</c:v>
                </c:pt>
                <c:pt idx="194">
                  <c:v>2250</c:v>
                </c:pt>
                <c:pt idx="195">
                  <c:v>2260</c:v>
                </c:pt>
                <c:pt idx="196">
                  <c:v>2270</c:v>
                </c:pt>
                <c:pt idx="197">
                  <c:v>2280</c:v>
                </c:pt>
                <c:pt idx="198">
                  <c:v>2290</c:v>
                </c:pt>
                <c:pt idx="199">
                  <c:v>2300</c:v>
                </c:pt>
                <c:pt idx="200">
                  <c:v>2310</c:v>
                </c:pt>
                <c:pt idx="201">
                  <c:v>2320</c:v>
                </c:pt>
                <c:pt idx="202">
                  <c:v>2330</c:v>
                </c:pt>
                <c:pt idx="203">
                  <c:v>2340</c:v>
                </c:pt>
                <c:pt idx="204">
                  <c:v>2350</c:v>
                </c:pt>
                <c:pt idx="205">
                  <c:v>2360</c:v>
                </c:pt>
                <c:pt idx="206">
                  <c:v>2370</c:v>
                </c:pt>
                <c:pt idx="207">
                  <c:v>2380</c:v>
                </c:pt>
                <c:pt idx="208">
                  <c:v>2390</c:v>
                </c:pt>
                <c:pt idx="209">
                  <c:v>2400</c:v>
                </c:pt>
                <c:pt idx="210">
                  <c:v>2410</c:v>
                </c:pt>
                <c:pt idx="211">
                  <c:v>2420</c:v>
                </c:pt>
                <c:pt idx="212">
                  <c:v>2430</c:v>
                </c:pt>
                <c:pt idx="213">
                  <c:v>2440</c:v>
                </c:pt>
                <c:pt idx="214">
                  <c:v>2450</c:v>
                </c:pt>
                <c:pt idx="215">
                  <c:v>2460</c:v>
                </c:pt>
                <c:pt idx="216">
                  <c:v>2470</c:v>
                </c:pt>
                <c:pt idx="217">
                  <c:v>2480</c:v>
                </c:pt>
                <c:pt idx="218">
                  <c:v>2490</c:v>
                </c:pt>
                <c:pt idx="219">
                  <c:v>2500</c:v>
                </c:pt>
                <c:pt idx="220">
                  <c:v>2510</c:v>
                </c:pt>
                <c:pt idx="221">
                  <c:v>2520</c:v>
                </c:pt>
                <c:pt idx="222">
                  <c:v>2530</c:v>
                </c:pt>
                <c:pt idx="223">
                  <c:v>2540</c:v>
                </c:pt>
                <c:pt idx="224">
                  <c:v>2550</c:v>
                </c:pt>
                <c:pt idx="225">
                  <c:v>2560</c:v>
                </c:pt>
                <c:pt idx="226">
                  <c:v>2570</c:v>
                </c:pt>
                <c:pt idx="227">
                  <c:v>2580</c:v>
                </c:pt>
                <c:pt idx="228">
                  <c:v>2590</c:v>
                </c:pt>
                <c:pt idx="229">
                  <c:v>2600</c:v>
                </c:pt>
              </c:numCache>
            </c:numRef>
          </c:xVal>
          <c:yVal>
            <c:numRef>
              <c:f>'[Data-graficos 11 12 2017-v23.02.18+2lines.xlsx]Sheet1'!$AB$7:$AB$236</c:f>
              <c:numCache>
                <c:formatCode>0.0</c:formatCode>
                <c:ptCount val="230"/>
                <c:pt idx="0">
                  <c:v>84.239000944635791</c:v>
                </c:pt>
                <c:pt idx="1">
                  <c:v>84.531890335612303</c:v>
                </c:pt>
                <c:pt idx="2">
                  <c:v>84.819838525044304</c:v>
                </c:pt>
                <c:pt idx="3">
                  <c:v>85.102928873659295</c:v>
                </c:pt>
                <c:pt idx="4">
                  <c:v>85.381243335844417</c:v>
                </c:pt>
                <c:pt idx="5">
                  <c:v>85.654862483372284</c:v>
                </c:pt>
                <c:pt idx="6">
                  <c:v>85.923865528726338</c:v>
                </c:pt>
                <c:pt idx="7">
                  <c:v>86.188330348032835</c:v>
                </c:pt>
                <c:pt idx="8">
                  <c:v>86.448333503605923</c:v>
                </c:pt>
                <c:pt idx="9">
                  <c:v>86.703950266112273</c:v>
                </c:pt>
                <c:pt idx="10">
                  <c:v>86.955254636362</c:v>
                </c:pt>
                <c:pt idx="11">
                  <c:v>87.202319366731686</c:v>
                </c:pt>
                <c:pt idx="12">
                  <c:v>87.445215982226259</c:v>
                </c:pt>
                <c:pt idx="13">
                  <c:v>87.684014801185285</c:v>
                </c:pt>
                <c:pt idx="14">
                  <c:v>87.918784955640177</c:v>
                </c:pt>
                <c:pt idx="15">
                  <c:v>88.149594411327769</c:v>
                </c:pt>
                <c:pt idx="16">
                  <c:v>88.376509987366347</c:v>
                </c:pt>
                <c:pt idx="17">
                  <c:v>88.599597375599785</c:v>
                </c:pt>
                <c:pt idx="18">
                  <c:v>88.818921159615172</c:v>
                </c:pt>
                <c:pt idx="19">
                  <c:v>89.034544833439782</c:v>
                </c:pt>
                <c:pt idx="20">
                  <c:v>89.246530819922469</c:v>
                </c:pt>
                <c:pt idx="21">
                  <c:v>89.454940488805107</c:v>
                </c:pt>
                <c:pt idx="22">
                  <c:v>89.65983417448895</c:v>
                </c:pt>
                <c:pt idx="23">
                  <c:v>89.861271193501523</c:v>
                </c:pt>
                <c:pt idx="24">
                  <c:v>90.059309861668567</c:v>
                </c:pt>
                <c:pt idx="25">
                  <c:v>90.254007510996544</c:v>
                </c:pt>
                <c:pt idx="26">
                  <c:v>90.445420506270082</c:v>
                </c:pt>
                <c:pt idx="27">
                  <c:v>90.633604261369598</c:v>
                </c:pt>
                <c:pt idx="28">
                  <c:v>90.818613255313565</c:v>
                </c:pt>
                <c:pt idx="29">
                  <c:v>91.00050104803006</c:v>
                </c:pt>
                <c:pt idx="30">
                  <c:v>91.179320295862425</c:v>
                </c:pt>
                <c:pt idx="31">
                  <c:v>91.355122766813153</c:v>
                </c:pt>
                <c:pt idx="32">
                  <c:v>91.527959355530669</c:v>
                </c:pt>
                <c:pt idx="33">
                  <c:v>91.697880098043356</c:v>
                </c:pt>
                <c:pt idx="34">
                  <c:v>91.864934186244824</c:v>
                </c:pt>
                <c:pt idx="35">
                  <c:v>92.029169982135045</c:v>
                </c:pt>
                <c:pt idx="36">
                  <c:v>92.190635031821003</c:v>
                </c:pt>
                <c:pt idx="37">
                  <c:v>92.349376079281285</c:v>
                </c:pt>
                <c:pt idx="38">
                  <c:v>92.505439079898466</c:v>
                </c:pt>
                <c:pt idx="39">
                  <c:v>92.65886921376304</c:v>
                </c:pt>
                <c:pt idx="40">
                  <c:v>92.809710898753124</c:v>
                </c:pt>
                <c:pt idx="41">
                  <c:v>92.958007803393315</c:v>
                </c:pt>
                <c:pt idx="42">
                  <c:v>93.10380285949671</c:v>
                </c:pt>
                <c:pt idx="43">
                  <c:v>93.247138274593667</c:v>
                </c:pt>
                <c:pt idx="44">
                  <c:v>93.38805554415076</c:v>
                </c:pt>
                <c:pt idx="45">
                  <c:v>93.526595463583774</c:v>
                </c:pt>
                <c:pt idx="46">
                  <c:v>93.662798140067835</c:v>
                </c:pt>
                <c:pt idx="47">
                  <c:v>93.796703004148512</c:v>
                </c:pt>
                <c:pt idx="48">
                  <c:v>93.928348821156817</c:v>
                </c:pt>
                <c:pt idx="49">
                  <c:v>94.057773702431803</c:v>
                </c:pt>
                <c:pt idx="50">
                  <c:v>94.185015116353725</c:v>
                </c:pt>
                <c:pt idx="51">
                  <c:v>94.310109899191133</c:v>
                </c:pt>
                <c:pt idx="52">
                  <c:v>94.433094265764893</c:v>
                </c:pt>
                <c:pt idx="53">
                  <c:v>94.554003819932376</c:v>
                </c:pt>
                <c:pt idx="54">
                  <c:v>94.672873564894743</c:v>
                </c:pt>
                <c:pt idx="55">
                  <c:v>94.789737913330285</c:v>
                </c:pt>
                <c:pt idx="56">
                  <c:v>94.90463069735695</c:v>
                </c:pt>
                <c:pt idx="57">
                  <c:v>95.017585178326641</c:v>
                </c:pt>
                <c:pt idx="58">
                  <c:v>95.128634056454374</c:v>
                </c:pt>
                <c:pt idx="59">
                  <c:v>95.237809480284923</c:v>
                </c:pt>
                <c:pt idx="60">
                  <c:v>95.345143055999856</c:v>
                </c:pt>
                <c:pt idx="61">
                  <c:v>95.450665856567454</c:v>
                </c:pt>
                <c:pt idx="62">
                  <c:v>95.554408430738306</c:v>
                </c:pt>
                <c:pt idx="63">
                  <c:v>95.656400811889128</c:v>
                </c:pt>
                <c:pt idx="64">
                  <c:v>95.756672526717452</c:v>
                </c:pt>
                <c:pt idx="65">
                  <c:v>95.855252603789523</c:v>
                </c:pt>
                <c:pt idx="66">
                  <c:v>95.952169581944091</c:v>
                </c:pt>
                <c:pt idx="67">
                  <c:v>96.047451518554283</c:v>
                </c:pt>
                <c:pt idx="68">
                  <c:v>96.141125997650335</c:v>
                </c:pt>
                <c:pt idx="69">
                  <c:v>96.233220137904993</c:v>
                </c:pt>
                <c:pt idx="70">
                  <c:v>96.323760600484448</c:v>
                </c:pt>
                <c:pt idx="71">
                  <c:v>96.412773596766641</c:v>
                </c:pt>
                <c:pt idx="72">
                  <c:v>96.500284895929511</c:v>
                </c:pt>
                <c:pt idx="73">
                  <c:v>96.586319832411093</c:v>
                </c:pt>
                <c:pt idx="74">
                  <c:v>96.670903313243798</c:v>
                </c:pt>
                <c:pt idx="75">
                  <c:v>96.75405982526506</c:v>
                </c:pt>
                <c:pt idx="76">
                  <c:v>96.835813442206145</c:v>
                </c:pt>
                <c:pt idx="77">
                  <c:v>96.916187831661546</c:v>
                </c:pt>
                <c:pt idx="78">
                  <c:v>96.995206261940709</c:v>
                </c:pt>
                <c:pt idx="79">
                  <c:v>97.072891608804198</c:v>
                </c:pt>
                <c:pt idx="80">
                  <c:v>97.14926636208618</c:v>
                </c:pt>
                <c:pt idx="81">
                  <c:v>97.224352632205211</c:v>
                </c:pt>
                <c:pt idx="82">
                  <c:v>97.298172156565201</c:v>
                </c:pt>
                <c:pt idx="83">
                  <c:v>97.3707463058484</c:v>
                </c:pt>
                <c:pt idx="84">
                  <c:v>97.442096090202114</c:v>
                </c:pt>
                <c:pt idx="85">
                  <c:v>97.512242165321183</c:v>
                </c:pt>
                <c:pt idx="86">
                  <c:v>97.581204838427752</c:v>
                </c:pt>
                <c:pt idx="87">
                  <c:v>97.649004074150213</c:v>
                </c:pt>
                <c:pt idx="88">
                  <c:v>97.715659500302976</c:v>
                </c:pt>
                <c:pt idx="89">
                  <c:v>97.781190413568595</c:v>
                </c:pt>
                <c:pt idx="90">
                  <c:v>97.845615785084277</c:v>
                </c:pt>
                <c:pt idx="91">
                  <c:v>97.9089542659339</c:v>
                </c:pt>
                <c:pt idx="92">
                  <c:v>97.971224192547538</c:v>
                </c:pt>
                <c:pt idx="93">
                  <c:v>98.032443592009855</c:v>
                </c:pt>
                <c:pt idx="94">
                  <c:v>98.092630187278843</c:v>
                </c:pt>
                <c:pt idx="95">
                  <c:v>98.151801402316721</c:v>
                </c:pt>
                <c:pt idx="96">
                  <c:v>98.209974367134052</c:v>
                </c:pt>
                <c:pt idx="97">
                  <c:v>98.267165922748944</c:v>
                </c:pt>
                <c:pt idx="98">
                  <c:v>98.323392626062443</c:v>
                </c:pt>
                <c:pt idx="99">
                  <c:v>98.378670754651779</c:v>
                </c:pt>
                <c:pt idx="100">
                  <c:v>98.433016311482703</c:v>
                </c:pt>
                <c:pt idx="101">
                  <c:v>98.486445029542324</c:v>
                </c:pt>
                <c:pt idx="102">
                  <c:v>98.538972376393787</c:v>
                </c:pt>
                <c:pt idx="103">
                  <c:v>98.590613558654169</c:v>
                </c:pt>
                <c:pt idx="104">
                  <c:v>98.641383526396694</c:v>
                </c:pt>
                <c:pt idx="105">
                  <c:v>98.691296977478814</c:v>
                </c:pt>
                <c:pt idx="106">
                  <c:v>98.740368361797252</c:v>
                </c:pt>
                <c:pt idx="107">
                  <c:v>98.78861188547117</c:v>
                </c:pt>
                <c:pt idx="108">
                  <c:v>98.836041514954886</c:v>
                </c:pt>
                <c:pt idx="109">
                  <c:v>98.882670981081091</c:v>
                </c:pt>
                <c:pt idx="110">
                  <c:v>98.928513783035967</c:v>
                </c:pt>
                <c:pt idx="111">
                  <c:v>98.973583192267171</c:v>
                </c:pt>
                <c:pt idx="112">
                  <c:v>99.017892256325894</c:v>
                </c:pt>
                <c:pt idx="113">
                  <c:v>99.061453802644081</c:v>
                </c:pt>
                <c:pt idx="114">
                  <c:v>99.104280442248083</c:v>
                </c:pt>
                <c:pt idx="115">
                  <c:v>99.146384573409378</c:v>
                </c:pt>
                <c:pt idx="116">
                  <c:v>99.187778385233969</c:v>
                </c:pt>
                <c:pt idx="117">
                  <c:v>99.228473861191091</c:v>
                </c:pt>
                <c:pt idx="118">
                  <c:v>99.268482782582396</c:v>
                </c:pt>
                <c:pt idx="119">
                  <c:v>99.307816731952641</c:v>
                </c:pt>
                <c:pt idx="120">
                  <c:v>99.346487096442843</c:v>
                </c:pt>
                <c:pt idx="121">
                  <c:v>99.384505071086807</c:v>
                </c:pt>
                <c:pt idx="122">
                  <c:v>99.421881662052087</c:v>
                </c:pt>
                <c:pt idx="123">
                  <c:v>99.458627689826287</c:v>
                </c:pt>
                <c:pt idx="124">
                  <c:v>99.49475379234957</c:v>
                </c:pt>
                <c:pt idx="125">
                  <c:v>99.530270428094326</c:v>
                </c:pt>
                <c:pt idx="126">
                  <c:v>99.565187879092875</c:v>
                </c:pt>
                <c:pt idx="127">
                  <c:v>99.599516253914132</c:v>
                </c:pt>
                <c:pt idx="128">
                  <c:v>99.633265490590034</c:v>
                </c:pt>
                <c:pt idx="129">
                  <c:v>99.666445359492542</c:v>
                </c:pt>
                <c:pt idx="130">
                  <c:v>99.69906546616221</c:v>
                </c:pt>
                <c:pt idx="131">
                  <c:v>99.731135254088954</c:v>
                </c:pt>
                <c:pt idx="132">
                  <c:v>99.762664007445935</c:v>
                </c:pt>
                <c:pt idx="133">
                  <c:v>99.793660853777325</c:v>
                </c:pt>
                <c:pt idx="134">
                  <c:v>99.824134766640697</c:v>
                </c:pt>
                <c:pt idx="135">
                  <c:v>99.854094568204886</c:v>
                </c:pt>
                <c:pt idx="136">
                  <c:v>99.883548931804029</c:v>
                </c:pt>
                <c:pt idx="137">
                  <c:v>99.91250638444842</c:v>
                </c:pt>
                <c:pt idx="138">
                  <c:v>99.940975309293094</c:v>
                </c:pt>
                <c:pt idx="139">
                  <c:v>99.968963948064783</c:v>
                </c:pt>
                <c:pt idx="140">
                  <c:v>99.996480403447819</c:v>
                </c:pt>
                <c:pt idx="141">
                  <c:v>100.02353264142994</c:v>
                </c:pt>
                <c:pt idx="142">
                  <c:v>100.05012849360836</c:v>
                </c:pt>
                <c:pt idx="143">
                  <c:v>100.07627565945701</c:v>
                </c:pt>
                <c:pt idx="144">
                  <c:v>100.1019817085556</c:v>
                </c:pt>
                <c:pt idx="145">
                  <c:v>100.12725408278092</c:v>
                </c:pt>
                <c:pt idx="146">
                  <c:v>100.15210009846135</c:v>
                </c:pt>
                <c:pt idx="147">
                  <c:v>100.17652694849482</c:v>
                </c:pt>
                <c:pt idx="148">
                  <c:v>100.20054170443123</c:v>
                </c:pt>
                <c:pt idx="149">
                  <c:v>100.22415131851963</c:v>
                </c:pt>
                <c:pt idx="150">
                  <c:v>100.24736262572088</c:v>
                </c:pt>
                <c:pt idx="151">
                  <c:v>100.27018234568638</c:v>
                </c:pt>
                <c:pt idx="152">
                  <c:v>100.29261708470339</c:v>
                </c:pt>
                <c:pt idx="153">
                  <c:v>100.31467333760757</c:v>
                </c:pt>
                <c:pt idx="154">
                  <c:v>100.33635748966319</c:v>
                </c:pt>
                <c:pt idx="155">
                  <c:v>100.35767581841168</c:v>
                </c:pt>
                <c:pt idx="156">
                  <c:v>100.378634495489</c:v>
                </c:pt>
                <c:pt idx="157">
                  <c:v>100.39923958841223</c:v>
                </c:pt>
                <c:pt idx="158">
                  <c:v>100.41949706233622</c:v>
                </c:pt>
                <c:pt idx="159">
                  <c:v>100.43941278178046</c:v>
                </c:pt>
                <c:pt idx="160">
                  <c:v>100.45899251232682</c:v>
                </c:pt>
                <c:pt idx="161">
                  <c:v>100.47824192228867</c:v>
                </c:pt>
                <c:pt idx="162">
                  <c:v>100.49716658435197</c:v>
                </c:pt>
                <c:pt idx="163">
                  <c:v>100.51577197718838</c:v>
                </c:pt>
                <c:pt idx="164">
                  <c:v>100.53406348704149</c:v>
                </c:pt>
                <c:pt idx="165">
                  <c:v>100.55204640928602</c:v>
                </c:pt>
                <c:pt idx="166">
                  <c:v>100.5697259499609</c:v>
                </c:pt>
                <c:pt idx="167">
                  <c:v>100.58710722727638</c:v>
                </c:pt>
                <c:pt idx="168">
                  <c:v>100.60419527309571</c:v>
                </c:pt>
                <c:pt idx="169">
                  <c:v>72.420995034391964</c:v>
                </c:pt>
                <c:pt idx="170">
                  <c:v>72.437511374680085</c:v>
                </c:pt>
                <c:pt idx="171">
                  <c:v>72.453749075424881</c:v>
                </c:pt>
                <c:pt idx="172">
                  <c:v>72.46971283742532</c:v>
                </c:pt>
                <c:pt idx="173">
                  <c:v>72.485407282175359</c:v>
                </c:pt>
                <c:pt idx="174">
                  <c:v>72.500836953201826</c:v>
                </c:pt>
                <c:pt idx="175">
                  <c:v>72.516006317379862</c:v>
                </c:pt>
                <c:pt idx="176">
                  <c:v>72.530919766225978</c:v>
                </c:pt>
                <c:pt idx="177">
                  <c:v>72.545581617169475</c:v>
                </c:pt>
                <c:pt idx="178">
                  <c:v>72.55999611480226</c:v>
                </c:pt>
                <c:pt idx="179">
                  <c:v>72.574167432107728</c:v>
                </c:pt>
                <c:pt idx="180">
                  <c:v>72.588099671668772</c:v>
                </c:pt>
                <c:pt idx="181">
                  <c:v>72.601796866855537</c:v>
                </c:pt>
                <c:pt idx="182">
                  <c:v>72.615262982993031</c:v>
                </c:pt>
                <c:pt idx="183">
                  <c:v>72.628501918509059</c:v>
                </c:pt>
                <c:pt idx="184">
                  <c:v>72.641517506062911</c:v>
                </c:pt>
                <c:pt idx="185">
                  <c:v>72.654313513654827</c:v>
                </c:pt>
                <c:pt idx="186">
                  <c:v>72.66689364571684</c:v>
                </c:pt>
                <c:pt idx="187">
                  <c:v>72.679261544185252</c:v>
                </c:pt>
                <c:pt idx="188">
                  <c:v>72.69142078955494</c:v>
                </c:pt>
                <c:pt idx="189">
                  <c:v>72.703374901915865</c:v>
                </c:pt>
                <c:pt idx="190">
                  <c:v>72.715127341972234</c:v>
                </c:pt>
                <c:pt idx="191">
                  <c:v>72.72668151204428</c:v>
                </c:pt>
                <c:pt idx="192">
                  <c:v>72.738040757053255</c:v>
                </c:pt>
                <c:pt idx="193">
                  <c:v>72.749208365489821</c:v>
                </c:pt>
                <c:pt idx="194">
                  <c:v>72.760187570366028</c:v>
                </c:pt>
                <c:pt idx="195">
                  <c:v>72.770981550151234</c:v>
                </c:pt>
                <c:pt idx="196">
                  <c:v>72.781593429692364</c:v>
                </c:pt>
                <c:pt idx="197">
                  <c:v>72.792026281118467</c:v>
                </c:pt>
                <c:pt idx="198">
                  <c:v>72.802283124730124</c:v>
                </c:pt>
                <c:pt idx="199">
                  <c:v>72.812366929873818</c:v>
                </c:pt>
                <c:pt idx="200">
                  <c:v>72.822280615801574</c:v>
                </c:pt>
                <c:pt idx="201">
                  <c:v>72.832027052516054</c:v>
                </c:pt>
                <c:pt idx="202">
                  <c:v>72.841609061601417</c:v>
                </c:pt>
                <c:pt idx="203">
                  <c:v>72.851029417040237</c:v>
                </c:pt>
                <c:pt idx="204">
                  <c:v>72.860290846016426</c:v>
                </c:pt>
                <c:pt idx="205">
                  <c:v>72.869396029704916</c:v>
                </c:pt>
                <c:pt idx="206">
                  <c:v>72.878347604047718</c:v>
                </c:pt>
                <c:pt idx="207">
                  <c:v>72.887148160517114</c:v>
                </c:pt>
                <c:pt idx="208">
                  <c:v>72.895800246865861</c:v>
                </c:pt>
                <c:pt idx="209">
                  <c:v>72.904306367864706</c:v>
                </c:pt>
                <c:pt idx="210">
                  <c:v>72.91266898602764</c:v>
                </c:pt>
                <c:pt idx="211">
                  <c:v>72.920890522324669</c:v>
                </c:pt>
                <c:pt idx="212">
                  <c:v>72.92897335688275</c:v>
                </c:pt>
                <c:pt idx="213">
                  <c:v>72.936919829674807</c:v>
                </c:pt>
                <c:pt idx="214">
                  <c:v>72.944732241197158</c:v>
                </c:pt>
                <c:pt idx="215">
                  <c:v>72.952412853135556</c:v>
                </c:pt>
                <c:pt idx="216">
                  <c:v>72.959963889019832</c:v>
                </c:pt>
                <c:pt idx="217">
                  <c:v>72.967387534867726</c:v>
                </c:pt>
                <c:pt idx="218">
                  <c:v>72.974685939817661</c:v>
                </c:pt>
                <c:pt idx="219">
                  <c:v>72.981861216750943</c:v>
                </c:pt>
                <c:pt idx="220">
                  <c:v>72.988915442903419</c:v>
                </c:pt>
                <c:pt idx="221">
                  <c:v>72.995850660466871</c:v>
                </c:pt>
                <c:pt idx="222">
                  <c:v>73.002668877180199</c:v>
                </c:pt>
                <c:pt idx="223">
                  <c:v>73.009372066910672</c:v>
                </c:pt>
                <c:pt idx="224">
                  <c:v>73.015962170225365</c:v>
                </c:pt>
                <c:pt idx="225">
                  <c:v>73.022441094952896</c:v>
                </c:pt>
                <c:pt idx="226">
                  <c:v>73.028810716735862</c:v>
                </c:pt>
                <c:pt idx="227">
                  <c:v>73.035072879573704</c:v>
                </c:pt>
                <c:pt idx="228">
                  <c:v>73.041229396356613</c:v>
                </c:pt>
                <c:pt idx="229">
                  <c:v>73.047282049390361</c:v>
                </c:pt>
              </c:numCache>
            </c:numRef>
          </c:yVal>
          <c:smooth val="1"/>
          <c:extLst>
            <c:ext xmlns:c16="http://schemas.microsoft.com/office/drawing/2014/chart" uri="{C3380CC4-5D6E-409C-BE32-E72D297353CC}">
              <c16:uniqueId val="{00000001-AC67-4490-A7A2-5233B7C6622A}"/>
            </c:ext>
          </c:extLst>
        </c:ser>
        <c:ser>
          <c:idx val="2"/>
          <c:order val="2"/>
          <c:tx>
            <c:v>Fluorescent GSL (T5, 2018)</c:v>
          </c:tx>
          <c:spPr>
            <a:ln w="19050" cap="rnd">
              <a:solidFill>
                <a:srgbClr val="B80000"/>
              </a:solidFill>
              <a:round/>
            </a:ln>
            <a:effectLst/>
          </c:spPr>
          <c:marker>
            <c:symbol val="none"/>
          </c:marker>
          <c:xVal>
            <c:numRef>
              <c:f>'[Data-graficos 11 12 2017-v23.02.18+2lines.xlsx]Sheet1'!$AF$7:$AF$236</c:f>
              <c:numCache>
                <c:formatCode>General</c:formatCode>
                <c:ptCount val="23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pt idx="60">
                  <c:v>910</c:v>
                </c:pt>
                <c:pt idx="61">
                  <c:v>920</c:v>
                </c:pt>
                <c:pt idx="62">
                  <c:v>930</c:v>
                </c:pt>
                <c:pt idx="63">
                  <c:v>940</c:v>
                </c:pt>
                <c:pt idx="64">
                  <c:v>950</c:v>
                </c:pt>
                <c:pt idx="65">
                  <c:v>960</c:v>
                </c:pt>
                <c:pt idx="66">
                  <c:v>970</c:v>
                </c:pt>
                <c:pt idx="67">
                  <c:v>980</c:v>
                </c:pt>
                <c:pt idx="68">
                  <c:v>990</c:v>
                </c:pt>
                <c:pt idx="69">
                  <c:v>1000</c:v>
                </c:pt>
                <c:pt idx="70">
                  <c:v>1010</c:v>
                </c:pt>
                <c:pt idx="71">
                  <c:v>1020</c:v>
                </c:pt>
                <c:pt idx="72">
                  <c:v>1030</c:v>
                </c:pt>
                <c:pt idx="73">
                  <c:v>1040</c:v>
                </c:pt>
                <c:pt idx="74">
                  <c:v>1050</c:v>
                </c:pt>
                <c:pt idx="75">
                  <c:v>1060</c:v>
                </c:pt>
                <c:pt idx="76">
                  <c:v>1070</c:v>
                </c:pt>
                <c:pt idx="77">
                  <c:v>1080</c:v>
                </c:pt>
                <c:pt idx="78">
                  <c:v>1090</c:v>
                </c:pt>
                <c:pt idx="79">
                  <c:v>1100</c:v>
                </c:pt>
                <c:pt idx="80">
                  <c:v>1110</c:v>
                </c:pt>
                <c:pt idx="81">
                  <c:v>1120</c:v>
                </c:pt>
                <c:pt idx="82">
                  <c:v>1130</c:v>
                </c:pt>
                <c:pt idx="83">
                  <c:v>1140</c:v>
                </c:pt>
                <c:pt idx="84">
                  <c:v>1150</c:v>
                </c:pt>
                <c:pt idx="85">
                  <c:v>1160</c:v>
                </c:pt>
                <c:pt idx="86">
                  <c:v>1170</c:v>
                </c:pt>
                <c:pt idx="87">
                  <c:v>1180</c:v>
                </c:pt>
                <c:pt idx="88">
                  <c:v>1190</c:v>
                </c:pt>
                <c:pt idx="89">
                  <c:v>1200</c:v>
                </c:pt>
                <c:pt idx="90">
                  <c:v>1210</c:v>
                </c:pt>
                <c:pt idx="91">
                  <c:v>1220</c:v>
                </c:pt>
                <c:pt idx="92">
                  <c:v>1230</c:v>
                </c:pt>
                <c:pt idx="93">
                  <c:v>1240</c:v>
                </c:pt>
                <c:pt idx="94">
                  <c:v>1250</c:v>
                </c:pt>
                <c:pt idx="95">
                  <c:v>1260</c:v>
                </c:pt>
                <c:pt idx="96">
                  <c:v>1270</c:v>
                </c:pt>
                <c:pt idx="97">
                  <c:v>1280</c:v>
                </c:pt>
                <c:pt idx="98">
                  <c:v>1290</c:v>
                </c:pt>
                <c:pt idx="99">
                  <c:v>1300</c:v>
                </c:pt>
                <c:pt idx="100">
                  <c:v>1310</c:v>
                </c:pt>
                <c:pt idx="101">
                  <c:v>1320</c:v>
                </c:pt>
                <c:pt idx="102">
                  <c:v>1330</c:v>
                </c:pt>
                <c:pt idx="103">
                  <c:v>1340</c:v>
                </c:pt>
                <c:pt idx="104">
                  <c:v>1350</c:v>
                </c:pt>
                <c:pt idx="105">
                  <c:v>1360</c:v>
                </c:pt>
                <c:pt idx="106">
                  <c:v>1370</c:v>
                </c:pt>
                <c:pt idx="107">
                  <c:v>1380</c:v>
                </c:pt>
                <c:pt idx="108">
                  <c:v>1390</c:v>
                </c:pt>
                <c:pt idx="109">
                  <c:v>1400</c:v>
                </c:pt>
                <c:pt idx="110">
                  <c:v>1410</c:v>
                </c:pt>
                <c:pt idx="111">
                  <c:v>1420</c:v>
                </c:pt>
                <c:pt idx="112">
                  <c:v>1430</c:v>
                </c:pt>
                <c:pt idx="113">
                  <c:v>1440</c:v>
                </c:pt>
                <c:pt idx="114">
                  <c:v>1450</c:v>
                </c:pt>
                <c:pt idx="115">
                  <c:v>1460</c:v>
                </c:pt>
                <c:pt idx="116">
                  <c:v>1470</c:v>
                </c:pt>
                <c:pt idx="117">
                  <c:v>1480</c:v>
                </c:pt>
                <c:pt idx="118">
                  <c:v>1490</c:v>
                </c:pt>
                <c:pt idx="119">
                  <c:v>1500</c:v>
                </c:pt>
                <c:pt idx="120">
                  <c:v>1510</c:v>
                </c:pt>
                <c:pt idx="121">
                  <c:v>1520</c:v>
                </c:pt>
                <c:pt idx="122">
                  <c:v>1530</c:v>
                </c:pt>
                <c:pt idx="123">
                  <c:v>1540</c:v>
                </c:pt>
                <c:pt idx="124">
                  <c:v>1550</c:v>
                </c:pt>
                <c:pt idx="125">
                  <c:v>1560</c:v>
                </c:pt>
                <c:pt idx="126">
                  <c:v>1570</c:v>
                </c:pt>
                <c:pt idx="127">
                  <c:v>1580</c:v>
                </c:pt>
                <c:pt idx="128">
                  <c:v>1590</c:v>
                </c:pt>
                <c:pt idx="129">
                  <c:v>1600</c:v>
                </c:pt>
                <c:pt idx="130">
                  <c:v>1610</c:v>
                </c:pt>
                <c:pt idx="131">
                  <c:v>1620</c:v>
                </c:pt>
                <c:pt idx="132">
                  <c:v>1630</c:v>
                </c:pt>
                <c:pt idx="133">
                  <c:v>1640</c:v>
                </c:pt>
                <c:pt idx="134">
                  <c:v>1650</c:v>
                </c:pt>
                <c:pt idx="135">
                  <c:v>1660</c:v>
                </c:pt>
                <c:pt idx="136">
                  <c:v>1670</c:v>
                </c:pt>
                <c:pt idx="137">
                  <c:v>1680</c:v>
                </c:pt>
                <c:pt idx="138">
                  <c:v>1690</c:v>
                </c:pt>
                <c:pt idx="139">
                  <c:v>1700</c:v>
                </c:pt>
                <c:pt idx="140">
                  <c:v>1710</c:v>
                </c:pt>
                <c:pt idx="141">
                  <c:v>1720</c:v>
                </c:pt>
                <c:pt idx="142">
                  <c:v>1730</c:v>
                </c:pt>
                <c:pt idx="143">
                  <c:v>1740</c:v>
                </c:pt>
                <c:pt idx="144">
                  <c:v>1750</c:v>
                </c:pt>
                <c:pt idx="145">
                  <c:v>1760</c:v>
                </c:pt>
                <c:pt idx="146">
                  <c:v>1770</c:v>
                </c:pt>
                <c:pt idx="147">
                  <c:v>1780</c:v>
                </c:pt>
                <c:pt idx="148">
                  <c:v>1790</c:v>
                </c:pt>
                <c:pt idx="149">
                  <c:v>1800</c:v>
                </c:pt>
                <c:pt idx="150">
                  <c:v>1810</c:v>
                </c:pt>
                <c:pt idx="151">
                  <c:v>1820</c:v>
                </c:pt>
                <c:pt idx="152">
                  <c:v>1830</c:v>
                </c:pt>
                <c:pt idx="153">
                  <c:v>1840</c:v>
                </c:pt>
                <c:pt idx="154">
                  <c:v>1850</c:v>
                </c:pt>
                <c:pt idx="155">
                  <c:v>1860</c:v>
                </c:pt>
                <c:pt idx="156">
                  <c:v>1870</c:v>
                </c:pt>
                <c:pt idx="157">
                  <c:v>1880</c:v>
                </c:pt>
                <c:pt idx="158">
                  <c:v>1890</c:v>
                </c:pt>
                <c:pt idx="159">
                  <c:v>1900</c:v>
                </c:pt>
                <c:pt idx="160">
                  <c:v>1910</c:v>
                </c:pt>
                <c:pt idx="161">
                  <c:v>1920</c:v>
                </c:pt>
                <c:pt idx="162">
                  <c:v>1930</c:v>
                </c:pt>
                <c:pt idx="163">
                  <c:v>1940</c:v>
                </c:pt>
                <c:pt idx="164">
                  <c:v>1950</c:v>
                </c:pt>
                <c:pt idx="165">
                  <c:v>1960</c:v>
                </c:pt>
                <c:pt idx="166">
                  <c:v>1970</c:v>
                </c:pt>
                <c:pt idx="167">
                  <c:v>1980</c:v>
                </c:pt>
                <c:pt idx="168">
                  <c:v>1990</c:v>
                </c:pt>
                <c:pt idx="169">
                  <c:v>2000</c:v>
                </c:pt>
                <c:pt idx="170">
                  <c:v>2010</c:v>
                </c:pt>
                <c:pt idx="171">
                  <c:v>2020</c:v>
                </c:pt>
                <c:pt idx="172">
                  <c:v>2030</c:v>
                </c:pt>
                <c:pt idx="173">
                  <c:v>2040</c:v>
                </c:pt>
                <c:pt idx="174">
                  <c:v>2050</c:v>
                </c:pt>
                <c:pt idx="175">
                  <c:v>2060</c:v>
                </c:pt>
                <c:pt idx="176">
                  <c:v>2070</c:v>
                </c:pt>
                <c:pt idx="177">
                  <c:v>2080</c:v>
                </c:pt>
                <c:pt idx="178">
                  <c:v>2090</c:v>
                </c:pt>
                <c:pt idx="179">
                  <c:v>2100</c:v>
                </c:pt>
                <c:pt idx="180">
                  <c:v>2110</c:v>
                </c:pt>
                <c:pt idx="181">
                  <c:v>2120</c:v>
                </c:pt>
                <c:pt idx="182">
                  <c:v>2130</c:v>
                </c:pt>
                <c:pt idx="183">
                  <c:v>2140</c:v>
                </c:pt>
                <c:pt idx="184">
                  <c:v>2150</c:v>
                </c:pt>
                <c:pt idx="185">
                  <c:v>2160</c:v>
                </c:pt>
                <c:pt idx="186">
                  <c:v>2170</c:v>
                </c:pt>
                <c:pt idx="187">
                  <c:v>2180</c:v>
                </c:pt>
                <c:pt idx="188">
                  <c:v>2190</c:v>
                </c:pt>
                <c:pt idx="189">
                  <c:v>2200</c:v>
                </c:pt>
                <c:pt idx="190">
                  <c:v>2210</c:v>
                </c:pt>
                <c:pt idx="191">
                  <c:v>2220</c:v>
                </c:pt>
                <c:pt idx="192">
                  <c:v>2230</c:v>
                </c:pt>
                <c:pt idx="193">
                  <c:v>2240</c:v>
                </c:pt>
                <c:pt idx="194">
                  <c:v>2250</c:v>
                </c:pt>
                <c:pt idx="195">
                  <c:v>2260</c:v>
                </c:pt>
                <c:pt idx="196">
                  <c:v>2270</c:v>
                </c:pt>
                <c:pt idx="197">
                  <c:v>2280</c:v>
                </c:pt>
                <c:pt idx="198">
                  <c:v>2290</c:v>
                </c:pt>
                <c:pt idx="199">
                  <c:v>2300</c:v>
                </c:pt>
                <c:pt idx="200">
                  <c:v>2310</c:v>
                </c:pt>
                <c:pt idx="201">
                  <c:v>2320</c:v>
                </c:pt>
                <c:pt idx="202">
                  <c:v>2330</c:v>
                </c:pt>
                <c:pt idx="203">
                  <c:v>2340</c:v>
                </c:pt>
                <c:pt idx="204">
                  <c:v>2350</c:v>
                </c:pt>
                <c:pt idx="205">
                  <c:v>2360</c:v>
                </c:pt>
                <c:pt idx="206">
                  <c:v>2370</c:v>
                </c:pt>
                <c:pt idx="207">
                  <c:v>2380</c:v>
                </c:pt>
                <c:pt idx="208">
                  <c:v>2390</c:v>
                </c:pt>
                <c:pt idx="209">
                  <c:v>2400</c:v>
                </c:pt>
                <c:pt idx="210">
                  <c:v>2410</c:v>
                </c:pt>
                <c:pt idx="211">
                  <c:v>2420</c:v>
                </c:pt>
                <c:pt idx="212">
                  <c:v>2430</c:v>
                </c:pt>
                <c:pt idx="213">
                  <c:v>2440</c:v>
                </c:pt>
                <c:pt idx="214">
                  <c:v>2450</c:v>
                </c:pt>
                <c:pt idx="215">
                  <c:v>2460</c:v>
                </c:pt>
                <c:pt idx="216">
                  <c:v>2470</c:v>
                </c:pt>
                <c:pt idx="217">
                  <c:v>2480</c:v>
                </c:pt>
                <c:pt idx="218">
                  <c:v>2490</c:v>
                </c:pt>
                <c:pt idx="219">
                  <c:v>2500</c:v>
                </c:pt>
                <c:pt idx="220">
                  <c:v>2510</c:v>
                </c:pt>
                <c:pt idx="221">
                  <c:v>2520</c:v>
                </c:pt>
                <c:pt idx="222">
                  <c:v>2530</c:v>
                </c:pt>
                <c:pt idx="223">
                  <c:v>2540</c:v>
                </c:pt>
                <c:pt idx="224">
                  <c:v>2550</c:v>
                </c:pt>
                <c:pt idx="225">
                  <c:v>2560</c:v>
                </c:pt>
                <c:pt idx="226">
                  <c:v>2570</c:v>
                </c:pt>
                <c:pt idx="227">
                  <c:v>2580</c:v>
                </c:pt>
                <c:pt idx="228">
                  <c:v>2590</c:v>
                </c:pt>
                <c:pt idx="229">
                  <c:v>2600</c:v>
                </c:pt>
              </c:numCache>
            </c:numRef>
          </c:xVal>
          <c:yVal>
            <c:numRef>
              <c:f>'[Data-graficos 11 12 2017-v23.02.18+2lines.xlsx]Sheet1'!$AH$7:$AH$236</c:f>
              <c:numCache>
                <c:formatCode>General</c:formatCode>
                <c:ptCount val="230"/>
                <c:pt idx="0">
                  <c:v>95</c:v>
                </c:pt>
                <c:pt idx="1">
                  <c:v>95</c:v>
                </c:pt>
                <c:pt idx="2">
                  <c:v>95</c:v>
                </c:pt>
                <c:pt idx="3">
                  <c:v>95</c:v>
                </c:pt>
                <c:pt idx="4">
                  <c:v>95</c:v>
                </c:pt>
                <c:pt idx="5">
                  <c:v>95</c:v>
                </c:pt>
                <c:pt idx="6">
                  <c:v>95</c:v>
                </c:pt>
                <c:pt idx="7">
                  <c:v>95</c:v>
                </c:pt>
                <c:pt idx="8">
                  <c:v>95</c:v>
                </c:pt>
                <c:pt idx="9">
                  <c:v>95</c:v>
                </c:pt>
                <c:pt idx="10">
                  <c:v>95</c:v>
                </c:pt>
                <c:pt idx="11">
                  <c:v>95</c:v>
                </c:pt>
                <c:pt idx="12">
                  <c:v>95</c:v>
                </c:pt>
                <c:pt idx="13">
                  <c:v>95</c:v>
                </c:pt>
                <c:pt idx="14">
                  <c:v>95</c:v>
                </c:pt>
                <c:pt idx="15">
                  <c:v>95</c:v>
                </c:pt>
                <c:pt idx="16">
                  <c:v>95</c:v>
                </c:pt>
                <c:pt idx="17">
                  <c:v>95</c:v>
                </c:pt>
                <c:pt idx="18">
                  <c:v>95</c:v>
                </c:pt>
                <c:pt idx="19">
                  <c:v>95</c:v>
                </c:pt>
                <c:pt idx="20">
                  <c:v>95</c:v>
                </c:pt>
                <c:pt idx="21">
                  <c:v>95</c:v>
                </c:pt>
                <c:pt idx="22">
                  <c:v>95</c:v>
                </c:pt>
                <c:pt idx="23">
                  <c:v>95</c:v>
                </c:pt>
                <c:pt idx="24">
                  <c:v>95</c:v>
                </c:pt>
                <c:pt idx="25">
                  <c:v>95</c:v>
                </c:pt>
                <c:pt idx="26">
                  <c:v>95</c:v>
                </c:pt>
                <c:pt idx="27">
                  <c:v>95</c:v>
                </c:pt>
                <c:pt idx="28">
                  <c:v>95</c:v>
                </c:pt>
                <c:pt idx="29">
                  <c:v>95</c:v>
                </c:pt>
                <c:pt idx="30">
                  <c:v>95</c:v>
                </c:pt>
                <c:pt idx="31">
                  <c:v>95</c:v>
                </c:pt>
                <c:pt idx="32">
                  <c:v>95</c:v>
                </c:pt>
                <c:pt idx="33">
                  <c:v>95</c:v>
                </c:pt>
                <c:pt idx="34">
                  <c:v>95</c:v>
                </c:pt>
                <c:pt idx="35">
                  <c:v>95</c:v>
                </c:pt>
                <c:pt idx="36">
                  <c:v>95</c:v>
                </c:pt>
                <c:pt idx="37">
                  <c:v>95</c:v>
                </c:pt>
                <c:pt idx="38">
                  <c:v>95</c:v>
                </c:pt>
                <c:pt idx="39">
                  <c:v>95</c:v>
                </c:pt>
                <c:pt idx="40">
                  <c:v>95</c:v>
                </c:pt>
                <c:pt idx="41">
                  <c:v>95</c:v>
                </c:pt>
                <c:pt idx="42">
                  <c:v>95</c:v>
                </c:pt>
                <c:pt idx="43">
                  <c:v>95</c:v>
                </c:pt>
                <c:pt idx="44">
                  <c:v>95</c:v>
                </c:pt>
                <c:pt idx="45">
                  <c:v>95</c:v>
                </c:pt>
                <c:pt idx="46">
                  <c:v>95</c:v>
                </c:pt>
                <c:pt idx="47">
                  <c:v>95</c:v>
                </c:pt>
                <c:pt idx="48">
                  <c:v>95</c:v>
                </c:pt>
                <c:pt idx="49">
                  <c:v>95</c:v>
                </c:pt>
                <c:pt idx="50">
                  <c:v>95</c:v>
                </c:pt>
                <c:pt idx="51">
                  <c:v>95</c:v>
                </c:pt>
                <c:pt idx="52">
                  <c:v>95</c:v>
                </c:pt>
                <c:pt idx="53">
                  <c:v>95</c:v>
                </c:pt>
                <c:pt idx="54">
                  <c:v>95</c:v>
                </c:pt>
                <c:pt idx="55">
                  <c:v>95</c:v>
                </c:pt>
                <c:pt idx="56">
                  <c:v>95</c:v>
                </c:pt>
                <c:pt idx="57">
                  <c:v>95</c:v>
                </c:pt>
                <c:pt idx="58">
                  <c:v>95</c:v>
                </c:pt>
                <c:pt idx="59">
                  <c:v>95</c:v>
                </c:pt>
                <c:pt idx="60">
                  <c:v>95</c:v>
                </c:pt>
                <c:pt idx="61">
                  <c:v>95</c:v>
                </c:pt>
                <c:pt idx="62">
                  <c:v>95</c:v>
                </c:pt>
                <c:pt idx="63">
                  <c:v>95</c:v>
                </c:pt>
                <c:pt idx="64">
                  <c:v>95</c:v>
                </c:pt>
                <c:pt idx="65">
                  <c:v>95</c:v>
                </c:pt>
                <c:pt idx="66">
                  <c:v>95</c:v>
                </c:pt>
                <c:pt idx="67">
                  <c:v>95</c:v>
                </c:pt>
                <c:pt idx="68">
                  <c:v>95</c:v>
                </c:pt>
                <c:pt idx="69">
                  <c:v>95</c:v>
                </c:pt>
                <c:pt idx="70">
                  <c:v>95</c:v>
                </c:pt>
                <c:pt idx="71">
                  <c:v>95</c:v>
                </c:pt>
                <c:pt idx="72">
                  <c:v>95</c:v>
                </c:pt>
                <c:pt idx="73">
                  <c:v>95</c:v>
                </c:pt>
                <c:pt idx="74">
                  <c:v>95</c:v>
                </c:pt>
                <c:pt idx="75">
                  <c:v>95</c:v>
                </c:pt>
                <c:pt idx="76">
                  <c:v>95</c:v>
                </c:pt>
                <c:pt idx="77">
                  <c:v>95</c:v>
                </c:pt>
                <c:pt idx="78">
                  <c:v>95</c:v>
                </c:pt>
                <c:pt idx="79">
                  <c:v>95</c:v>
                </c:pt>
                <c:pt idx="80">
                  <c:v>95</c:v>
                </c:pt>
                <c:pt idx="81">
                  <c:v>95</c:v>
                </c:pt>
                <c:pt idx="82">
                  <c:v>95</c:v>
                </c:pt>
                <c:pt idx="83">
                  <c:v>95</c:v>
                </c:pt>
                <c:pt idx="84">
                  <c:v>95</c:v>
                </c:pt>
                <c:pt idx="85">
                  <c:v>95</c:v>
                </c:pt>
                <c:pt idx="86">
                  <c:v>95</c:v>
                </c:pt>
                <c:pt idx="87">
                  <c:v>95</c:v>
                </c:pt>
                <c:pt idx="88">
                  <c:v>95</c:v>
                </c:pt>
                <c:pt idx="89">
                  <c:v>95</c:v>
                </c:pt>
                <c:pt idx="90">
                  <c:v>95</c:v>
                </c:pt>
                <c:pt idx="91">
                  <c:v>95</c:v>
                </c:pt>
                <c:pt idx="92">
                  <c:v>95</c:v>
                </c:pt>
                <c:pt idx="93">
                  <c:v>95</c:v>
                </c:pt>
                <c:pt idx="94">
                  <c:v>95</c:v>
                </c:pt>
                <c:pt idx="95">
                  <c:v>95</c:v>
                </c:pt>
                <c:pt idx="96">
                  <c:v>95</c:v>
                </c:pt>
                <c:pt idx="97">
                  <c:v>95</c:v>
                </c:pt>
                <c:pt idx="98">
                  <c:v>95</c:v>
                </c:pt>
                <c:pt idx="99">
                  <c:v>95</c:v>
                </c:pt>
                <c:pt idx="100">
                  <c:v>95</c:v>
                </c:pt>
                <c:pt idx="101">
                  <c:v>95</c:v>
                </c:pt>
                <c:pt idx="102">
                  <c:v>95</c:v>
                </c:pt>
                <c:pt idx="103">
                  <c:v>95</c:v>
                </c:pt>
                <c:pt idx="104">
                  <c:v>95</c:v>
                </c:pt>
                <c:pt idx="105">
                  <c:v>95</c:v>
                </c:pt>
                <c:pt idx="106">
                  <c:v>95</c:v>
                </c:pt>
                <c:pt idx="107">
                  <c:v>95</c:v>
                </c:pt>
                <c:pt idx="108">
                  <c:v>95</c:v>
                </c:pt>
                <c:pt idx="109">
                  <c:v>95</c:v>
                </c:pt>
                <c:pt idx="110">
                  <c:v>95</c:v>
                </c:pt>
                <c:pt idx="111">
                  <c:v>95</c:v>
                </c:pt>
                <c:pt idx="112">
                  <c:v>95</c:v>
                </c:pt>
                <c:pt idx="113">
                  <c:v>95</c:v>
                </c:pt>
                <c:pt idx="114">
                  <c:v>95</c:v>
                </c:pt>
                <c:pt idx="115">
                  <c:v>95</c:v>
                </c:pt>
                <c:pt idx="116">
                  <c:v>95</c:v>
                </c:pt>
                <c:pt idx="117">
                  <c:v>95</c:v>
                </c:pt>
                <c:pt idx="118">
                  <c:v>95</c:v>
                </c:pt>
                <c:pt idx="119">
                  <c:v>95</c:v>
                </c:pt>
                <c:pt idx="120">
                  <c:v>95</c:v>
                </c:pt>
                <c:pt idx="121">
                  <c:v>95</c:v>
                </c:pt>
                <c:pt idx="122">
                  <c:v>95</c:v>
                </c:pt>
                <c:pt idx="123">
                  <c:v>95</c:v>
                </c:pt>
                <c:pt idx="124">
                  <c:v>95</c:v>
                </c:pt>
                <c:pt idx="125">
                  <c:v>95</c:v>
                </c:pt>
                <c:pt idx="126">
                  <c:v>95</c:v>
                </c:pt>
                <c:pt idx="127">
                  <c:v>95</c:v>
                </c:pt>
                <c:pt idx="128">
                  <c:v>95</c:v>
                </c:pt>
                <c:pt idx="129">
                  <c:v>95</c:v>
                </c:pt>
                <c:pt idx="130">
                  <c:v>95</c:v>
                </c:pt>
                <c:pt idx="131">
                  <c:v>95</c:v>
                </c:pt>
                <c:pt idx="132">
                  <c:v>95</c:v>
                </c:pt>
                <c:pt idx="133">
                  <c:v>95</c:v>
                </c:pt>
                <c:pt idx="134">
                  <c:v>95</c:v>
                </c:pt>
                <c:pt idx="135">
                  <c:v>95</c:v>
                </c:pt>
                <c:pt idx="136">
                  <c:v>95</c:v>
                </c:pt>
                <c:pt idx="137">
                  <c:v>95</c:v>
                </c:pt>
                <c:pt idx="138">
                  <c:v>95</c:v>
                </c:pt>
                <c:pt idx="139">
                  <c:v>95</c:v>
                </c:pt>
                <c:pt idx="140">
                  <c:v>95</c:v>
                </c:pt>
                <c:pt idx="141">
                  <c:v>95</c:v>
                </c:pt>
                <c:pt idx="142">
                  <c:v>95</c:v>
                </c:pt>
                <c:pt idx="143">
                  <c:v>95</c:v>
                </c:pt>
                <c:pt idx="144">
                  <c:v>95</c:v>
                </c:pt>
                <c:pt idx="145">
                  <c:v>95</c:v>
                </c:pt>
                <c:pt idx="146">
                  <c:v>95</c:v>
                </c:pt>
                <c:pt idx="147">
                  <c:v>95</c:v>
                </c:pt>
                <c:pt idx="148">
                  <c:v>95</c:v>
                </c:pt>
                <c:pt idx="149">
                  <c:v>95</c:v>
                </c:pt>
                <c:pt idx="150">
                  <c:v>95</c:v>
                </c:pt>
                <c:pt idx="151">
                  <c:v>95</c:v>
                </c:pt>
                <c:pt idx="152">
                  <c:v>95</c:v>
                </c:pt>
                <c:pt idx="153">
                  <c:v>95</c:v>
                </c:pt>
                <c:pt idx="154">
                  <c:v>95</c:v>
                </c:pt>
                <c:pt idx="155">
                  <c:v>95</c:v>
                </c:pt>
                <c:pt idx="156">
                  <c:v>95</c:v>
                </c:pt>
                <c:pt idx="157">
                  <c:v>95</c:v>
                </c:pt>
                <c:pt idx="158">
                  <c:v>95</c:v>
                </c:pt>
                <c:pt idx="159">
                  <c:v>95</c:v>
                </c:pt>
                <c:pt idx="160">
                  <c:v>95</c:v>
                </c:pt>
                <c:pt idx="161">
                  <c:v>95</c:v>
                </c:pt>
                <c:pt idx="162">
                  <c:v>95</c:v>
                </c:pt>
                <c:pt idx="163">
                  <c:v>95</c:v>
                </c:pt>
                <c:pt idx="164">
                  <c:v>95</c:v>
                </c:pt>
                <c:pt idx="165">
                  <c:v>95</c:v>
                </c:pt>
                <c:pt idx="166">
                  <c:v>95</c:v>
                </c:pt>
                <c:pt idx="167">
                  <c:v>95</c:v>
                </c:pt>
                <c:pt idx="168">
                  <c:v>95</c:v>
                </c:pt>
                <c:pt idx="169">
                  <c:v>95</c:v>
                </c:pt>
                <c:pt idx="170">
                  <c:v>95</c:v>
                </c:pt>
                <c:pt idx="171">
                  <c:v>95</c:v>
                </c:pt>
                <c:pt idx="172">
                  <c:v>95</c:v>
                </c:pt>
                <c:pt idx="173">
                  <c:v>95</c:v>
                </c:pt>
                <c:pt idx="174">
                  <c:v>95</c:v>
                </c:pt>
                <c:pt idx="175">
                  <c:v>95</c:v>
                </c:pt>
                <c:pt idx="176">
                  <c:v>95</c:v>
                </c:pt>
                <c:pt idx="177">
                  <c:v>95</c:v>
                </c:pt>
                <c:pt idx="178">
                  <c:v>95</c:v>
                </c:pt>
                <c:pt idx="179">
                  <c:v>95</c:v>
                </c:pt>
                <c:pt idx="180">
                  <c:v>95</c:v>
                </c:pt>
                <c:pt idx="181">
                  <c:v>95</c:v>
                </c:pt>
                <c:pt idx="182">
                  <c:v>95</c:v>
                </c:pt>
                <c:pt idx="183">
                  <c:v>95</c:v>
                </c:pt>
                <c:pt idx="184">
                  <c:v>95</c:v>
                </c:pt>
                <c:pt idx="185">
                  <c:v>95</c:v>
                </c:pt>
                <c:pt idx="186">
                  <c:v>95</c:v>
                </c:pt>
                <c:pt idx="187">
                  <c:v>95</c:v>
                </c:pt>
                <c:pt idx="188">
                  <c:v>95</c:v>
                </c:pt>
                <c:pt idx="189">
                  <c:v>95</c:v>
                </c:pt>
                <c:pt idx="190">
                  <c:v>95</c:v>
                </c:pt>
                <c:pt idx="191">
                  <c:v>95</c:v>
                </c:pt>
                <c:pt idx="192">
                  <c:v>95</c:v>
                </c:pt>
                <c:pt idx="193">
                  <c:v>95</c:v>
                </c:pt>
                <c:pt idx="194">
                  <c:v>95</c:v>
                </c:pt>
                <c:pt idx="195">
                  <c:v>95</c:v>
                </c:pt>
                <c:pt idx="196">
                  <c:v>95</c:v>
                </c:pt>
                <c:pt idx="197">
                  <c:v>95</c:v>
                </c:pt>
                <c:pt idx="198">
                  <c:v>95</c:v>
                </c:pt>
                <c:pt idx="199">
                  <c:v>95</c:v>
                </c:pt>
                <c:pt idx="200">
                  <c:v>95</c:v>
                </c:pt>
                <c:pt idx="201">
                  <c:v>95</c:v>
                </c:pt>
                <c:pt idx="202">
                  <c:v>95</c:v>
                </c:pt>
                <c:pt idx="203">
                  <c:v>95</c:v>
                </c:pt>
                <c:pt idx="204">
                  <c:v>95</c:v>
                </c:pt>
                <c:pt idx="205">
                  <c:v>95</c:v>
                </c:pt>
                <c:pt idx="206">
                  <c:v>95</c:v>
                </c:pt>
                <c:pt idx="207">
                  <c:v>95</c:v>
                </c:pt>
                <c:pt idx="208">
                  <c:v>95</c:v>
                </c:pt>
                <c:pt idx="209">
                  <c:v>95</c:v>
                </c:pt>
                <c:pt idx="210">
                  <c:v>95</c:v>
                </c:pt>
                <c:pt idx="211">
                  <c:v>95</c:v>
                </c:pt>
                <c:pt idx="212">
                  <c:v>95</c:v>
                </c:pt>
                <c:pt idx="213">
                  <c:v>95</c:v>
                </c:pt>
                <c:pt idx="214">
                  <c:v>95</c:v>
                </c:pt>
                <c:pt idx="215">
                  <c:v>95</c:v>
                </c:pt>
                <c:pt idx="216">
                  <c:v>95</c:v>
                </c:pt>
                <c:pt idx="217">
                  <c:v>95</c:v>
                </c:pt>
                <c:pt idx="218">
                  <c:v>95</c:v>
                </c:pt>
                <c:pt idx="219">
                  <c:v>95</c:v>
                </c:pt>
                <c:pt idx="220">
                  <c:v>95</c:v>
                </c:pt>
                <c:pt idx="221">
                  <c:v>95</c:v>
                </c:pt>
                <c:pt idx="222">
                  <c:v>95</c:v>
                </c:pt>
                <c:pt idx="223">
                  <c:v>95</c:v>
                </c:pt>
                <c:pt idx="224">
                  <c:v>95</c:v>
                </c:pt>
                <c:pt idx="225">
                  <c:v>95</c:v>
                </c:pt>
                <c:pt idx="226">
                  <c:v>95</c:v>
                </c:pt>
                <c:pt idx="227">
                  <c:v>95</c:v>
                </c:pt>
                <c:pt idx="228">
                  <c:v>95</c:v>
                </c:pt>
                <c:pt idx="229">
                  <c:v>95</c:v>
                </c:pt>
              </c:numCache>
            </c:numRef>
          </c:yVal>
          <c:smooth val="1"/>
          <c:extLst>
            <c:ext xmlns:c16="http://schemas.microsoft.com/office/drawing/2014/chart" uri="{C3380CC4-5D6E-409C-BE32-E72D297353CC}">
              <c16:uniqueId val="{00000002-AC67-4490-A7A2-5233B7C6622A}"/>
            </c:ext>
          </c:extLst>
        </c:ser>
        <c:ser>
          <c:idx val="3"/>
          <c:order val="3"/>
          <c:tx>
            <c:v>CFL (bare lamp)</c:v>
          </c:tx>
          <c:spPr>
            <a:ln w="19050" cap="rnd">
              <a:solidFill>
                <a:srgbClr val="5C0000"/>
              </a:solidFill>
              <a:round/>
            </a:ln>
            <a:effectLst/>
          </c:spPr>
          <c:marker>
            <c:symbol val="none"/>
          </c:marker>
          <c:xVal>
            <c:numRef>
              <c:f>'[Data-graficos 11 12 2017-v23.02.18+2lines.xlsx]Sheet1'!$AI$10:$AI$48</c:f>
              <c:numCache>
                <c:formatCode>General</c:formatCode>
                <c:ptCount val="39"/>
                <c:pt idx="0">
                  <c:v>225</c:v>
                </c:pt>
                <c:pt idx="1">
                  <c:v>270</c:v>
                </c:pt>
                <c:pt idx="2">
                  <c:v>315</c:v>
                </c:pt>
                <c:pt idx="3">
                  <c:v>360</c:v>
                </c:pt>
                <c:pt idx="4">
                  <c:v>405</c:v>
                </c:pt>
                <c:pt idx="5">
                  <c:v>450</c:v>
                </c:pt>
                <c:pt idx="6">
                  <c:v>495</c:v>
                </c:pt>
                <c:pt idx="7">
                  <c:v>540</c:v>
                </c:pt>
                <c:pt idx="8">
                  <c:v>585</c:v>
                </c:pt>
                <c:pt idx="9">
                  <c:v>630</c:v>
                </c:pt>
                <c:pt idx="10">
                  <c:v>674.999955</c:v>
                </c:pt>
                <c:pt idx="11">
                  <c:v>900</c:v>
                </c:pt>
                <c:pt idx="12">
                  <c:v>960</c:v>
                </c:pt>
                <c:pt idx="13">
                  <c:v>1020</c:v>
                </c:pt>
                <c:pt idx="14">
                  <c:v>1080</c:v>
                </c:pt>
                <c:pt idx="15">
                  <c:v>1140</c:v>
                </c:pt>
                <c:pt idx="16">
                  <c:v>1260</c:v>
                </c:pt>
                <c:pt idx="17">
                  <c:v>1320</c:v>
                </c:pt>
                <c:pt idx="18">
                  <c:v>1380</c:v>
                </c:pt>
                <c:pt idx="19">
                  <c:v>1440</c:v>
                </c:pt>
                <c:pt idx="20">
                  <c:v>1500</c:v>
                </c:pt>
                <c:pt idx="21">
                  <c:v>1560</c:v>
                </c:pt>
                <c:pt idx="22">
                  <c:v>1620</c:v>
                </c:pt>
                <c:pt idx="23">
                  <c:v>1680</c:v>
                </c:pt>
                <c:pt idx="24">
                  <c:v>1740</c:v>
                </c:pt>
                <c:pt idx="25">
                  <c:v>1800</c:v>
                </c:pt>
                <c:pt idx="26">
                  <c:v>1860</c:v>
                </c:pt>
                <c:pt idx="27">
                  <c:v>1920</c:v>
                </c:pt>
                <c:pt idx="28">
                  <c:v>1980</c:v>
                </c:pt>
                <c:pt idx="29">
                  <c:v>2040</c:v>
                </c:pt>
                <c:pt idx="30">
                  <c:v>2100</c:v>
                </c:pt>
                <c:pt idx="31">
                  <c:v>2160</c:v>
                </c:pt>
                <c:pt idx="32">
                  <c:v>2220</c:v>
                </c:pt>
                <c:pt idx="33">
                  <c:v>2280</c:v>
                </c:pt>
                <c:pt idx="34">
                  <c:v>2340</c:v>
                </c:pt>
                <c:pt idx="35">
                  <c:v>2400</c:v>
                </c:pt>
                <c:pt idx="36">
                  <c:v>2460</c:v>
                </c:pt>
                <c:pt idx="37">
                  <c:v>2520</c:v>
                </c:pt>
                <c:pt idx="38">
                  <c:v>2580</c:v>
                </c:pt>
              </c:numCache>
            </c:numRef>
          </c:xVal>
          <c:yVal>
            <c:numRef>
              <c:f>'[Data-graficos 11 12 2017-v23.02.18+2lines.xlsx]Sheet1'!$AK$10:$AK$48</c:f>
              <c:numCache>
                <c:formatCode>General</c:formatCode>
                <c:ptCount val="39"/>
                <c:pt idx="0">
                  <c:v>45</c:v>
                </c:pt>
                <c:pt idx="1">
                  <c:v>45</c:v>
                </c:pt>
                <c:pt idx="2">
                  <c:v>45</c:v>
                </c:pt>
                <c:pt idx="3">
                  <c:v>45</c:v>
                </c:pt>
                <c:pt idx="4">
                  <c:v>45</c:v>
                </c:pt>
                <c:pt idx="5">
                  <c:v>45</c:v>
                </c:pt>
                <c:pt idx="6">
                  <c:v>45</c:v>
                </c:pt>
                <c:pt idx="7">
                  <c:v>45</c:v>
                </c:pt>
                <c:pt idx="8">
                  <c:v>45</c:v>
                </c:pt>
                <c:pt idx="9">
                  <c:v>45</c:v>
                </c:pt>
                <c:pt idx="10">
                  <c:v>45</c:v>
                </c:pt>
                <c:pt idx="11">
                  <c:v>60</c:v>
                </c:pt>
                <c:pt idx="12">
                  <c:v>60</c:v>
                </c:pt>
                <c:pt idx="13">
                  <c:v>60</c:v>
                </c:pt>
                <c:pt idx="14">
                  <c:v>60</c:v>
                </c:pt>
                <c:pt idx="15">
                  <c:v>60</c:v>
                </c:pt>
                <c:pt idx="16">
                  <c:v>60</c:v>
                </c:pt>
                <c:pt idx="17">
                  <c:v>60</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numCache>
            </c:numRef>
          </c:yVal>
          <c:smooth val="1"/>
          <c:extLst>
            <c:ext xmlns:c16="http://schemas.microsoft.com/office/drawing/2014/chart" uri="{C3380CC4-5D6E-409C-BE32-E72D297353CC}">
              <c16:uniqueId val="{00000003-AC67-4490-A7A2-5233B7C6622A}"/>
            </c:ext>
          </c:extLst>
        </c:ser>
        <c:ser>
          <c:idx val="4"/>
          <c:order val="4"/>
          <c:tx>
            <c:v>Energy Star all omnidirectional lamps CRI≥ 90</c:v>
          </c:tx>
          <c:spPr>
            <a:ln>
              <a:solidFill>
                <a:srgbClr val="D20C61"/>
              </a:solidFill>
            </a:ln>
          </c:spPr>
          <c:marker>
            <c:symbol val="none"/>
          </c:marker>
          <c:xVal>
            <c:numRef>
              <c:f>'[Data-graficos 11 12 2017-v23.02.18+2lines.xlsx]Sheet1'!$AL$7:$AL$236</c:f>
              <c:numCache>
                <c:formatCode>General</c:formatCode>
                <c:ptCount val="23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pt idx="60">
                  <c:v>910</c:v>
                </c:pt>
                <c:pt idx="61">
                  <c:v>920</c:v>
                </c:pt>
                <c:pt idx="62">
                  <c:v>930</c:v>
                </c:pt>
                <c:pt idx="63">
                  <c:v>940</c:v>
                </c:pt>
                <c:pt idx="64">
                  <c:v>950</c:v>
                </c:pt>
                <c:pt idx="65">
                  <c:v>960</c:v>
                </c:pt>
                <c:pt idx="66">
                  <c:v>970</c:v>
                </c:pt>
                <c:pt idx="67">
                  <c:v>980</c:v>
                </c:pt>
                <c:pt idx="68">
                  <c:v>990</c:v>
                </c:pt>
                <c:pt idx="69">
                  <c:v>1000</c:v>
                </c:pt>
                <c:pt idx="70">
                  <c:v>1010</c:v>
                </c:pt>
                <c:pt idx="71">
                  <c:v>1020</c:v>
                </c:pt>
                <c:pt idx="72">
                  <c:v>1030</c:v>
                </c:pt>
                <c:pt idx="73">
                  <c:v>1040</c:v>
                </c:pt>
                <c:pt idx="74">
                  <c:v>1050</c:v>
                </c:pt>
                <c:pt idx="75">
                  <c:v>1060</c:v>
                </c:pt>
                <c:pt idx="76">
                  <c:v>1070</c:v>
                </c:pt>
                <c:pt idx="77">
                  <c:v>1080</c:v>
                </c:pt>
                <c:pt idx="78">
                  <c:v>1090</c:v>
                </c:pt>
                <c:pt idx="79">
                  <c:v>1100</c:v>
                </c:pt>
                <c:pt idx="80">
                  <c:v>1110</c:v>
                </c:pt>
                <c:pt idx="81">
                  <c:v>1120</c:v>
                </c:pt>
                <c:pt idx="82">
                  <c:v>1130</c:v>
                </c:pt>
                <c:pt idx="83">
                  <c:v>1140</c:v>
                </c:pt>
                <c:pt idx="84">
                  <c:v>1150</c:v>
                </c:pt>
                <c:pt idx="85">
                  <c:v>1160</c:v>
                </c:pt>
                <c:pt idx="86">
                  <c:v>1170</c:v>
                </c:pt>
                <c:pt idx="87">
                  <c:v>1180</c:v>
                </c:pt>
                <c:pt idx="88">
                  <c:v>1190</c:v>
                </c:pt>
                <c:pt idx="89">
                  <c:v>1200</c:v>
                </c:pt>
                <c:pt idx="90">
                  <c:v>1210</c:v>
                </c:pt>
                <c:pt idx="91">
                  <c:v>1220</c:v>
                </c:pt>
                <c:pt idx="92">
                  <c:v>1230</c:v>
                </c:pt>
                <c:pt idx="93">
                  <c:v>1240</c:v>
                </c:pt>
                <c:pt idx="94">
                  <c:v>1250</c:v>
                </c:pt>
                <c:pt idx="95">
                  <c:v>1260</c:v>
                </c:pt>
                <c:pt idx="96">
                  <c:v>1270</c:v>
                </c:pt>
                <c:pt idx="97">
                  <c:v>1280</c:v>
                </c:pt>
                <c:pt idx="98">
                  <c:v>1290</c:v>
                </c:pt>
                <c:pt idx="99">
                  <c:v>1300</c:v>
                </c:pt>
                <c:pt idx="100">
                  <c:v>1310</c:v>
                </c:pt>
                <c:pt idx="101">
                  <c:v>1320</c:v>
                </c:pt>
                <c:pt idx="102">
                  <c:v>1330</c:v>
                </c:pt>
                <c:pt idx="103">
                  <c:v>1340</c:v>
                </c:pt>
                <c:pt idx="104">
                  <c:v>1350</c:v>
                </c:pt>
                <c:pt idx="105">
                  <c:v>1360</c:v>
                </c:pt>
                <c:pt idx="106">
                  <c:v>1370</c:v>
                </c:pt>
                <c:pt idx="107">
                  <c:v>1380</c:v>
                </c:pt>
                <c:pt idx="108">
                  <c:v>1390</c:v>
                </c:pt>
                <c:pt idx="109">
                  <c:v>1400</c:v>
                </c:pt>
                <c:pt idx="110">
                  <c:v>1410</c:v>
                </c:pt>
                <c:pt idx="111">
                  <c:v>1420</c:v>
                </c:pt>
                <c:pt idx="112">
                  <c:v>1430</c:v>
                </c:pt>
                <c:pt idx="113">
                  <c:v>1440</c:v>
                </c:pt>
                <c:pt idx="114">
                  <c:v>1450</c:v>
                </c:pt>
                <c:pt idx="115">
                  <c:v>1460</c:v>
                </c:pt>
                <c:pt idx="116">
                  <c:v>1470</c:v>
                </c:pt>
                <c:pt idx="117">
                  <c:v>1480</c:v>
                </c:pt>
                <c:pt idx="118">
                  <c:v>1490</c:v>
                </c:pt>
                <c:pt idx="119">
                  <c:v>1500</c:v>
                </c:pt>
                <c:pt idx="120">
                  <c:v>1510</c:v>
                </c:pt>
                <c:pt idx="121">
                  <c:v>1520</c:v>
                </c:pt>
                <c:pt idx="122">
                  <c:v>1530</c:v>
                </c:pt>
                <c:pt idx="123">
                  <c:v>1540</c:v>
                </c:pt>
                <c:pt idx="124">
                  <c:v>1550</c:v>
                </c:pt>
                <c:pt idx="125">
                  <c:v>1560</c:v>
                </c:pt>
                <c:pt idx="126">
                  <c:v>1570</c:v>
                </c:pt>
                <c:pt idx="127">
                  <c:v>1580</c:v>
                </c:pt>
                <c:pt idx="128">
                  <c:v>1590</c:v>
                </c:pt>
                <c:pt idx="129">
                  <c:v>1600</c:v>
                </c:pt>
                <c:pt idx="130">
                  <c:v>1610</c:v>
                </c:pt>
                <c:pt idx="131">
                  <c:v>1620</c:v>
                </c:pt>
                <c:pt idx="132">
                  <c:v>1630</c:v>
                </c:pt>
                <c:pt idx="133">
                  <c:v>1640</c:v>
                </c:pt>
                <c:pt idx="134">
                  <c:v>1650</c:v>
                </c:pt>
                <c:pt idx="135">
                  <c:v>1660</c:v>
                </c:pt>
                <c:pt idx="136">
                  <c:v>1670</c:v>
                </c:pt>
                <c:pt idx="137">
                  <c:v>1680</c:v>
                </c:pt>
                <c:pt idx="138">
                  <c:v>1690</c:v>
                </c:pt>
                <c:pt idx="139">
                  <c:v>1700</c:v>
                </c:pt>
                <c:pt idx="140">
                  <c:v>1710</c:v>
                </c:pt>
                <c:pt idx="141">
                  <c:v>1720</c:v>
                </c:pt>
                <c:pt idx="142">
                  <c:v>1730</c:v>
                </c:pt>
                <c:pt idx="143">
                  <c:v>1740</c:v>
                </c:pt>
                <c:pt idx="144">
                  <c:v>1750</c:v>
                </c:pt>
                <c:pt idx="145">
                  <c:v>1760</c:v>
                </c:pt>
                <c:pt idx="146">
                  <c:v>1770</c:v>
                </c:pt>
                <c:pt idx="147">
                  <c:v>1780</c:v>
                </c:pt>
                <c:pt idx="148">
                  <c:v>1790</c:v>
                </c:pt>
                <c:pt idx="149">
                  <c:v>1800</c:v>
                </c:pt>
                <c:pt idx="150">
                  <c:v>1810</c:v>
                </c:pt>
                <c:pt idx="151">
                  <c:v>1820</c:v>
                </c:pt>
                <c:pt idx="152">
                  <c:v>1830</c:v>
                </c:pt>
                <c:pt idx="153">
                  <c:v>1840</c:v>
                </c:pt>
                <c:pt idx="154">
                  <c:v>1850</c:v>
                </c:pt>
                <c:pt idx="155">
                  <c:v>1860</c:v>
                </c:pt>
                <c:pt idx="156">
                  <c:v>1870</c:v>
                </c:pt>
                <c:pt idx="157">
                  <c:v>1880</c:v>
                </c:pt>
                <c:pt idx="158">
                  <c:v>1890</c:v>
                </c:pt>
                <c:pt idx="159">
                  <c:v>1900</c:v>
                </c:pt>
                <c:pt idx="160">
                  <c:v>1910</c:v>
                </c:pt>
                <c:pt idx="161">
                  <c:v>1920</c:v>
                </c:pt>
                <c:pt idx="162">
                  <c:v>1930</c:v>
                </c:pt>
                <c:pt idx="163">
                  <c:v>1940</c:v>
                </c:pt>
                <c:pt idx="164">
                  <c:v>1950</c:v>
                </c:pt>
                <c:pt idx="165">
                  <c:v>1960</c:v>
                </c:pt>
                <c:pt idx="166">
                  <c:v>1970</c:v>
                </c:pt>
                <c:pt idx="167">
                  <c:v>1980</c:v>
                </c:pt>
                <c:pt idx="168">
                  <c:v>1990</c:v>
                </c:pt>
                <c:pt idx="169">
                  <c:v>2000</c:v>
                </c:pt>
                <c:pt idx="170">
                  <c:v>2010</c:v>
                </c:pt>
                <c:pt idx="171">
                  <c:v>2020</c:v>
                </c:pt>
                <c:pt idx="172">
                  <c:v>2030</c:v>
                </c:pt>
                <c:pt idx="173">
                  <c:v>2040</c:v>
                </c:pt>
                <c:pt idx="174">
                  <c:v>2050</c:v>
                </c:pt>
                <c:pt idx="175">
                  <c:v>2060</c:v>
                </c:pt>
                <c:pt idx="176">
                  <c:v>2070</c:v>
                </c:pt>
                <c:pt idx="177">
                  <c:v>2080</c:v>
                </c:pt>
                <c:pt idx="178">
                  <c:v>2090</c:v>
                </c:pt>
                <c:pt idx="179">
                  <c:v>2100</c:v>
                </c:pt>
                <c:pt idx="180">
                  <c:v>2110</c:v>
                </c:pt>
                <c:pt idx="181">
                  <c:v>2120</c:v>
                </c:pt>
                <c:pt idx="182">
                  <c:v>2130</c:v>
                </c:pt>
                <c:pt idx="183">
                  <c:v>2140</c:v>
                </c:pt>
                <c:pt idx="184">
                  <c:v>2150</c:v>
                </c:pt>
                <c:pt idx="185">
                  <c:v>2160</c:v>
                </c:pt>
                <c:pt idx="186">
                  <c:v>2170</c:v>
                </c:pt>
                <c:pt idx="187">
                  <c:v>2180</c:v>
                </c:pt>
                <c:pt idx="188">
                  <c:v>2190</c:v>
                </c:pt>
                <c:pt idx="189">
                  <c:v>2200</c:v>
                </c:pt>
                <c:pt idx="190">
                  <c:v>2210</c:v>
                </c:pt>
                <c:pt idx="191">
                  <c:v>2220</c:v>
                </c:pt>
                <c:pt idx="192">
                  <c:v>2230</c:v>
                </c:pt>
                <c:pt idx="193">
                  <c:v>2240</c:v>
                </c:pt>
                <c:pt idx="194">
                  <c:v>2250</c:v>
                </c:pt>
                <c:pt idx="195">
                  <c:v>2260</c:v>
                </c:pt>
                <c:pt idx="196">
                  <c:v>2270</c:v>
                </c:pt>
                <c:pt idx="197">
                  <c:v>2280</c:v>
                </c:pt>
                <c:pt idx="198">
                  <c:v>2290</c:v>
                </c:pt>
                <c:pt idx="199">
                  <c:v>2300</c:v>
                </c:pt>
                <c:pt idx="200">
                  <c:v>2310</c:v>
                </c:pt>
                <c:pt idx="201">
                  <c:v>2320</c:v>
                </c:pt>
                <c:pt idx="202">
                  <c:v>2330</c:v>
                </c:pt>
                <c:pt idx="203">
                  <c:v>2340</c:v>
                </c:pt>
                <c:pt idx="204">
                  <c:v>2350</c:v>
                </c:pt>
                <c:pt idx="205">
                  <c:v>2360</c:v>
                </c:pt>
                <c:pt idx="206">
                  <c:v>2370</c:v>
                </c:pt>
                <c:pt idx="207">
                  <c:v>2380</c:v>
                </c:pt>
                <c:pt idx="208">
                  <c:v>2390</c:v>
                </c:pt>
                <c:pt idx="209">
                  <c:v>2400</c:v>
                </c:pt>
                <c:pt idx="210">
                  <c:v>2410</c:v>
                </c:pt>
                <c:pt idx="211">
                  <c:v>2420</c:v>
                </c:pt>
                <c:pt idx="212">
                  <c:v>2430</c:v>
                </c:pt>
                <c:pt idx="213">
                  <c:v>2440</c:v>
                </c:pt>
                <c:pt idx="214">
                  <c:v>2450</c:v>
                </c:pt>
                <c:pt idx="215">
                  <c:v>2460</c:v>
                </c:pt>
                <c:pt idx="216">
                  <c:v>2470</c:v>
                </c:pt>
                <c:pt idx="217">
                  <c:v>2480</c:v>
                </c:pt>
                <c:pt idx="218">
                  <c:v>2490</c:v>
                </c:pt>
                <c:pt idx="219">
                  <c:v>2500</c:v>
                </c:pt>
                <c:pt idx="220">
                  <c:v>2510</c:v>
                </c:pt>
                <c:pt idx="221">
                  <c:v>2520</c:v>
                </c:pt>
                <c:pt idx="222">
                  <c:v>2530</c:v>
                </c:pt>
                <c:pt idx="223">
                  <c:v>2540</c:v>
                </c:pt>
                <c:pt idx="224">
                  <c:v>2550</c:v>
                </c:pt>
                <c:pt idx="225">
                  <c:v>2560</c:v>
                </c:pt>
                <c:pt idx="226">
                  <c:v>2570</c:v>
                </c:pt>
                <c:pt idx="227">
                  <c:v>2580</c:v>
                </c:pt>
                <c:pt idx="228">
                  <c:v>2590</c:v>
                </c:pt>
                <c:pt idx="229">
                  <c:v>2600</c:v>
                </c:pt>
              </c:numCache>
            </c:numRef>
          </c:xVal>
          <c:yVal>
            <c:numRef>
              <c:f>'[Data-graficos 11 12 2017-v23.02.18+2lines.xlsx]Sheet1'!$AN$7:$AN$236</c:f>
              <c:numCache>
                <c:formatCode>General</c:formatCode>
                <c:ptCount val="23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pt idx="21">
                  <c:v>70</c:v>
                </c:pt>
                <c:pt idx="22">
                  <c:v>70</c:v>
                </c:pt>
                <c:pt idx="23">
                  <c:v>70</c:v>
                </c:pt>
                <c:pt idx="24">
                  <c:v>70</c:v>
                </c:pt>
                <c:pt idx="25">
                  <c:v>70</c:v>
                </c:pt>
                <c:pt idx="26">
                  <c:v>70</c:v>
                </c:pt>
                <c:pt idx="27">
                  <c:v>70</c:v>
                </c:pt>
                <c:pt idx="28">
                  <c:v>70</c:v>
                </c:pt>
                <c:pt idx="29">
                  <c:v>70</c:v>
                </c:pt>
                <c:pt idx="30">
                  <c:v>70</c:v>
                </c:pt>
                <c:pt idx="31">
                  <c:v>70</c:v>
                </c:pt>
                <c:pt idx="32">
                  <c:v>70</c:v>
                </c:pt>
                <c:pt idx="33">
                  <c:v>70</c:v>
                </c:pt>
                <c:pt idx="34">
                  <c:v>70</c:v>
                </c:pt>
                <c:pt idx="35">
                  <c:v>70</c:v>
                </c:pt>
                <c:pt idx="36">
                  <c:v>70</c:v>
                </c:pt>
                <c:pt idx="37">
                  <c:v>70</c:v>
                </c:pt>
                <c:pt idx="38">
                  <c:v>70</c:v>
                </c:pt>
                <c:pt idx="39">
                  <c:v>70</c:v>
                </c:pt>
                <c:pt idx="40">
                  <c:v>70</c:v>
                </c:pt>
                <c:pt idx="41">
                  <c:v>70</c:v>
                </c:pt>
                <c:pt idx="42">
                  <c:v>70</c:v>
                </c:pt>
                <c:pt idx="43">
                  <c:v>70</c:v>
                </c:pt>
                <c:pt idx="44">
                  <c:v>70</c:v>
                </c:pt>
                <c:pt idx="45">
                  <c:v>70</c:v>
                </c:pt>
                <c:pt idx="46">
                  <c:v>70</c:v>
                </c:pt>
                <c:pt idx="47">
                  <c:v>70</c:v>
                </c:pt>
                <c:pt idx="48">
                  <c:v>70</c:v>
                </c:pt>
                <c:pt idx="49">
                  <c:v>70</c:v>
                </c:pt>
                <c:pt idx="50">
                  <c:v>70</c:v>
                </c:pt>
                <c:pt idx="51">
                  <c:v>70</c:v>
                </c:pt>
                <c:pt idx="52">
                  <c:v>70</c:v>
                </c:pt>
                <c:pt idx="53">
                  <c:v>70</c:v>
                </c:pt>
                <c:pt idx="54">
                  <c:v>70</c:v>
                </c:pt>
                <c:pt idx="55">
                  <c:v>70</c:v>
                </c:pt>
                <c:pt idx="56">
                  <c:v>70</c:v>
                </c:pt>
                <c:pt idx="57">
                  <c:v>70</c:v>
                </c:pt>
                <c:pt idx="58">
                  <c:v>70</c:v>
                </c:pt>
                <c:pt idx="59">
                  <c:v>70</c:v>
                </c:pt>
                <c:pt idx="60">
                  <c:v>70</c:v>
                </c:pt>
                <c:pt idx="61">
                  <c:v>70</c:v>
                </c:pt>
                <c:pt idx="62">
                  <c:v>70</c:v>
                </c:pt>
                <c:pt idx="63">
                  <c:v>70</c:v>
                </c:pt>
                <c:pt idx="64">
                  <c:v>70</c:v>
                </c:pt>
                <c:pt idx="65">
                  <c:v>70</c:v>
                </c:pt>
                <c:pt idx="66">
                  <c:v>70</c:v>
                </c:pt>
                <c:pt idx="67">
                  <c:v>70</c:v>
                </c:pt>
                <c:pt idx="68">
                  <c:v>70</c:v>
                </c:pt>
                <c:pt idx="69">
                  <c:v>70</c:v>
                </c:pt>
                <c:pt idx="70">
                  <c:v>70</c:v>
                </c:pt>
                <c:pt idx="71">
                  <c:v>70</c:v>
                </c:pt>
                <c:pt idx="72">
                  <c:v>70</c:v>
                </c:pt>
                <c:pt idx="73">
                  <c:v>70</c:v>
                </c:pt>
                <c:pt idx="74">
                  <c:v>70</c:v>
                </c:pt>
                <c:pt idx="75">
                  <c:v>70</c:v>
                </c:pt>
                <c:pt idx="76">
                  <c:v>70</c:v>
                </c:pt>
                <c:pt idx="77">
                  <c:v>70</c:v>
                </c:pt>
                <c:pt idx="78">
                  <c:v>70</c:v>
                </c:pt>
                <c:pt idx="79">
                  <c:v>70</c:v>
                </c:pt>
                <c:pt idx="80">
                  <c:v>70</c:v>
                </c:pt>
                <c:pt idx="81">
                  <c:v>70</c:v>
                </c:pt>
                <c:pt idx="82">
                  <c:v>70</c:v>
                </c:pt>
                <c:pt idx="83">
                  <c:v>70</c:v>
                </c:pt>
                <c:pt idx="84">
                  <c:v>70</c:v>
                </c:pt>
                <c:pt idx="85">
                  <c:v>70</c:v>
                </c:pt>
                <c:pt idx="86">
                  <c:v>70</c:v>
                </c:pt>
                <c:pt idx="87">
                  <c:v>70</c:v>
                </c:pt>
                <c:pt idx="88">
                  <c:v>70</c:v>
                </c:pt>
                <c:pt idx="89">
                  <c:v>70</c:v>
                </c:pt>
                <c:pt idx="90">
                  <c:v>70</c:v>
                </c:pt>
                <c:pt idx="91">
                  <c:v>70</c:v>
                </c:pt>
                <c:pt idx="92">
                  <c:v>70</c:v>
                </c:pt>
                <c:pt idx="93">
                  <c:v>70</c:v>
                </c:pt>
                <c:pt idx="94">
                  <c:v>70</c:v>
                </c:pt>
                <c:pt idx="95">
                  <c:v>70</c:v>
                </c:pt>
                <c:pt idx="96">
                  <c:v>70</c:v>
                </c:pt>
                <c:pt idx="97">
                  <c:v>70</c:v>
                </c:pt>
                <c:pt idx="98">
                  <c:v>70</c:v>
                </c:pt>
                <c:pt idx="99">
                  <c:v>70</c:v>
                </c:pt>
                <c:pt idx="100">
                  <c:v>70</c:v>
                </c:pt>
                <c:pt idx="101">
                  <c:v>70</c:v>
                </c:pt>
                <c:pt idx="102">
                  <c:v>70</c:v>
                </c:pt>
                <c:pt idx="103">
                  <c:v>70</c:v>
                </c:pt>
                <c:pt idx="104">
                  <c:v>70</c:v>
                </c:pt>
                <c:pt idx="105">
                  <c:v>70</c:v>
                </c:pt>
                <c:pt idx="106">
                  <c:v>70</c:v>
                </c:pt>
                <c:pt idx="107">
                  <c:v>70</c:v>
                </c:pt>
                <c:pt idx="108">
                  <c:v>70</c:v>
                </c:pt>
                <c:pt idx="109">
                  <c:v>70</c:v>
                </c:pt>
                <c:pt idx="110">
                  <c:v>70</c:v>
                </c:pt>
                <c:pt idx="111">
                  <c:v>70</c:v>
                </c:pt>
                <c:pt idx="112">
                  <c:v>70</c:v>
                </c:pt>
                <c:pt idx="113">
                  <c:v>70</c:v>
                </c:pt>
                <c:pt idx="114">
                  <c:v>70</c:v>
                </c:pt>
                <c:pt idx="115">
                  <c:v>70</c:v>
                </c:pt>
                <c:pt idx="116">
                  <c:v>70</c:v>
                </c:pt>
                <c:pt idx="117">
                  <c:v>70</c:v>
                </c:pt>
                <c:pt idx="118">
                  <c:v>70</c:v>
                </c:pt>
                <c:pt idx="119">
                  <c:v>70</c:v>
                </c:pt>
                <c:pt idx="120">
                  <c:v>70</c:v>
                </c:pt>
                <c:pt idx="121">
                  <c:v>70</c:v>
                </c:pt>
                <c:pt idx="122">
                  <c:v>70</c:v>
                </c:pt>
                <c:pt idx="123">
                  <c:v>70</c:v>
                </c:pt>
                <c:pt idx="124">
                  <c:v>70</c:v>
                </c:pt>
                <c:pt idx="125">
                  <c:v>70</c:v>
                </c:pt>
                <c:pt idx="126">
                  <c:v>70</c:v>
                </c:pt>
                <c:pt idx="127">
                  <c:v>70</c:v>
                </c:pt>
                <c:pt idx="128">
                  <c:v>70</c:v>
                </c:pt>
                <c:pt idx="129">
                  <c:v>70</c:v>
                </c:pt>
                <c:pt idx="130">
                  <c:v>70</c:v>
                </c:pt>
                <c:pt idx="131">
                  <c:v>70</c:v>
                </c:pt>
                <c:pt idx="132">
                  <c:v>70</c:v>
                </c:pt>
                <c:pt idx="133">
                  <c:v>70</c:v>
                </c:pt>
                <c:pt idx="134">
                  <c:v>70</c:v>
                </c:pt>
                <c:pt idx="135">
                  <c:v>70</c:v>
                </c:pt>
                <c:pt idx="136">
                  <c:v>70</c:v>
                </c:pt>
                <c:pt idx="137">
                  <c:v>70</c:v>
                </c:pt>
                <c:pt idx="138">
                  <c:v>70</c:v>
                </c:pt>
                <c:pt idx="139">
                  <c:v>70</c:v>
                </c:pt>
                <c:pt idx="140">
                  <c:v>70</c:v>
                </c:pt>
                <c:pt idx="141">
                  <c:v>70</c:v>
                </c:pt>
                <c:pt idx="142">
                  <c:v>70</c:v>
                </c:pt>
                <c:pt idx="143">
                  <c:v>70</c:v>
                </c:pt>
                <c:pt idx="144">
                  <c:v>70</c:v>
                </c:pt>
                <c:pt idx="145">
                  <c:v>70</c:v>
                </c:pt>
                <c:pt idx="146">
                  <c:v>70</c:v>
                </c:pt>
                <c:pt idx="147">
                  <c:v>70</c:v>
                </c:pt>
                <c:pt idx="148">
                  <c:v>70</c:v>
                </c:pt>
                <c:pt idx="149">
                  <c:v>70</c:v>
                </c:pt>
                <c:pt idx="150">
                  <c:v>70</c:v>
                </c:pt>
                <c:pt idx="151">
                  <c:v>70</c:v>
                </c:pt>
                <c:pt idx="152">
                  <c:v>70</c:v>
                </c:pt>
                <c:pt idx="153">
                  <c:v>70</c:v>
                </c:pt>
                <c:pt idx="154">
                  <c:v>70</c:v>
                </c:pt>
                <c:pt idx="155">
                  <c:v>70</c:v>
                </c:pt>
                <c:pt idx="156">
                  <c:v>70</c:v>
                </c:pt>
                <c:pt idx="157">
                  <c:v>70</c:v>
                </c:pt>
                <c:pt idx="158">
                  <c:v>70</c:v>
                </c:pt>
                <c:pt idx="159">
                  <c:v>70</c:v>
                </c:pt>
                <c:pt idx="160">
                  <c:v>70</c:v>
                </c:pt>
                <c:pt idx="161">
                  <c:v>70</c:v>
                </c:pt>
                <c:pt idx="162">
                  <c:v>70</c:v>
                </c:pt>
                <c:pt idx="163">
                  <c:v>70</c:v>
                </c:pt>
                <c:pt idx="164">
                  <c:v>70</c:v>
                </c:pt>
                <c:pt idx="165">
                  <c:v>70</c:v>
                </c:pt>
                <c:pt idx="166">
                  <c:v>70</c:v>
                </c:pt>
                <c:pt idx="167">
                  <c:v>70</c:v>
                </c:pt>
                <c:pt idx="168">
                  <c:v>70</c:v>
                </c:pt>
                <c:pt idx="169">
                  <c:v>70</c:v>
                </c:pt>
                <c:pt idx="170">
                  <c:v>70</c:v>
                </c:pt>
                <c:pt idx="171">
                  <c:v>70</c:v>
                </c:pt>
                <c:pt idx="172">
                  <c:v>70</c:v>
                </c:pt>
                <c:pt idx="173">
                  <c:v>70</c:v>
                </c:pt>
                <c:pt idx="174">
                  <c:v>70</c:v>
                </c:pt>
                <c:pt idx="175">
                  <c:v>70</c:v>
                </c:pt>
                <c:pt idx="176">
                  <c:v>70</c:v>
                </c:pt>
                <c:pt idx="177">
                  <c:v>70</c:v>
                </c:pt>
                <c:pt idx="178">
                  <c:v>70</c:v>
                </c:pt>
                <c:pt idx="179">
                  <c:v>70</c:v>
                </c:pt>
                <c:pt idx="180">
                  <c:v>70</c:v>
                </c:pt>
                <c:pt idx="181">
                  <c:v>70</c:v>
                </c:pt>
                <c:pt idx="182">
                  <c:v>70</c:v>
                </c:pt>
                <c:pt idx="183">
                  <c:v>70</c:v>
                </c:pt>
                <c:pt idx="184">
                  <c:v>70</c:v>
                </c:pt>
                <c:pt idx="185">
                  <c:v>70</c:v>
                </c:pt>
                <c:pt idx="186">
                  <c:v>70</c:v>
                </c:pt>
                <c:pt idx="187">
                  <c:v>70</c:v>
                </c:pt>
                <c:pt idx="188">
                  <c:v>70</c:v>
                </c:pt>
                <c:pt idx="189">
                  <c:v>70</c:v>
                </c:pt>
                <c:pt idx="190">
                  <c:v>70</c:v>
                </c:pt>
                <c:pt idx="191">
                  <c:v>70</c:v>
                </c:pt>
                <c:pt idx="192">
                  <c:v>70</c:v>
                </c:pt>
                <c:pt idx="193">
                  <c:v>70</c:v>
                </c:pt>
                <c:pt idx="194">
                  <c:v>70</c:v>
                </c:pt>
                <c:pt idx="195">
                  <c:v>70</c:v>
                </c:pt>
                <c:pt idx="196">
                  <c:v>70</c:v>
                </c:pt>
                <c:pt idx="197">
                  <c:v>70</c:v>
                </c:pt>
                <c:pt idx="198">
                  <c:v>70</c:v>
                </c:pt>
                <c:pt idx="199">
                  <c:v>70</c:v>
                </c:pt>
                <c:pt idx="200">
                  <c:v>70</c:v>
                </c:pt>
                <c:pt idx="201">
                  <c:v>70</c:v>
                </c:pt>
                <c:pt idx="202">
                  <c:v>70</c:v>
                </c:pt>
                <c:pt idx="203">
                  <c:v>70</c:v>
                </c:pt>
                <c:pt idx="204">
                  <c:v>70</c:v>
                </c:pt>
                <c:pt idx="205">
                  <c:v>70</c:v>
                </c:pt>
                <c:pt idx="206">
                  <c:v>70</c:v>
                </c:pt>
                <c:pt idx="207">
                  <c:v>70</c:v>
                </c:pt>
                <c:pt idx="208">
                  <c:v>70</c:v>
                </c:pt>
                <c:pt idx="209">
                  <c:v>70</c:v>
                </c:pt>
                <c:pt idx="210">
                  <c:v>70</c:v>
                </c:pt>
                <c:pt idx="211">
                  <c:v>70</c:v>
                </c:pt>
                <c:pt idx="212">
                  <c:v>70</c:v>
                </c:pt>
                <c:pt idx="213">
                  <c:v>70</c:v>
                </c:pt>
                <c:pt idx="214">
                  <c:v>70</c:v>
                </c:pt>
                <c:pt idx="215">
                  <c:v>70</c:v>
                </c:pt>
                <c:pt idx="216">
                  <c:v>70</c:v>
                </c:pt>
                <c:pt idx="217">
                  <c:v>70</c:v>
                </c:pt>
                <c:pt idx="218">
                  <c:v>70</c:v>
                </c:pt>
                <c:pt idx="219">
                  <c:v>70</c:v>
                </c:pt>
                <c:pt idx="220">
                  <c:v>70</c:v>
                </c:pt>
                <c:pt idx="221">
                  <c:v>70</c:v>
                </c:pt>
                <c:pt idx="222">
                  <c:v>70</c:v>
                </c:pt>
                <c:pt idx="223">
                  <c:v>70</c:v>
                </c:pt>
                <c:pt idx="224">
                  <c:v>70</c:v>
                </c:pt>
                <c:pt idx="225">
                  <c:v>70</c:v>
                </c:pt>
                <c:pt idx="226">
                  <c:v>70</c:v>
                </c:pt>
                <c:pt idx="227">
                  <c:v>70</c:v>
                </c:pt>
                <c:pt idx="228">
                  <c:v>70</c:v>
                </c:pt>
                <c:pt idx="229">
                  <c:v>70</c:v>
                </c:pt>
              </c:numCache>
            </c:numRef>
          </c:yVal>
          <c:smooth val="0"/>
          <c:extLst>
            <c:ext xmlns:c16="http://schemas.microsoft.com/office/drawing/2014/chart" uri="{C3380CC4-5D6E-409C-BE32-E72D297353CC}">
              <c16:uniqueId val="{00000004-AC67-4490-A7A2-5233B7C6622A}"/>
            </c:ext>
          </c:extLst>
        </c:ser>
        <c:ser>
          <c:idx val="5"/>
          <c:order val="5"/>
          <c:tx>
            <c:v>Energy Star all omnidirectional lamps CRI&lt;90</c:v>
          </c:tx>
          <c:spPr>
            <a:ln>
              <a:solidFill>
                <a:srgbClr val="F686A6"/>
              </a:solidFill>
            </a:ln>
          </c:spPr>
          <c:marker>
            <c:symbol val="none"/>
          </c:marker>
          <c:xVal>
            <c:numRef>
              <c:f>'[Data-graficos 11 12 2017-v23.02.18+2lines.xlsx]Sheet1'!$AO$7:$AO$236</c:f>
              <c:numCache>
                <c:formatCode>General</c:formatCode>
                <c:ptCount val="23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pt idx="60">
                  <c:v>910</c:v>
                </c:pt>
                <c:pt idx="61">
                  <c:v>920</c:v>
                </c:pt>
                <c:pt idx="62">
                  <c:v>930</c:v>
                </c:pt>
                <c:pt idx="63">
                  <c:v>940</c:v>
                </c:pt>
                <c:pt idx="64">
                  <c:v>950</c:v>
                </c:pt>
                <c:pt idx="65">
                  <c:v>960</c:v>
                </c:pt>
                <c:pt idx="66">
                  <c:v>970</c:v>
                </c:pt>
                <c:pt idx="67">
                  <c:v>980</c:v>
                </c:pt>
                <c:pt idx="68">
                  <c:v>990</c:v>
                </c:pt>
                <c:pt idx="69">
                  <c:v>1000</c:v>
                </c:pt>
                <c:pt idx="70">
                  <c:v>1010</c:v>
                </c:pt>
                <c:pt idx="71">
                  <c:v>1020</c:v>
                </c:pt>
                <c:pt idx="72">
                  <c:v>1030</c:v>
                </c:pt>
                <c:pt idx="73">
                  <c:v>1040</c:v>
                </c:pt>
                <c:pt idx="74">
                  <c:v>1050</c:v>
                </c:pt>
                <c:pt idx="75">
                  <c:v>1060</c:v>
                </c:pt>
                <c:pt idx="76">
                  <c:v>1070</c:v>
                </c:pt>
                <c:pt idx="77">
                  <c:v>1080</c:v>
                </c:pt>
                <c:pt idx="78">
                  <c:v>1090</c:v>
                </c:pt>
                <c:pt idx="79">
                  <c:v>1100</c:v>
                </c:pt>
                <c:pt idx="80">
                  <c:v>1110</c:v>
                </c:pt>
                <c:pt idx="81">
                  <c:v>1120</c:v>
                </c:pt>
                <c:pt idx="82">
                  <c:v>1130</c:v>
                </c:pt>
                <c:pt idx="83">
                  <c:v>1140</c:v>
                </c:pt>
                <c:pt idx="84">
                  <c:v>1150</c:v>
                </c:pt>
                <c:pt idx="85">
                  <c:v>1160</c:v>
                </c:pt>
                <c:pt idx="86">
                  <c:v>1170</c:v>
                </c:pt>
                <c:pt idx="87">
                  <c:v>1180</c:v>
                </c:pt>
                <c:pt idx="88">
                  <c:v>1190</c:v>
                </c:pt>
                <c:pt idx="89">
                  <c:v>1200</c:v>
                </c:pt>
                <c:pt idx="90">
                  <c:v>1210</c:v>
                </c:pt>
                <c:pt idx="91">
                  <c:v>1220</c:v>
                </c:pt>
                <c:pt idx="92">
                  <c:v>1230</c:v>
                </c:pt>
                <c:pt idx="93">
                  <c:v>1240</c:v>
                </c:pt>
                <c:pt idx="94">
                  <c:v>1250</c:v>
                </c:pt>
                <c:pt idx="95">
                  <c:v>1260</c:v>
                </c:pt>
                <c:pt idx="96">
                  <c:v>1270</c:v>
                </c:pt>
                <c:pt idx="97">
                  <c:v>1280</c:v>
                </c:pt>
                <c:pt idx="98">
                  <c:v>1290</c:v>
                </c:pt>
                <c:pt idx="99">
                  <c:v>1300</c:v>
                </c:pt>
                <c:pt idx="100">
                  <c:v>1310</c:v>
                </c:pt>
                <c:pt idx="101">
                  <c:v>1320</c:v>
                </c:pt>
                <c:pt idx="102">
                  <c:v>1330</c:v>
                </c:pt>
                <c:pt idx="103">
                  <c:v>1340</c:v>
                </c:pt>
                <c:pt idx="104">
                  <c:v>1350</c:v>
                </c:pt>
                <c:pt idx="105">
                  <c:v>1360</c:v>
                </c:pt>
                <c:pt idx="106">
                  <c:v>1370</c:v>
                </c:pt>
                <c:pt idx="107">
                  <c:v>1380</c:v>
                </c:pt>
                <c:pt idx="108">
                  <c:v>1390</c:v>
                </c:pt>
                <c:pt idx="109">
                  <c:v>1400</c:v>
                </c:pt>
                <c:pt idx="110">
                  <c:v>1410</c:v>
                </c:pt>
                <c:pt idx="111">
                  <c:v>1420</c:v>
                </c:pt>
                <c:pt idx="112">
                  <c:v>1430</c:v>
                </c:pt>
                <c:pt idx="113">
                  <c:v>1440</c:v>
                </c:pt>
                <c:pt idx="114">
                  <c:v>1450</c:v>
                </c:pt>
                <c:pt idx="115">
                  <c:v>1460</c:v>
                </c:pt>
                <c:pt idx="116">
                  <c:v>1470</c:v>
                </c:pt>
                <c:pt idx="117">
                  <c:v>1480</c:v>
                </c:pt>
                <c:pt idx="118">
                  <c:v>1490</c:v>
                </c:pt>
                <c:pt idx="119">
                  <c:v>1500</c:v>
                </c:pt>
                <c:pt idx="120">
                  <c:v>1510</c:v>
                </c:pt>
                <c:pt idx="121">
                  <c:v>1520</c:v>
                </c:pt>
                <c:pt idx="122">
                  <c:v>1530</c:v>
                </c:pt>
                <c:pt idx="123">
                  <c:v>1540</c:v>
                </c:pt>
                <c:pt idx="124">
                  <c:v>1550</c:v>
                </c:pt>
                <c:pt idx="125">
                  <c:v>1560</c:v>
                </c:pt>
                <c:pt idx="126">
                  <c:v>1570</c:v>
                </c:pt>
                <c:pt idx="127">
                  <c:v>1580</c:v>
                </c:pt>
                <c:pt idx="128">
                  <c:v>1590</c:v>
                </c:pt>
                <c:pt idx="129">
                  <c:v>1600</c:v>
                </c:pt>
                <c:pt idx="130">
                  <c:v>1610</c:v>
                </c:pt>
                <c:pt idx="131">
                  <c:v>1620</c:v>
                </c:pt>
                <c:pt idx="132">
                  <c:v>1630</c:v>
                </c:pt>
                <c:pt idx="133">
                  <c:v>1640</c:v>
                </c:pt>
                <c:pt idx="134">
                  <c:v>1650</c:v>
                </c:pt>
                <c:pt idx="135">
                  <c:v>1660</c:v>
                </c:pt>
                <c:pt idx="136">
                  <c:v>1670</c:v>
                </c:pt>
                <c:pt idx="137">
                  <c:v>1680</c:v>
                </c:pt>
                <c:pt idx="138">
                  <c:v>1690</c:v>
                </c:pt>
                <c:pt idx="139">
                  <c:v>1700</c:v>
                </c:pt>
                <c:pt idx="140">
                  <c:v>1710</c:v>
                </c:pt>
                <c:pt idx="141">
                  <c:v>1720</c:v>
                </c:pt>
                <c:pt idx="142">
                  <c:v>1730</c:v>
                </c:pt>
                <c:pt idx="143">
                  <c:v>1740</c:v>
                </c:pt>
                <c:pt idx="144">
                  <c:v>1750</c:v>
                </c:pt>
                <c:pt idx="145">
                  <c:v>1760</c:v>
                </c:pt>
                <c:pt idx="146">
                  <c:v>1770</c:v>
                </c:pt>
                <c:pt idx="147">
                  <c:v>1780</c:v>
                </c:pt>
                <c:pt idx="148">
                  <c:v>1790</c:v>
                </c:pt>
                <c:pt idx="149">
                  <c:v>1800</c:v>
                </c:pt>
                <c:pt idx="150">
                  <c:v>1810</c:v>
                </c:pt>
                <c:pt idx="151">
                  <c:v>1820</c:v>
                </c:pt>
                <c:pt idx="152">
                  <c:v>1830</c:v>
                </c:pt>
                <c:pt idx="153">
                  <c:v>1840</c:v>
                </c:pt>
                <c:pt idx="154">
                  <c:v>1850</c:v>
                </c:pt>
                <c:pt idx="155">
                  <c:v>1860</c:v>
                </c:pt>
                <c:pt idx="156">
                  <c:v>1870</c:v>
                </c:pt>
                <c:pt idx="157">
                  <c:v>1880</c:v>
                </c:pt>
                <c:pt idx="158">
                  <c:v>1890</c:v>
                </c:pt>
                <c:pt idx="159">
                  <c:v>1900</c:v>
                </c:pt>
                <c:pt idx="160">
                  <c:v>1910</c:v>
                </c:pt>
                <c:pt idx="161">
                  <c:v>1920</c:v>
                </c:pt>
                <c:pt idx="162">
                  <c:v>1930</c:v>
                </c:pt>
                <c:pt idx="163">
                  <c:v>1940</c:v>
                </c:pt>
                <c:pt idx="164">
                  <c:v>1950</c:v>
                </c:pt>
                <c:pt idx="165">
                  <c:v>1960</c:v>
                </c:pt>
                <c:pt idx="166">
                  <c:v>1970</c:v>
                </c:pt>
                <c:pt idx="167">
                  <c:v>1980</c:v>
                </c:pt>
                <c:pt idx="168">
                  <c:v>1990</c:v>
                </c:pt>
                <c:pt idx="169">
                  <c:v>2000</c:v>
                </c:pt>
                <c:pt idx="170">
                  <c:v>2010</c:v>
                </c:pt>
                <c:pt idx="171">
                  <c:v>2020</c:v>
                </c:pt>
                <c:pt idx="172">
                  <c:v>2030</c:v>
                </c:pt>
                <c:pt idx="173">
                  <c:v>2040</c:v>
                </c:pt>
                <c:pt idx="174">
                  <c:v>2050</c:v>
                </c:pt>
                <c:pt idx="175">
                  <c:v>2060</c:v>
                </c:pt>
                <c:pt idx="176">
                  <c:v>2070</c:v>
                </c:pt>
                <c:pt idx="177">
                  <c:v>2080</c:v>
                </c:pt>
                <c:pt idx="178">
                  <c:v>2090</c:v>
                </c:pt>
                <c:pt idx="179">
                  <c:v>2100</c:v>
                </c:pt>
                <c:pt idx="180">
                  <c:v>2110</c:v>
                </c:pt>
                <c:pt idx="181">
                  <c:v>2120</c:v>
                </c:pt>
                <c:pt idx="182">
                  <c:v>2130</c:v>
                </c:pt>
                <c:pt idx="183">
                  <c:v>2140</c:v>
                </c:pt>
                <c:pt idx="184">
                  <c:v>2150</c:v>
                </c:pt>
                <c:pt idx="185">
                  <c:v>2160</c:v>
                </c:pt>
                <c:pt idx="186">
                  <c:v>2170</c:v>
                </c:pt>
                <c:pt idx="187">
                  <c:v>2180</c:v>
                </c:pt>
                <c:pt idx="188">
                  <c:v>2190</c:v>
                </c:pt>
                <c:pt idx="189">
                  <c:v>2200</c:v>
                </c:pt>
                <c:pt idx="190">
                  <c:v>2210</c:v>
                </c:pt>
                <c:pt idx="191">
                  <c:v>2220</c:v>
                </c:pt>
                <c:pt idx="192">
                  <c:v>2230</c:v>
                </c:pt>
                <c:pt idx="193">
                  <c:v>2240</c:v>
                </c:pt>
                <c:pt idx="194">
                  <c:v>2250</c:v>
                </c:pt>
                <c:pt idx="195">
                  <c:v>2260</c:v>
                </c:pt>
                <c:pt idx="196">
                  <c:v>2270</c:v>
                </c:pt>
                <c:pt idx="197">
                  <c:v>2280</c:v>
                </c:pt>
                <c:pt idx="198">
                  <c:v>2290</c:v>
                </c:pt>
                <c:pt idx="199">
                  <c:v>2300</c:v>
                </c:pt>
                <c:pt idx="200">
                  <c:v>2310</c:v>
                </c:pt>
                <c:pt idx="201">
                  <c:v>2320</c:v>
                </c:pt>
                <c:pt idx="202">
                  <c:v>2330</c:v>
                </c:pt>
                <c:pt idx="203">
                  <c:v>2340</c:v>
                </c:pt>
                <c:pt idx="204">
                  <c:v>2350</c:v>
                </c:pt>
                <c:pt idx="205">
                  <c:v>2360</c:v>
                </c:pt>
                <c:pt idx="206">
                  <c:v>2370</c:v>
                </c:pt>
                <c:pt idx="207">
                  <c:v>2380</c:v>
                </c:pt>
                <c:pt idx="208">
                  <c:v>2390</c:v>
                </c:pt>
                <c:pt idx="209">
                  <c:v>2400</c:v>
                </c:pt>
                <c:pt idx="210">
                  <c:v>2410</c:v>
                </c:pt>
                <c:pt idx="211">
                  <c:v>2420</c:v>
                </c:pt>
                <c:pt idx="212">
                  <c:v>2430</c:v>
                </c:pt>
                <c:pt idx="213">
                  <c:v>2440</c:v>
                </c:pt>
                <c:pt idx="214">
                  <c:v>2450</c:v>
                </c:pt>
                <c:pt idx="215">
                  <c:v>2460</c:v>
                </c:pt>
                <c:pt idx="216">
                  <c:v>2470</c:v>
                </c:pt>
                <c:pt idx="217">
                  <c:v>2480</c:v>
                </c:pt>
                <c:pt idx="218">
                  <c:v>2490</c:v>
                </c:pt>
                <c:pt idx="219">
                  <c:v>2500</c:v>
                </c:pt>
                <c:pt idx="220">
                  <c:v>2510</c:v>
                </c:pt>
                <c:pt idx="221">
                  <c:v>2520</c:v>
                </c:pt>
                <c:pt idx="222">
                  <c:v>2530</c:v>
                </c:pt>
                <c:pt idx="223">
                  <c:v>2540</c:v>
                </c:pt>
                <c:pt idx="224">
                  <c:v>2550</c:v>
                </c:pt>
                <c:pt idx="225">
                  <c:v>2560</c:v>
                </c:pt>
                <c:pt idx="226">
                  <c:v>2570</c:v>
                </c:pt>
                <c:pt idx="227">
                  <c:v>2580</c:v>
                </c:pt>
                <c:pt idx="228">
                  <c:v>2590</c:v>
                </c:pt>
                <c:pt idx="229">
                  <c:v>2600</c:v>
                </c:pt>
              </c:numCache>
            </c:numRef>
          </c:xVal>
          <c:yVal>
            <c:numRef>
              <c:f>'[Data-graficos 11 12 2017-v23.02.18+2lines.xlsx]Sheet1'!$AQ$7:$AQ$236</c:f>
              <c:numCache>
                <c:formatCode>General</c:formatCode>
                <c:ptCount val="230"/>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pt idx="21">
                  <c:v>80</c:v>
                </c:pt>
                <c:pt idx="22">
                  <c:v>80</c:v>
                </c:pt>
                <c:pt idx="23">
                  <c:v>80</c:v>
                </c:pt>
                <c:pt idx="24">
                  <c:v>80</c:v>
                </c:pt>
                <c:pt idx="25">
                  <c:v>80</c:v>
                </c:pt>
                <c:pt idx="26">
                  <c:v>80</c:v>
                </c:pt>
                <c:pt idx="27">
                  <c:v>80</c:v>
                </c:pt>
                <c:pt idx="28">
                  <c:v>80</c:v>
                </c:pt>
                <c:pt idx="29">
                  <c:v>80</c:v>
                </c:pt>
                <c:pt idx="30">
                  <c:v>80</c:v>
                </c:pt>
                <c:pt idx="31">
                  <c:v>80</c:v>
                </c:pt>
                <c:pt idx="32">
                  <c:v>80</c:v>
                </c:pt>
                <c:pt idx="33">
                  <c:v>80</c:v>
                </c:pt>
                <c:pt idx="34">
                  <c:v>80</c:v>
                </c:pt>
                <c:pt idx="35">
                  <c:v>80</c:v>
                </c:pt>
                <c:pt idx="36">
                  <c:v>80</c:v>
                </c:pt>
                <c:pt idx="37">
                  <c:v>80</c:v>
                </c:pt>
                <c:pt idx="38">
                  <c:v>80</c:v>
                </c:pt>
                <c:pt idx="39">
                  <c:v>80</c:v>
                </c:pt>
                <c:pt idx="40">
                  <c:v>80</c:v>
                </c:pt>
                <c:pt idx="41">
                  <c:v>80</c:v>
                </c:pt>
                <c:pt idx="42">
                  <c:v>80</c:v>
                </c:pt>
                <c:pt idx="43">
                  <c:v>80</c:v>
                </c:pt>
                <c:pt idx="44">
                  <c:v>80</c:v>
                </c:pt>
                <c:pt idx="45">
                  <c:v>80</c:v>
                </c:pt>
                <c:pt idx="46">
                  <c:v>80</c:v>
                </c:pt>
                <c:pt idx="47">
                  <c:v>80</c:v>
                </c:pt>
                <c:pt idx="48">
                  <c:v>80</c:v>
                </c:pt>
                <c:pt idx="49">
                  <c:v>80</c:v>
                </c:pt>
                <c:pt idx="50">
                  <c:v>80</c:v>
                </c:pt>
                <c:pt idx="51">
                  <c:v>80</c:v>
                </c:pt>
                <c:pt idx="52">
                  <c:v>80</c:v>
                </c:pt>
                <c:pt idx="53">
                  <c:v>80</c:v>
                </c:pt>
                <c:pt idx="54">
                  <c:v>80</c:v>
                </c:pt>
                <c:pt idx="55">
                  <c:v>80</c:v>
                </c:pt>
                <c:pt idx="56">
                  <c:v>80</c:v>
                </c:pt>
                <c:pt idx="57">
                  <c:v>80</c:v>
                </c:pt>
                <c:pt idx="58">
                  <c:v>80</c:v>
                </c:pt>
                <c:pt idx="59">
                  <c:v>80</c:v>
                </c:pt>
                <c:pt idx="60">
                  <c:v>80</c:v>
                </c:pt>
                <c:pt idx="61">
                  <c:v>80</c:v>
                </c:pt>
                <c:pt idx="62">
                  <c:v>80</c:v>
                </c:pt>
                <c:pt idx="63">
                  <c:v>80</c:v>
                </c:pt>
                <c:pt idx="64">
                  <c:v>80</c:v>
                </c:pt>
                <c:pt idx="65">
                  <c:v>80</c:v>
                </c:pt>
                <c:pt idx="66">
                  <c:v>80</c:v>
                </c:pt>
                <c:pt idx="67">
                  <c:v>80</c:v>
                </c:pt>
                <c:pt idx="68">
                  <c:v>80</c:v>
                </c:pt>
                <c:pt idx="69">
                  <c:v>80</c:v>
                </c:pt>
                <c:pt idx="70">
                  <c:v>80</c:v>
                </c:pt>
                <c:pt idx="71">
                  <c:v>80</c:v>
                </c:pt>
                <c:pt idx="72">
                  <c:v>80</c:v>
                </c:pt>
                <c:pt idx="73">
                  <c:v>80</c:v>
                </c:pt>
                <c:pt idx="74">
                  <c:v>80</c:v>
                </c:pt>
                <c:pt idx="75">
                  <c:v>80</c:v>
                </c:pt>
                <c:pt idx="76">
                  <c:v>80</c:v>
                </c:pt>
                <c:pt idx="77">
                  <c:v>80</c:v>
                </c:pt>
                <c:pt idx="78">
                  <c:v>80</c:v>
                </c:pt>
                <c:pt idx="79">
                  <c:v>80</c:v>
                </c:pt>
                <c:pt idx="80">
                  <c:v>80</c:v>
                </c:pt>
                <c:pt idx="81">
                  <c:v>80</c:v>
                </c:pt>
                <c:pt idx="82">
                  <c:v>80</c:v>
                </c:pt>
                <c:pt idx="83">
                  <c:v>80</c:v>
                </c:pt>
                <c:pt idx="84">
                  <c:v>80</c:v>
                </c:pt>
                <c:pt idx="85">
                  <c:v>80</c:v>
                </c:pt>
                <c:pt idx="86">
                  <c:v>80</c:v>
                </c:pt>
                <c:pt idx="87">
                  <c:v>80</c:v>
                </c:pt>
                <c:pt idx="88">
                  <c:v>80</c:v>
                </c:pt>
                <c:pt idx="89">
                  <c:v>80</c:v>
                </c:pt>
                <c:pt idx="90">
                  <c:v>80</c:v>
                </c:pt>
                <c:pt idx="91">
                  <c:v>80</c:v>
                </c:pt>
                <c:pt idx="92">
                  <c:v>80</c:v>
                </c:pt>
                <c:pt idx="93">
                  <c:v>80</c:v>
                </c:pt>
                <c:pt idx="94">
                  <c:v>80</c:v>
                </c:pt>
                <c:pt idx="95">
                  <c:v>80</c:v>
                </c:pt>
                <c:pt idx="96">
                  <c:v>80</c:v>
                </c:pt>
                <c:pt idx="97">
                  <c:v>80</c:v>
                </c:pt>
                <c:pt idx="98">
                  <c:v>80</c:v>
                </c:pt>
                <c:pt idx="99">
                  <c:v>80</c:v>
                </c:pt>
                <c:pt idx="100">
                  <c:v>80</c:v>
                </c:pt>
                <c:pt idx="101">
                  <c:v>80</c:v>
                </c:pt>
                <c:pt idx="102">
                  <c:v>80</c:v>
                </c:pt>
                <c:pt idx="103">
                  <c:v>80</c:v>
                </c:pt>
                <c:pt idx="104">
                  <c:v>80</c:v>
                </c:pt>
                <c:pt idx="105">
                  <c:v>80</c:v>
                </c:pt>
                <c:pt idx="106">
                  <c:v>80</c:v>
                </c:pt>
                <c:pt idx="107">
                  <c:v>80</c:v>
                </c:pt>
                <c:pt idx="108">
                  <c:v>80</c:v>
                </c:pt>
                <c:pt idx="109">
                  <c:v>80</c:v>
                </c:pt>
                <c:pt idx="110">
                  <c:v>80</c:v>
                </c:pt>
                <c:pt idx="111">
                  <c:v>80</c:v>
                </c:pt>
                <c:pt idx="112">
                  <c:v>80</c:v>
                </c:pt>
                <c:pt idx="113">
                  <c:v>80</c:v>
                </c:pt>
                <c:pt idx="114">
                  <c:v>80</c:v>
                </c:pt>
                <c:pt idx="115">
                  <c:v>80</c:v>
                </c:pt>
                <c:pt idx="116">
                  <c:v>80</c:v>
                </c:pt>
                <c:pt idx="117">
                  <c:v>80</c:v>
                </c:pt>
                <c:pt idx="118">
                  <c:v>80</c:v>
                </c:pt>
                <c:pt idx="119">
                  <c:v>80</c:v>
                </c:pt>
                <c:pt idx="120">
                  <c:v>80</c:v>
                </c:pt>
                <c:pt idx="121">
                  <c:v>80</c:v>
                </c:pt>
                <c:pt idx="122">
                  <c:v>80</c:v>
                </c:pt>
                <c:pt idx="123">
                  <c:v>80</c:v>
                </c:pt>
                <c:pt idx="124">
                  <c:v>80</c:v>
                </c:pt>
                <c:pt idx="125">
                  <c:v>80</c:v>
                </c:pt>
                <c:pt idx="126">
                  <c:v>80</c:v>
                </c:pt>
                <c:pt idx="127">
                  <c:v>80</c:v>
                </c:pt>
                <c:pt idx="128">
                  <c:v>80</c:v>
                </c:pt>
                <c:pt idx="129">
                  <c:v>80</c:v>
                </c:pt>
                <c:pt idx="130">
                  <c:v>80</c:v>
                </c:pt>
                <c:pt idx="131">
                  <c:v>80</c:v>
                </c:pt>
                <c:pt idx="132">
                  <c:v>80</c:v>
                </c:pt>
                <c:pt idx="133">
                  <c:v>80</c:v>
                </c:pt>
                <c:pt idx="134">
                  <c:v>80</c:v>
                </c:pt>
                <c:pt idx="135">
                  <c:v>80</c:v>
                </c:pt>
                <c:pt idx="136">
                  <c:v>80</c:v>
                </c:pt>
                <c:pt idx="137">
                  <c:v>80</c:v>
                </c:pt>
                <c:pt idx="138">
                  <c:v>80</c:v>
                </c:pt>
                <c:pt idx="139">
                  <c:v>80</c:v>
                </c:pt>
                <c:pt idx="140">
                  <c:v>80</c:v>
                </c:pt>
                <c:pt idx="141">
                  <c:v>80</c:v>
                </c:pt>
                <c:pt idx="142">
                  <c:v>80</c:v>
                </c:pt>
                <c:pt idx="143">
                  <c:v>80</c:v>
                </c:pt>
                <c:pt idx="144">
                  <c:v>80</c:v>
                </c:pt>
                <c:pt idx="145">
                  <c:v>80</c:v>
                </c:pt>
                <c:pt idx="146">
                  <c:v>80</c:v>
                </c:pt>
                <c:pt idx="147">
                  <c:v>80</c:v>
                </c:pt>
                <c:pt idx="148">
                  <c:v>80</c:v>
                </c:pt>
                <c:pt idx="149">
                  <c:v>80</c:v>
                </c:pt>
                <c:pt idx="150">
                  <c:v>80</c:v>
                </c:pt>
                <c:pt idx="151">
                  <c:v>80</c:v>
                </c:pt>
                <c:pt idx="152">
                  <c:v>80</c:v>
                </c:pt>
                <c:pt idx="153">
                  <c:v>80</c:v>
                </c:pt>
                <c:pt idx="154">
                  <c:v>80</c:v>
                </c:pt>
                <c:pt idx="155">
                  <c:v>80</c:v>
                </c:pt>
                <c:pt idx="156">
                  <c:v>80</c:v>
                </c:pt>
                <c:pt idx="157">
                  <c:v>80</c:v>
                </c:pt>
                <c:pt idx="158">
                  <c:v>80</c:v>
                </c:pt>
                <c:pt idx="159">
                  <c:v>80</c:v>
                </c:pt>
                <c:pt idx="160">
                  <c:v>80</c:v>
                </c:pt>
                <c:pt idx="161">
                  <c:v>80</c:v>
                </c:pt>
                <c:pt idx="162">
                  <c:v>80</c:v>
                </c:pt>
                <c:pt idx="163">
                  <c:v>80</c:v>
                </c:pt>
                <c:pt idx="164">
                  <c:v>80</c:v>
                </c:pt>
                <c:pt idx="165">
                  <c:v>80</c:v>
                </c:pt>
                <c:pt idx="166">
                  <c:v>80</c:v>
                </c:pt>
                <c:pt idx="167">
                  <c:v>80</c:v>
                </c:pt>
                <c:pt idx="168">
                  <c:v>80</c:v>
                </c:pt>
                <c:pt idx="169">
                  <c:v>80</c:v>
                </c:pt>
                <c:pt idx="170">
                  <c:v>80</c:v>
                </c:pt>
                <c:pt idx="171">
                  <c:v>80</c:v>
                </c:pt>
                <c:pt idx="172">
                  <c:v>80</c:v>
                </c:pt>
                <c:pt idx="173">
                  <c:v>80</c:v>
                </c:pt>
                <c:pt idx="174">
                  <c:v>80</c:v>
                </c:pt>
                <c:pt idx="175">
                  <c:v>80</c:v>
                </c:pt>
                <c:pt idx="176">
                  <c:v>80</c:v>
                </c:pt>
                <c:pt idx="177">
                  <c:v>80</c:v>
                </c:pt>
                <c:pt idx="178">
                  <c:v>80</c:v>
                </c:pt>
                <c:pt idx="179">
                  <c:v>80</c:v>
                </c:pt>
                <c:pt idx="180">
                  <c:v>80</c:v>
                </c:pt>
                <c:pt idx="181">
                  <c:v>80</c:v>
                </c:pt>
                <c:pt idx="182">
                  <c:v>80</c:v>
                </c:pt>
                <c:pt idx="183">
                  <c:v>80</c:v>
                </c:pt>
                <c:pt idx="184">
                  <c:v>80</c:v>
                </c:pt>
                <c:pt idx="185">
                  <c:v>80</c:v>
                </c:pt>
                <c:pt idx="186">
                  <c:v>80</c:v>
                </c:pt>
                <c:pt idx="187">
                  <c:v>80</c:v>
                </c:pt>
                <c:pt idx="188">
                  <c:v>80</c:v>
                </c:pt>
                <c:pt idx="189">
                  <c:v>80</c:v>
                </c:pt>
                <c:pt idx="190">
                  <c:v>80</c:v>
                </c:pt>
                <c:pt idx="191">
                  <c:v>80</c:v>
                </c:pt>
                <c:pt idx="192">
                  <c:v>80</c:v>
                </c:pt>
                <c:pt idx="193">
                  <c:v>80</c:v>
                </c:pt>
                <c:pt idx="194">
                  <c:v>80</c:v>
                </c:pt>
                <c:pt idx="195">
                  <c:v>80</c:v>
                </c:pt>
                <c:pt idx="196">
                  <c:v>80</c:v>
                </c:pt>
                <c:pt idx="197">
                  <c:v>80</c:v>
                </c:pt>
                <c:pt idx="198">
                  <c:v>80</c:v>
                </c:pt>
                <c:pt idx="199">
                  <c:v>80</c:v>
                </c:pt>
                <c:pt idx="200">
                  <c:v>80</c:v>
                </c:pt>
                <c:pt idx="201">
                  <c:v>80</c:v>
                </c:pt>
                <c:pt idx="202">
                  <c:v>80</c:v>
                </c:pt>
                <c:pt idx="203">
                  <c:v>80</c:v>
                </c:pt>
                <c:pt idx="204">
                  <c:v>80</c:v>
                </c:pt>
                <c:pt idx="205">
                  <c:v>80</c:v>
                </c:pt>
                <c:pt idx="206">
                  <c:v>80</c:v>
                </c:pt>
                <c:pt idx="207">
                  <c:v>80</c:v>
                </c:pt>
                <c:pt idx="208">
                  <c:v>80</c:v>
                </c:pt>
                <c:pt idx="209">
                  <c:v>80</c:v>
                </c:pt>
                <c:pt idx="210">
                  <c:v>80</c:v>
                </c:pt>
                <c:pt idx="211">
                  <c:v>80</c:v>
                </c:pt>
                <c:pt idx="212">
                  <c:v>80</c:v>
                </c:pt>
                <c:pt idx="213">
                  <c:v>80</c:v>
                </c:pt>
                <c:pt idx="214">
                  <c:v>80</c:v>
                </c:pt>
                <c:pt idx="215">
                  <c:v>80</c:v>
                </c:pt>
                <c:pt idx="216">
                  <c:v>80</c:v>
                </c:pt>
                <c:pt idx="217">
                  <c:v>80</c:v>
                </c:pt>
                <c:pt idx="218">
                  <c:v>80</c:v>
                </c:pt>
                <c:pt idx="219">
                  <c:v>80</c:v>
                </c:pt>
                <c:pt idx="220">
                  <c:v>80</c:v>
                </c:pt>
                <c:pt idx="221">
                  <c:v>80</c:v>
                </c:pt>
                <c:pt idx="222">
                  <c:v>80</c:v>
                </c:pt>
                <c:pt idx="223">
                  <c:v>80</c:v>
                </c:pt>
                <c:pt idx="224">
                  <c:v>80</c:v>
                </c:pt>
                <c:pt idx="225">
                  <c:v>80</c:v>
                </c:pt>
                <c:pt idx="226">
                  <c:v>80</c:v>
                </c:pt>
                <c:pt idx="227">
                  <c:v>80</c:v>
                </c:pt>
                <c:pt idx="228">
                  <c:v>80</c:v>
                </c:pt>
                <c:pt idx="229">
                  <c:v>80</c:v>
                </c:pt>
              </c:numCache>
            </c:numRef>
          </c:yVal>
          <c:smooth val="0"/>
          <c:extLst>
            <c:ext xmlns:c16="http://schemas.microsoft.com/office/drawing/2014/chart" uri="{C3380CC4-5D6E-409C-BE32-E72D297353CC}">
              <c16:uniqueId val="{00000005-AC67-4490-A7A2-5233B7C6622A}"/>
            </c:ext>
          </c:extLst>
        </c:ser>
        <c:dLbls>
          <c:showLegendKey val="0"/>
          <c:showVal val="0"/>
          <c:showCatName val="0"/>
          <c:showSerName val="0"/>
          <c:showPercent val="0"/>
          <c:showBubbleSize val="0"/>
        </c:dLbls>
        <c:axId val="108536384"/>
        <c:axId val="108536960"/>
      </c:scatterChart>
      <c:valAx>
        <c:axId val="108536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536960"/>
        <c:crosses val="autoZero"/>
        <c:crossBetween val="midCat"/>
      </c:valAx>
      <c:valAx>
        <c:axId val="108536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lm/W</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536384"/>
        <c:crosses val="autoZero"/>
        <c:crossBetween val="midCat"/>
      </c:valAx>
      <c:spPr>
        <a:noFill/>
        <a:ln>
          <a:noFill/>
        </a:ln>
        <a:effectLst/>
      </c:spPr>
    </c:plotArea>
    <c:legend>
      <c:legendPos val="b"/>
      <c:layout>
        <c:manualLayout>
          <c:xMode val="edge"/>
          <c:yMode val="edge"/>
          <c:x val="0.66390454452823999"/>
          <c:y val="0.16962524654832348"/>
          <c:w val="0.33609539000922556"/>
          <c:h val="0.743589743589743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EU Commission proposal December 2017 (selection)</a:t>
            </a:r>
            <a:endParaRPr lang="en-GB" baseline="0"/>
          </a:p>
          <a:p>
            <a:pPr>
              <a:defRPr sz="1400" b="0" i="0" u="none" strike="noStrike" kern="1200" spc="0" baseline="0">
                <a:solidFill>
                  <a:schemeClr val="tx1">
                    <a:lumMod val="65000"/>
                    <a:lumOff val="35000"/>
                  </a:schemeClr>
                </a:solidFill>
                <a:latin typeface="+mn-lt"/>
                <a:ea typeface="+mn-ea"/>
                <a:cs typeface="+mn-cs"/>
              </a:defRPr>
            </a:pPr>
            <a:r>
              <a:rPr lang="en-GB" baseline="0"/>
              <a:t>Lamp efficacy</a:t>
            </a:r>
            <a:endParaRPr lang="en-GB"/>
          </a:p>
        </c:rich>
      </c:tx>
      <c:overlay val="0"/>
      <c:spPr>
        <a:noFill/>
        <a:ln>
          <a:noFill/>
        </a:ln>
        <a:effectLst/>
      </c:spPr>
    </c:title>
    <c:autoTitleDeleted val="0"/>
    <c:plotArea>
      <c:layout>
        <c:manualLayout>
          <c:layoutTarget val="inner"/>
          <c:xMode val="edge"/>
          <c:yMode val="edge"/>
          <c:x val="0.12914646966737417"/>
          <c:y val="0.18601841929522123"/>
          <c:w val="0.50791471661541976"/>
          <c:h val="0.63250959014738539"/>
        </c:manualLayout>
      </c:layout>
      <c:scatterChart>
        <c:scatterStyle val="lineMarker"/>
        <c:varyColors val="0"/>
        <c:ser>
          <c:idx val="0"/>
          <c:order val="0"/>
          <c:tx>
            <c:v>Other light sources (GSL, CFL, LED)</c:v>
          </c:tx>
          <c:spPr>
            <a:ln w="19050" cap="rnd">
              <a:solidFill>
                <a:srgbClr val="132967"/>
              </a:solidFill>
              <a:round/>
            </a:ln>
            <a:effectLst/>
          </c:spPr>
          <c:marker>
            <c:symbol val="none"/>
          </c:marker>
          <c:xVal>
            <c:numRef>
              <c:f>Sheet1!$K$7:$K$236</c:f>
              <c:numCache>
                <c:formatCode>General</c:formatCode>
                <c:ptCount val="23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pt idx="60">
                  <c:v>910</c:v>
                </c:pt>
                <c:pt idx="61">
                  <c:v>920</c:v>
                </c:pt>
                <c:pt idx="62">
                  <c:v>930</c:v>
                </c:pt>
                <c:pt idx="63">
                  <c:v>940</c:v>
                </c:pt>
                <c:pt idx="64">
                  <c:v>950</c:v>
                </c:pt>
                <c:pt idx="65">
                  <c:v>960</c:v>
                </c:pt>
                <c:pt idx="66">
                  <c:v>970</c:v>
                </c:pt>
                <c:pt idx="67">
                  <c:v>980</c:v>
                </c:pt>
                <c:pt idx="68">
                  <c:v>990</c:v>
                </c:pt>
                <c:pt idx="69">
                  <c:v>1000</c:v>
                </c:pt>
                <c:pt idx="70">
                  <c:v>1010</c:v>
                </c:pt>
                <c:pt idx="71">
                  <c:v>1020</c:v>
                </c:pt>
                <c:pt idx="72">
                  <c:v>1030</c:v>
                </c:pt>
                <c:pt idx="73">
                  <c:v>1040</c:v>
                </c:pt>
                <c:pt idx="74">
                  <c:v>1050</c:v>
                </c:pt>
                <c:pt idx="75">
                  <c:v>1060</c:v>
                </c:pt>
                <c:pt idx="76">
                  <c:v>1070</c:v>
                </c:pt>
                <c:pt idx="77">
                  <c:v>1080</c:v>
                </c:pt>
                <c:pt idx="78">
                  <c:v>1090</c:v>
                </c:pt>
                <c:pt idx="79">
                  <c:v>1100</c:v>
                </c:pt>
                <c:pt idx="80">
                  <c:v>1110</c:v>
                </c:pt>
                <c:pt idx="81">
                  <c:v>1120</c:v>
                </c:pt>
                <c:pt idx="82">
                  <c:v>1130</c:v>
                </c:pt>
                <c:pt idx="83">
                  <c:v>1140</c:v>
                </c:pt>
                <c:pt idx="84">
                  <c:v>1150</c:v>
                </c:pt>
                <c:pt idx="85">
                  <c:v>1160</c:v>
                </c:pt>
                <c:pt idx="86">
                  <c:v>1170</c:v>
                </c:pt>
                <c:pt idx="87">
                  <c:v>1180</c:v>
                </c:pt>
                <c:pt idx="88">
                  <c:v>1190</c:v>
                </c:pt>
                <c:pt idx="89">
                  <c:v>1200</c:v>
                </c:pt>
                <c:pt idx="90">
                  <c:v>1210</c:v>
                </c:pt>
                <c:pt idx="91">
                  <c:v>1220</c:v>
                </c:pt>
                <c:pt idx="92">
                  <c:v>1230</c:v>
                </c:pt>
                <c:pt idx="93">
                  <c:v>1240</c:v>
                </c:pt>
                <c:pt idx="94">
                  <c:v>1250</c:v>
                </c:pt>
                <c:pt idx="95">
                  <c:v>1260</c:v>
                </c:pt>
                <c:pt idx="96">
                  <c:v>1270</c:v>
                </c:pt>
                <c:pt idx="97">
                  <c:v>1280</c:v>
                </c:pt>
                <c:pt idx="98">
                  <c:v>1290</c:v>
                </c:pt>
                <c:pt idx="99">
                  <c:v>1300</c:v>
                </c:pt>
                <c:pt idx="100">
                  <c:v>1310</c:v>
                </c:pt>
                <c:pt idx="101">
                  <c:v>1320</c:v>
                </c:pt>
                <c:pt idx="102">
                  <c:v>1330</c:v>
                </c:pt>
                <c:pt idx="103">
                  <c:v>1340</c:v>
                </c:pt>
                <c:pt idx="104">
                  <c:v>1350</c:v>
                </c:pt>
                <c:pt idx="105">
                  <c:v>1360</c:v>
                </c:pt>
                <c:pt idx="106">
                  <c:v>1370</c:v>
                </c:pt>
                <c:pt idx="107">
                  <c:v>1380</c:v>
                </c:pt>
                <c:pt idx="108">
                  <c:v>1390</c:v>
                </c:pt>
                <c:pt idx="109">
                  <c:v>1400</c:v>
                </c:pt>
                <c:pt idx="110">
                  <c:v>1410</c:v>
                </c:pt>
                <c:pt idx="111">
                  <c:v>1420</c:v>
                </c:pt>
                <c:pt idx="112">
                  <c:v>1430</c:v>
                </c:pt>
                <c:pt idx="113">
                  <c:v>1440</c:v>
                </c:pt>
                <c:pt idx="114">
                  <c:v>1450</c:v>
                </c:pt>
                <c:pt idx="115">
                  <c:v>1460</c:v>
                </c:pt>
                <c:pt idx="116">
                  <c:v>1470</c:v>
                </c:pt>
                <c:pt idx="117">
                  <c:v>1480</c:v>
                </c:pt>
                <c:pt idx="118">
                  <c:v>1490</c:v>
                </c:pt>
                <c:pt idx="119">
                  <c:v>1500</c:v>
                </c:pt>
                <c:pt idx="120">
                  <c:v>1510</c:v>
                </c:pt>
                <c:pt idx="121">
                  <c:v>1520</c:v>
                </c:pt>
                <c:pt idx="122">
                  <c:v>1530</c:v>
                </c:pt>
                <c:pt idx="123">
                  <c:v>1540</c:v>
                </c:pt>
                <c:pt idx="124">
                  <c:v>1550</c:v>
                </c:pt>
                <c:pt idx="125">
                  <c:v>1560</c:v>
                </c:pt>
                <c:pt idx="126">
                  <c:v>1570</c:v>
                </c:pt>
                <c:pt idx="127">
                  <c:v>1580</c:v>
                </c:pt>
                <c:pt idx="128">
                  <c:v>1590</c:v>
                </c:pt>
                <c:pt idx="129">
                  <c:v>1600</c:v>
                </c:pt>
                <c:pt idx="130">
                  <c:v>1610</c:v>
                </c:pt>
                <c:pt idx="131">
                  <c:v>1620</c:v>
                </c:pt>
                <c:pt idx="132">
                  <c:v>1630</c:v>
                </c:pt>
                <c:pt idx="133">
                  <c:v>1640</c:v>
                </c:pt>
                <c:pt idx="134">
                  <c:v>1650</c:v>
                </c:pt>
                <c:pt idx="135">
                  <c:v>1660</c:v>
                </c:pt>
                <c:pt idx="136">
                  <c:v>1670</c:v>
                </c:pt>
                <c:pt idx="137">
                  <c:v>1680</c:v>
                </c:pt>
                <c:pt idx="138">
                  <c:v>1690</c:v>
                </c:pt>
                <c:pt idx="139">
                  <c:v>1700</c:v>
                </c:pt>
                <c:pt idx="140">
                  <c:v>1710</c:v>
                </c:pt>
                <c:pt idx="141">
                  <c:v>1720</c:v>
                </c:pt>
                <c:pt idx="142">
                  <c:v>1730</c:v>
                </c:pt>
                <c:pt idx="143">
                  <c:v>1740</c:v>
                </c:pt>
                <c:pt idx="144">
                  <c:v>1750</c:v>
                </c:pt>
                <c:pt idx="145">
                  <c:v>1760</c:v>
                </c:pt>
                <c:pt idx="146">
                  <c:v>1770</c:v>
                </c:pt>
                <c:pt idx="147">
                  <c:v>1780</c:v>
                </c:pt>
                <c:pt idx="148">
                  <c:v>1790</c:v>
                </c:pt>
                <c:pt idx="149">
                  <c:v>1800</c:v>
                </c:pt>
                <c:pt idx="150">
                  <c:v>1810</c:v>
                </c:pt>
                <c:pt idx="151">
                  <c:v>1820</c:v>
                </c:pt>
                <c:pt idx="152">
                  <c:v>1830</c:v>
                </c:pt>
                <c:pt idx="153">
                  <c:v>1840</c:v>
                </c:pt>
                <c:pt idx="154">
                  <c:v>1850</c:v>
                </c:pt>
                <c:pt idx="155">
                  <c:v>1860</c:v>
                </c:pt>
                <c:pt idx="156">
                  <c:v>1870</c:v>
                </c:pt>
                <c:pt idx="157">
                  <c:v>1880</c:v>
                </c:pt>
                <c:pt idx="158">
                  <c:v>1890</c:v>
                </c:pt>
                <c:pt idx="159">
                  <c:v>1900</c:v>
                </c:pt>
                <c:pt idx="160">
                  <c:v>1910</c:v>
                </c:pt>
                <c:pt idx="161">
                  <c:v>1920</c:v>
                </c:pt>
                <c:pt idx="162">
                  <c:v>1930</c:v>
                </c:pt>
                <c:pt idx="163">
                  <c:v>1940</c:v>
                </c:pt>
                <c:pt idx="164">
                  <c:v>1950</c:v>
                </c:pt>
                <c:pt idx="165">
                  <c:v>1960</c:v>
                </c:pt>
                <c:pt idx="166">
                  <c:v>1970</c:v>
                </c:pt>
                <c:pt idx="167">
                  <c:v>1980</c:v>
                </c:pt>
                <c:pt idx="168">
                  <c:v>1990</c:v>
                </c:pt>
                <c:pt idx="169">
                  <c:v>2000</c:v>
                </c:pt>
                <c:pt idx="170">
                  <c:v>2010</c:v>
                </c:pt>
                <c:pt idx="171">
                  <c:v>2020</c:v>
                </c:pt>
                <c:pt idx="172">
                  <c:v>2030</c:v>
                </c:pt>
                <c:pt idx="173">
                  <c:v>2040</c:v>
                </c:pt>
                <c:pt idx="174">
                  <c:v>2050</c:v>
                </c:pt>
                <c:pt idx="175">
                  <c:v>2060</c:v>
                </c:pt>
                <c:pt idx="176">
                  <c:v>2070</c:v>
                </c:pt>
                <c:pt idx="177">
                  <c:v>2080</c:v>
                </c:pt>
                <c:pt idx="178">
                  <c:v>2090</c:v>
                </c:pt>
                <c:pt idx="179">
                  <c:v>2100</c:v>
                </c:pt>
                <c:pt idx="180">
                  <c:v>2110</c:v>
                </c:pt>
                <c:pt idx="181">
                  <c:v>2120</c:v>
                </c:pt>
                <c:pt idx="182">
                  <c:v>2130</c:v>
                </c:pt>
                <c:pt idx="183">
                  <c:v>2140</c:v>
                </c:pt>
                <c:pt idx="184">
                  <c:v>2150</c:v>
                </c:pt>
                <c:pt idx="185">
                  <c:v>2160</c:v>
                </c:pt>
                <c:pt idx="186">
                  <c:v>2170</c:v>
                </c:pt>
                <c:pt idx="187">
                  <c:v>2180</c:v>
                </c:pt>
                <c:pt idx="188">
                  <c:v>2190</c:v>
                </c:pt>
                <c:pt idx="189">
                  <c:v>2200</c:v>
                </c:pt>
                <c:pt idx="190">
                  <c:v>2210</c:v>
                </c:pt>
                <c:pt idx="191">
                  <c:v>2220</c:v>
                </c:pt>
                <c:pt idx="192">
                  <c:v>2230</c:v>
                </c:pt>
                <c:pt idx="193">
                  <c:v>2240</c:v>
                </c:pt>
                <c:pt idx="194">
                  <c:v>2250</c:v>
                </c:pt>
                <c:pt idx="195">
                  <c:v>2260</c:v>
                </c:pt>
                <c:pt idx="196">
                  <c:v>2270</c:v>
                </c:pt>
                <c:pt idx="197">
                  <c:v>2280</c:v>
                </c:pt>
                <c:pt idx="198">
                  <c:v>2290</c:v>
                </c:pt>
                <c:pt idx="199">
                  <c:v>2300</c:v>
                </c:pt>
                <c:pt idx="200">
                  <c:v>2310</c:v>
                </c:pt>
                <c:pt idx="201">
                  <c:v>2320</c:v>
                </c:pt>
                <c:pt idx="202">
                  <c:v>2330</c:v>
                </c:pt>
                <c:pt idx="203">
                  <c:v>2340</c:v>
                </c:pt>
                <c:pt idx="204">
                  <c:v>2350</c:v>
                </c:pt>
                <c:pt idx="205">
                  <c:v>2360</c:v>
                </c:pt>
                <c:pt idx="206">
                  <c:v>2370</c:v>
                </c:pt>
                <c:pt idx="207">
                  <c:v>2380</c:v>
                </c:pt>
                <c:pt idx="208">
                  <c:v>2390</c:v>
                </c:pt>
                <c:pt idx="209">
                  <c:v>2400</c:v>
                </c:pt>
                <c:pt idx="210">
                  <c:v>2410</c:v>
                </c:pt>
                <c:pt idx="211">
                  <c:v>2420</c:v>
                </c:pt>
                <c:pt idx="212">
                  <c:v>2430</c:v>
                </c:pt>
                <c:pt idx="213">
                  <c:v>2440</c:v>
                </c:pt>
                <c:pt idx="214">
                  <c:v>2450</c:v>
                </c:pt>
                <c:pt idx="215">
                  <c:v>2460</c:v>
                </c:pt>
                <c:pt idx="216">
                  <c:v>2470</c:v>
                </c:pt>
                <c:pt idx="217">
                  <c:v>2480</c:v>
                </c:pt>
                <c:pt idx="218">
                  <c:v>2490</c:v>
                </c:pt>
                <c:pt idx="219">
                  <c:v>2500</c:v>
                </c:pt>
                <c:pt idx="220">
                  <c:v>2510</c:v>
                </c:pt>
                <c:pt idx="221">
                  <c:v>2520</c:v>
                </c:pt>
                <c:pt idx="222">
                  <c:v>2530</c:v>
                </c:pt>
                <c:pt idx="223">
                  <c:v>2540</c:v>
                </c:pt>
                <c:pt idx="224">
                  <c:v>2550</c:v>
                </c:pt>
                <c:pt idx="225">
                  <c:v>2560</c:v>
                </c:pt>
                <c:pt idx="226">
                  <c:v>2570</c:v>
                </c:pt>
                <c:pt idx="227">
                  <c:v>2580</c:v>
                </c:pt>
                <c:pt idx="228">
                  <c:v>2590</c:v>
                </c:pt>
                <c:pt idx="229">
                  <c:v>2600</c:v>
                </c:pt>
              </c:numCache>
            </c:numRef>
          </c:xVal>
          <c:yVal>
            <c:numRef>
              <c:f>Sheet1!$M$7:$M$236</c:f>
              <c:numCache>
                <c:formatCode>0.0</c:formatCode>
                <c:ptCount val="230"/>
                <c:pt idx="0">
                  <c:v>70.294784580498856</c:v>
                </c:pt>
                <c:pt idx="1">
                  <c:v>71.111111111111114</c:v>
                </c:pt>
                <c:pt idx="2">
                  <c:v>71.895424836601308</c:v>
                </c:pt>
                <c:pt idx="3">
                  <c:v>72.649572649572647</c:v>
                </c:pt>
                <c:pt idx="4">
                  <c:v>73.375262054507346</c:v>
                </c:pt>
                <c:pt idx="5">
                  <c:v>74.074074074074076</c:v>
                </c:pt>
                <c:pt idx="6">
                  <c:v>74.747474747474726</c:v>
                </c:pt>
                <c:pt idx="7">
                  <c:v>75.396825396825392</c:v>
                </c:pt>
                <c:pt idx="8">
                  <c:v>76.023391812865484</c:v>
                </c:pt>
                <c:pt idx="9">
                  <c:v>76.628352490421449</c:v>
                </c:pt>
                <c:pt idx="10">
                  <c:v>77.212806026365357</c:v>
                </c:pt>
                <c:pt idx="11">
                  <c:v>77.777777777777771</c:v>
                </c:pt>
                <c:pt idx="12">
                  <c:v>78.324225865209456</c:v>
                </c:pt>
                <c:pt idx="13">
                  <c:v>78.853046594982075</c:v>
                </c:pt>
                <c:pt idx="14">
                  <c:v>79.365079365079367</c:v>
                </c:pt>
                <c:pt idx="15">
                  <c:v>79.8611111111111</c:v>
                </c:pt>
                <c:pt idx="16">
                  <c:v>80.341880341880341</c:v>
                </c:pt>
                <c:pt idx="17">
                  <c:v>80.808080808080803</c:v>
                </c:pt>
                <c:pt idx="18">
                  <c:v>81.260364842454393</c:v>
                </c:pt>
                <c:pt idx="19">
                  <c:v>81.699346405228738</c:v>
                </c:pt>
                <c:pt idx="20">
                  <c:v>82.125603864734288</c:v>
                </c:pt>
                <c:pt idx="21">
                  <c:v>82.539682539682545</c:v>
                </c:pt>
                <c:pt idx="22">
                  <c:v>82.94209702660406</c:v>
                </c:pt>
                <c:pt idx="23">
                  <c:v>83.333333333333329</c:v>
                </c:pt>
                <c:pt idx="24">
                  <c:v>83.713850837138509</c:v>
                </c:pt>
                <c:pt idx="25">
                  <c:v>84.084084084084068</c:v>
                </c:pt>
                <c:pt idx="26">
                  <c:v>84.444444444444443</c:v>
                </c:pt>
                <c:pt idx="27">
                  <c:v>84.795321637426909</c:v>
                </c:pt>
                <c:pt idx="28">
                  <c:v>85.137085137085123</c:v>
                </c:pt>
                <c:pt idx="29">
                  <c:v>85.470085470085465</c:v>
                </c:pt>
                <c:pt idx="30">
                  <c:v>85.794655414908576</c:v>
                </c:pt>
                <c:pt idx="31">
                  <c:v>86.1111111111111</c:v>
                </c:pt>
                <c:pt idx="32">
                  <c:v>86.419753086419746</c:v>
                </c:pt>
                <c:pt idx="33">
                  <c:v>86.72086720867209</c:v>
                </c:pt>
                <c:pt idx="34">
                  <c:v>87.014725568942424</c:v>
                </c:pt>
                <c:pt idx="35">
                  <c:v>87.30158730158729</c:v>
                </c:pt>
                <c:pt idx="36">
                  <c:v>87.58169934640523</c:v>
                </c:pt>
                <c:pt idx="37">
                  <c:v>87.855297157622729</c:v>
                </c:pt>
                <c:pt idx="38">
                  <c:v>88.122605363984675</c:v>
                </c:pt>
                <c:pt idx="39">
                  <c:v>88.383838383838381</c:v>
                </c:pt>
                <c:pt idx="40">
                  <c:v>88.639200998751548</c:v>
                </c:pt>
                <c:pt idx="41">
                  <c:v>88.888888888888872</c:v>
                </c:pt>
                <c:pt idx="42">
                  <c:v>89.133089133089143</c:v>
                </c:pt>
                <c:pt idx="43">
                  <c:v>89.371980676328491</c:v>
                </c:pt>
                <c:pt idx="44">
                  <c:v>89.605734767025083</c:v>
                </c:pt>
                <c:pt idx="45">
                  <c:v>89.834515366430253</c:v>
                </c:pt>
                <c:pt idx="46">
                  <c:v>90.05847953216373</c:v>
                </c:pt>
                <c:pt idx="47">
                  <c:v>90.277777777777771</c:v>
                </c:pt>
                <c:pt idx="48">
                  <c:v>90.492554410080203</c:v>
                </c:pt>
                <c:pt idx="49">
                  <c:v>90.702947845804971</c:v>
                </c:pt>
                <c:pt idx="50">
                  <c:v>90.909090909090907</c:v>
                </c:pt>
                <c:pt idx="51">
                  <c:v>91.111111111111114</c:v>
                </c:pt>
                <c:pt idx="52">
                  <c:v>91.309130913091295</c:v>
                </c:pt>
                <c:pt idx="53">
                  <c:v>91.503267973856211</c:v>
                </c:pt>
                <c:pt idx="54">
                  <c:v>91.693635382955776</c:v>
                </c:pt>
                <c:pt idx="55">
                  <c:v>91.880341880341874</c:v>
                </c:pt>
                <c:pt idx="56">
                  <c:v>92.063492063492049</c:v>
                </c:pt>
                <c:pt idx="57">
                  <c:v>92.24318658280923</c:v>
                </c:pt>
                <c:pt idx="58">
                  <c:v>92.419522326064353</c:v>
                </c:pt>
                <c:pt idx="59">
                  <c:v>92.592592592592581</c:v>
                </c:pt>
                <c:pt idx="60">
                  <c:v>92.762487257900119</c:v>
                </c:pt>
                <c:pt idx="61">
                  <c:v>92.929292929292913</c:v>
                </c:pt>
                <c:pt idx="62">
                  <c:v>93.093093093093088</c:v>
                </c:pt>
                <c:pt idx="63">
                  <c:v>93.253968253968253</c:v>
                </c:pt>
                <c:pt idx="64">
                  <c:v>93.41199606686331</c:v>
                </c:pt>
                <c:pt idx="65">
                  <c:v>93.567251461988292</c:v>
                </c:pt>
                <c:pt idx="66">
                  <c:v>93.719806763285007</c:v>
                </c:pt>
                <c:pt idx="67">
                  <c:v>93.869731800766289</c:v>
                </c:pt>
                <c:pt idx="68">
                  <c:v>94.01709401709401</c:v>
                </c:pt>
                <c:pt idx="69">
                  <c:v>94.161958568738214</c:v>
                </c:pt>
                <c:pt idx="70">
                  <c:v>94.304388422035473</c:v>
                </c:pt>
                <c:pt idx="71">
                  <c:v>94.444444444444443</c:v>
                </c:pt>
                <c:pt idx="72">
                  <c:v>94.582185491276391</c:v>
                </c:pt>
                <c:pt idx="73">
                  <c:v>94.717668488160285</c:v>
                </c:pt>
                <c:pt idx="74">
                  <c:v>94.850948509485093</c:v>
                </c:pt>
                <c:pt idx="75">
                  <c:v>94.982078853046573</c:v>
                </c:pt>
                <c:pt idx="76">
                  <c:v>95.111111111111114</c:v>
                </c:pt>
                <c:pt idx="77">
                  <c:v>95.238095238095241</c:v>
                </c:pt>
                <c:pt idx="78">
                  <c:v>95.363079615048107</c:v>
                </c:pt>
                <c:pt idx="79">
                  <c:v>95.486111111111114</c:v>
                </c:pt>
                <c:pt idx="80">
                  <c:v>95.607235142118853</c:v>
                </c:pt>
                <c:pt idx="81">
                  <c:v>95.726495726495713</c:v>
                </c:pt>
                <c:pt idx="82">
                  <c:v>95.843935538592021</c:v>
                </c:pt>
                <c:pt idx="83">
                  <c:v>95.959595959595958</c:v>
                </c:pt>
                <c:pt idx="84">
                  <c:v>96.073517126148701</c:v>
                </c:pt>
                <c:pt idx="85">
                  <c:v>96.185737976782747</c:v>
                </c:pt>
                <c:pt idx="86">
                  <c:v>96.296296296296291</c:v>
                </c:pt>
                <c:pt idx="87">
                  <c:v>96.405228758169912</c:v>
                </c:pt>
                <c:pt idx="88">
                  <c:v>96.512570965125704</c:v>
                </c:pt>
                <c:pt idx="89">
                  <c:v>96.618357487922694</c:v>
                </c:pt>
                <c:pt idx="90">
                  <c:v>96.722621902478011</c:v>
                </c:pt>
                <c:pt idx="91">
                  <c:v>96.825396825396822</c:v>
                </c:pt>
                <c:pt idx="92">
                  <c:v>96.926713947990535</c:v>
                </c:pt>
                <c:pt idx="93">
                  <c:v>97.02660406885758</c:v>
                </c:pt>
                <c:pt idx="94">
                  <c:v>97.125097125097113</c:v>
                </c:pt>
                <c:pt idx="95">
                  <c:v>97.222222222222214</c:v>
                </c:pt>
                <c:pt idx="96">
                  <c:v>97.318007662835242</c:v>
                </c:pt>
                <c:pt idx="97">
                  <c:v>97.412480974124804</c:v>
                </c:pt>
                <c:pt idx="98">
                  <c:v>97.505668934240362</c:v>
                </c:pt>
                <c:pt idx="99">
                  <c:v>97.597597597597584</c:v>
                </c:pt>
                <c:pt idx="100">
                  <c:v>97.688292319164802</c:v>
                </c:pt>
                <c:pt idx="101">
                  <c:v>97.777777777777771</c:v>
                </c:pt>
                <c:pt idx="102">
                  <c:v>97.866077998528311</c:v>
                </c:pt>
                <c:pt idx="103">
                  <c:v>97.953216374269005</c:v>
                </c:pt>
                <c:pt idx="104">
                  <c:v>98.039215686274503</c:v>
                </c:pt>
                <c:pt idx="105">
                  <c:v>98.124098124098111</c:v>
                </c:pt>
                <c:pt idx="106">
                  <c:v>98.207885304659484</c:v>
                </c:pt>
                <c:pt idx="107">
                  <c:v>98.290598290598282</c:v>
                </c:pt>
                <c:pt idx="108">
                  <c:v>98.372257607926386</c:v>
                </c:pt>
                <c:pt idx="109">
                  <c:v>98.452883263009838</c:v>
                </c:pt>
                <c:pt idx="110">
                  <c:v>98.532494758909849</c:v>
                </c:pt>
                <c:pt idx="111">
                  <c:v>98.6111111111111</c:v>
                </c:pt>
                <c:pt idx="112">
                  <c:v>98.688750862663909</c:v>
                </c:pt>
                <c:pt idx="113">
                  <c:v>98.765432098765416</c:v>
                </c:pt>
                <c:pt idx="114">
                  <c:v>98.841172460804344</c:v>
                </c:pt>
                <c:pt idx="115">
                  <c:v>98.915989159891595</c:v>
                </c:pt>
                <c:pt idx="116">
                  <c:v>98.989898989898975</c:v>
                </c:pt>
                <c:pt idx="117">
                  <c:v>99.062918340026769</c:v>
                </c:pt>
                <c:pt idx="118">
                  <c:v>99.135063206919483</c:v>
                </c:pt>
                <c:pt idx="119">
                  <c:v>99.206349206349202</c:v>
                </c:pt>
                <c:pt idx="120">
                  <c:v>99.276791584483888</c:v>
                </c:pt>
                <c:pt idx="121">
                  <c:v>99.346405228758172</c:v>
                </c:pt>
                <c:pt idx="122">
                  <c:v>99.415204678362571</c:v>
                </c:pt>
                <c:pt idx="123">
                  <c:v>99.483204134366915</c:v>
                </c:pt>
                <c:pt idx="124">
                  <c:v>99.550417469492615</c:v>
                </c:pt>
                <c:pt idx="125">
                  <c:v>99.616858237547888</c:v>
                </c:pt>
                <c:pt idx="126">
                  <c:v>99.682539682539669</c:v>
                </c:pt>
                <c:pt idx="127">
                  <c:v>99.747474747474755</c:v>
                </c:pt>
                <c:pt idx="128">
                  <c:v>99.811676082862519</c:v>
                </c:pt>
                <c:pt idx="129">
                  <c:v>99.87515605493131</c:v>
                </c:pt>
                <c:pt idx="130">
                  <c:v>99.937926753569215</c:v>
                </c:pt>
                <c:pt idx="131">
                  <c:v>99.999999999999986</c:v>
                </c:pt>
                <c:pt idx="132">
                  <c:v>100.06138735420502</c:v>
                </c:pt>
                <c:pt idx="133">
                  <c:v>100.12210012210012</c:v>
                </c:pt>
                <c:pt idx="134">
                  <c:v>100.18214936247722</c:v>
                </c:pt>
                <c:pt idx="135">
                  <c:v>100.24154589371979</c:v>
                </c:pt>
                <c:pt idx="136">
                  <c:v>100.30030030030029</c:v>
                </c:pt>
                <c:pt idx="137">
                  <c:v>100.35842293906809</c:v>
                </c:pt>
                <c:pt idx="138">
                  <c:v>100.41592394533571</c:v>
                </c:pt>
                <c:pt idx="139">
                  <c:v>100.47281323877067</c:v>
                </c:pt>
                <c:pt idx="140">
                  <c:v>100.52910052910052</c:v>
                </c:pt>
                <c:pt idx="141">
                  <c:v>100.58479532163742</c:v>
                </c:pt>
                <c:pt idx="142">
                  <c:v>100.63990692262942</c:v>
                </c:pt>
                <c:pt idx="143">
                  <c:v>100.69444444444444</c:v>
                </c:pt>
                <c:pt idx="144">
                  <c:v>100.74841681059296</c:v>
                </c:pt>
                <c:pt idx="145">
                  <c:v>100.80183276059566</c:v>
                </c:pt>
                <c:pt idx="146">
                  <c:v>100.85470085470085</c:v>
                </c:pt>
                <c:pt idx="147">
                  <c:v>100.90702947845803</c:v>
                </c:pt>
                <c:pt idx="148">
                  <c:v>100.95882684715174</c:v>
                </c:pt>
                <c:pt idx="149">
                  <c:v>101.01010101010101</c:v>
                </c:pt>
                <c:pt idx="150">
                  <c:v>101.06085985482969</c:v>
                </c:pt>
                <c:pt idx="151">
                  <c:v>101.11111111111111</c:v>
                </c:pt>
                <c:pt idx="152">
                  <c:v>101.1608623548922</c:v>
                </c:pt>
                <c:pt idx="153">
                  <c:v>101.2101210121012</c:v>
                </c:pt>
                <c:pt idx="154">
                  <c:v>101.25889436234264</c:v>
                </c:pt>
                <c:pt idx="155">
                  <c:v>101.30718954248367</c:v>
                </c:pt>
                <c:pt idx="156">
                  <c:v>101.35501355013548</c:v>
                </c:pt>
                <c:pt idx="157">
                  <c:v>101.40237324703345</c:v>
                </c:pt>
                <c:pt idx="158">
                  <c:v>101.44927536231883</c:v>
                </c:pt>
                <c:pt idx="159">
                  <c:v>101.49572649572649</c:v>
                </c:pt>
                <c:pt idx="160">
                  <c:v>101.54173312068049</c:v>
                </c:pt>
                <c:pt idx="161">
                  <c:v>101.58730158730158</c:v>
                </c:pt>
                <c:pt idx="162">
                  <c:v>101.63243812532913</c:v>
                </c:pt>
                <c:pt idx="163">
                  <c:v>101.67714884696016</c:v>
                </c:pt>
                <c:pt idx="164">
                  <c:v>101.72143974960875</c:v>
                </c:pt>
                <c:pt idx="165">
                  <c:v>101.76531671858774</c:v>
                </c:pt>
                <c:pt idx="166">
                  <c:v>101.80878552971575</c:v>
                </c:pt>
                <c:pt idx="167">
                  <c:v>101.85185185185185</c:v>
                </c:pt>
                <c:pt idx="168">
                  <c:v>101.89452124935995</c:v>
                </c:pt>
                <c:pt idx="169">
                  <c:v>101.9367991845056</c:v>
                </c:pt>
                <c:pt idx="170">
                  <c:v>101.97869101978691</c:v>
                </c:pt>
                <c:pt idx="171">
                  <c:v>102.02020202020202</c:v>
                </c:pt>
                <c:pt idx="172">
                  <c:v>102.06133735545498</c:v>
                </c:pt>
                <c:pt idx="173">
                  <c:v>102.10210210210209</c:v>
                </c:pt>
                <c:pt idx="174">
                  <c:v>102.14250124564026</c:v>
                </c:pt>
                <c:pt idx="175">
                  <c:v>102.18253968253967</c:v>
                </c:pt>
                <c:pt idx="176">
                  <c:v>102.22222222222223</c:v>
                </c:pt>
                <c:pt idx="177">
                  <c:v>102.26155358898721</c:v>
                </c:pt>
                <c:pt idx="178">
                  <c:v>102.30053842388642</c:v>
                </c:pt>
                <c:pt idx="179">
                  <c:v>102.33918128654969</c:v>
                </c:pt>
                <c:pt idx="180">
                  <c:v>102.37748665696265</c:v>
                </c:pt>
                <c:pt idx="181">
                  <c:v>102.41545893719805</c:v>
                </c:pt>
                <c:pt idx="182">
                  <c:v>102.45310245310245</c:v>
                </c:pt>
                <c:pt idx="183">
                  <c:v>102.4904214559387</c:v>
                </c:pt>
                <c:pt idx="184">
                  <c:v>102.52742012398663</c:v>
                </c:pt>
                <c:pt idx="185">
                  <c:v>102.56410256410255</c:v>
                </c:pt>
                <c:pt idx="186">
                  <c:v>102.60047281323878</c:v>
                </c:pt>
                <c:pt idx="187">
                  <c:v>102.63653483992466</c:v>
                </c:pt>
                <c:pt idx="188">
                  <c:v>102.67229254571026</c:v>
                </c:pt>
                <c:pt idx="189">
                  <c:v>102.70774976657329</c:v>
                </c:pt>
                <c:pt idx="190">
                  <c:v>102.74291027429102</c:v>
                </c:pt>
                <c:pt idx="191">
                  <c:v>102.77777777777777</c:v>
                </c:pt>
                <c:pt idx="192">
                  <c:v>102.81235592438911</c:v>
                </c:pt>
                <c:pt idx="193">
                  <c:v>102.84664830119375</c:v>
                </c:pt>
                <c:pt idx="194">
                  <c:v>102.88065843621399</c:v>
                </c:pt>
                <c:pt idx="195">
                  <c:v>102.9143897996357</c:v>
                </c:pt>
                <c:pt idx="196">
                  <c:v>102.94784580498865</c:v>
                </c:pt>
                <c:pt idx="197">
                  <c:v>102.9810298102981</c:v>
                </c:pt>
                <c:pt idx="198">
                  <c:v>103.01394511920827</c:v>
                </c:pt>
                <c:pt idx="199">
                  <c:v>103.04659498207883</c:v>
                </c:pt>
                <c:pt idx="200">
                  <c:v>103.07898259705489</c:v>
                </c:pt>
                <c:pt idx="201">
                  <c:v>103.11111111111111</c:v>
                </c:pt>
                <c:pt idx="202">
                  <c:v>103.14298362107125</c:v>
                </c:pt>
                <c:pt idx="203">
                  <c:v>103.17460317460318</c:v>
                </c:pt>
                <c:pt idx="204">
                  <c:v>103.20597277119016</c:v>
                </c:pt>
                <c:pt idx="205">
                  <c:v>103.2370953630796</c:v>
                </c:pt>
                <c:pt idx="206">
                  <c:v>103.26797385620914</c:v>
                </c:pt>
                <c:pt idx="207">
                  <c:v>103.29861111111111</c:v>
                </c:pt>
                <c:pt idx="208">
                  <c:v>103.32900994379592</c:v>
                </c:pt>
                <c:pt idx="209">
                  <c:v>103.35917312661498</c:v>
                </c:pt>
                <c:pt idx="210">
                  <c:v>103.3891033891034</c:v>
                </c:pt>
                <c:pt idx="211">
                  <c:v>103.41880341880341</c:v>
                </c:pt>
                <c:pt idx="212">
                  <c:v>103.44827586206895</c:v>
                </c:pt>
                <c:pt idx="213">
                  <c:v>103.47752332485156</c:v>
                </c:pt>
                <c:pt idx="214">
                  <c:v>103.50654837346852</c:v>
                </c:pt>
                <c:pt idx="215">
                  <c:v>103.53535353535352</c:v>
                </c:pt>
                <c:pt idx="216">
                  <c:v>103.56394129979034</c:v>
                </c:pt>
                <c:pt idx="217">
                  <c:v>103.5923141186299</c:v>
                </c:pt>
                <c:pt idx="218">
                  <c:v>103.62047440699125</c:v>
                </c:pt>
                <c:pt idx="219">
                  <c:v>103.64842454394693</c:v>
                </c:pt>
                <c:pt idx="220">
                  <c:v>103.67616687319288</c:v>
                </c:pt>
                <c:pt idx="221">
                  <c:v>103.7037037037037</c:v>
                </c:pt>
                <c:pt idx="222">
                  <c:v>103.7310373103731</c:v>
                </c:pt>
                <c:pt idx="223">
                  <c:v>103.75816993464051</c:v>
                </c:pt>
                <c:pt idx="224">
                  <c:v>103.78510378510379</c:v>
                </c:pt>
                <c:pt idx="225">
                  <c:v>103.81184103811842</c:v>
                </c:pt>
                <c:pt idx="226">
                  <c:v>103.83838383838382</c:v>
                </c:pt>
                <c:pt idx="227">
                  <c:v>103.8647342995169</c:v>
                </c:pt>
                <c:pt idx="228">
                  <c:v>103.89089450461292</c:v>
                </c:pt>
                <c:pt idx="229">
                  <c:v>103.91686650679455</c:v>
                </c:pt>
              </c:numCache>
            </c:numRef>
          </c:yVal>
          <c:smooth val="1"/>
          <c:extLst>
            <c:ext xmlns:c16="http://schemas.microsoft.com/office/drawing/2014/chart" uri="{C3380CC4-5D6E-409C-BE32-E72D297353CC}">
              <c16:uniqueId val="{00000000-34D2-436D-BFE8-BBDFE6B4FF64}"/>
            </c:ext>
          </c:extLst>
        </c:ser>
        <c:ser>
          <c:idx val="1"/>
          <c:order val="1"/>
          <c:tx>
            <c:v>LFL T5-HE</c:v>
          </c:tx>
          <c:spPr>
            <a:ln w="19050" cap="rnd">
              <a:solidFill>
                <a:srgbClr val="266196"/>
              </a:solidFill>
              <a:round/>
            </a:ln>
            <a:effectLst/>
          </c:spPr>
          <c:marker>
            <c:symbol val="none"/>
          </c:marker>
          <c:dPt>
            <c:idx val="218"/>
            <c:bubble3D val="0"/>
            <c:extLst>
              <c:ext xmlns:c16="http://schemas.microsoft.com/office/drawing/2014/chart" uri="{C3380CC4-5D6E-409C-BE32-E72D297353CC}">
                <c16:uniqueId val="{00000001-34D2-436D-BFE8-BBDFE6B4FF64}"/>
              </c:ext>
            </c:extLst>
          </c:dPt>
          <c:dPt>
            <c:idx val="221"/>
            <c:bubble3D val="0"/>
            <c:extLst>
              <c:ext xmlns:c16="http://schemas.microsoft.com/office/drawing/2014/chart" uri="{C3380CC4-5D6E-409C-BE32-E72D297353CC}">
                <c16:uniqueId val="{00000002-34D2-436D-BFE8-BBDFE6B4FF64}"/>
              </c:ext>
            </c:extLst>
          </c:dPt>
          <c:xVal>
            <c:numRef>
              <c:f>Sheet1!$N$7:$N$236</c:f>
              <c:numCache>
                <c:formatCode>General</c:formatCode>
                <c:ptCount val="23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pt idx="60">
                  <c:v>910</c:v>
                </c:pt>
                <c:pt idx="61">
                  <c:v>920</c:v>
                </c:pt>
                <c:pt idx="62">
                  <c:v>930</c:v>
                </c:pt>
                <c:pt idx="63">
                  <c:v>940</c:v>
                </c:pt>
                <c:pt idx="64">
                  <c:v>950</c:v>
                </c:pt>
                <c:pt idx="65">
                  <c:v>960</c:v>
                </c:pt>
                <c:pt idx="66">
                  <c:v>970</c:v>
                </c:pt>
                <c:pt idx="67">
                  <c:v>980</c:v>
                </c:pt>
                <c:pt idx="68">
                  <c:v>990</c:v>
                </c:pt>
                <c:pt idx="69">
                  <c:v>1000</c:v>
                </c:pt>
                <c:pt idx="70">
                  <c:v>1010</c:v>
                </c:pt>
                <c:pt idx="71">
                  <c:v>1020</c:v>
                </c:pt>
                <c:pt idx="72">
                  <c:v>1030</c:v>
                </c:pt>
                <c:pt idx="73">
                  <c:v>1040</c:v>
                </c:pt>
                <c:pt idx="74">
                  <c:v>1050</c:v>
                </c:pt>
                <c:pt idx="75">
                  <c:v>1060</c:v>
                </c:pt>
                <c:pt idx="76">
                  <c:v>1070</c:v>
                </c:pt>
                <c:pt idx="77">
                  <c:v>1080</c:v>
                </c:pt>
                <c:pt idx="78">
                  <c:v>1090</c:v>
                </c:pt>
                <c:pt idx="79">
                  <c:v>1100</c:v>
                </c:pt>
                <c:pt idx="80">
                  <c:v>1110</c:v>
                </c:pt>
                <c:pt idx="81">
                  <c:v>1120</c:v>
                </c:pt>
                <c:pt idx="82">
                  <c:v>1130</c:v>
                </c:pt>
                <c:pt idx="83">
                  <c:v>1140</c:v>
                </c:pt>
                <c:pt idx="84">
                  <c:v>1150</c:v>
                </c:pt>
                <c:pt idx="85">
                  <c:v>1160</c:v>
                </c:pt>
                <c:pt idx="86">
                  <c:v>1170</c:v>
                </c:pt>
                <c:pt idx="87">
                  <c:v>1180</c:v>
                </c:pt>
                <c:pt idx="88">
                  <c:v>1190</c:v>
                </c:pt>
                <c:pt idx="89">
                  <c:v>1200</c:v>
                </c:pt>
                <c:pt idx="90">
                  <c:v>1210</c:v>
                </c:pt>
                <c:pt idx="91">
                  <c:v>1220</c:v>
                </c:pt>
                <c:pt idx="92">
                  <c:v>1230</c:v>
                </c:pt>
                <c:pt idx="93">
                  <c:v>1240</c:v>
                </c:pt>
                <c:pt idx="94">
                  <c:v>1250</c:v>
                </c:pt>
                <c:pt idx="95">
                  <c:v>1260</c:v>
                </c:pt>
                <c:pt idx="96">
                  <c:v>1270</c:v>
                </c:pt>
                <c:pt idx="97">
                  <c:v>1280</c:v>
                </c:pt>
                <c:pt idx="98">
                  <c:v>1290</c:v>
                </c:pt>
                <c:pt idx="99">
                  <c:v>1300</c:v>
                </c:pt>
                <c:pt idx="100">
                  <c:v>1310</c:v>
                </c:pt>
                <c:pt idx="101">
                  <c:v>1320</c:v>
                </c:pt>
                <c:pt idx="102">
                  <c:v>1330</c:v>
                </c:pt>
                <c:pt idx="103">
                  <c:v>1340</c:v>
                </c:pt>
                <c:pt idx="104">
                  <c:v>1350</c:v>
                </c:pt>
                <c:pt idx="105">
                  <c:v>1360</c:v>
                </c:pt>
                <c:pt idx="106">
                  <c:v>1370</c:v>
                </c:pt>
                <c:pt idx="107">
                  <c:v>1380</c:v>
                </c:pt>
                <c:pt idx="108">
                  <c:v>1390</c:v>
                </c:pt>
                <c:pt idx="109">
                  <c:v>1400</c:v>
                </c:pt>
                <c:pt idx="110">
                  <c:v>1410</c:v>
                </c:pt>
                <c:pt idx="111">
                  <c:v>1420</c:v>
                </c:pt>
                <c:pt idx="112">
                  <c:v>1430</c:v>
                </c:pt>
                <c:pt idx="113">
                  <c:v>1440</c:v>
                </c:pt>
                <c:pt idx="114">
                  <c:v>1450</c:v>
                </c:pt>
                <c:pt idx="115">
                  <c:v>1460</c:v>
                </c:pt>
                <c:pt idx="116">
                  <c:v>1470</c:v>
                </c:pt>
                <c:pt idx="117">
                  <c:v>1480</c:v>
                </c:pt>
                <c:pt idx="118">
                  <c:v>1490</c:v>
                </c:pt>
                <c:pt idx="119">
                  <c:v>1500</c:v>
                </c:pt>
                <c:pt idx="120">
                  <c:v>1510</c:v>
                </c:pt>
                <c:pt idx="121">
                  <c:v>1520</c:v>
                </c:pt>
                <c:pt idx="122">
                  <c:v>1530</c:v>
                </c:pt>
                <c:pt idx="123">
                  <c:v>1540</c:v>
                </c:pt>
                <c:pt idx="124">
                  <c:v>1550</c:v>
                </c:pt>
                <c:pt idx="125">
                  <c:v>1560</c:v>
                </c:pt>
                <c:pt idx="126">
                  <c:v>1570</c:v>
                </c:pt>
                <c:pt idx="127">
                  <c:v>1580</c:v>
                </c:pt>
                <c:pt idx="128">
                  <c:v>1590</c:v>
                </c:pt>
                <c:pt idx="129">
                  <c:v>1600</c:v>
                </c:pt>
                <c:pt idx="130">
                  <c:v>1610</c:v>
                </c:pt>
                <c:pt idx="131">
                  <c:v>1620</c:v>
                </c:pt>
                <c:pt idx="132">
                  <c:v>1630</c:v>
                </c:pt>
                <c:pt idx="133">
                  <c:v>1640</c:v>
                </c:pt>
                <c:pt idx="134">
                  <c:v>1650</c:v>
                </c:pt>
                <c:pt idx="135">
                  <c:v>1660</c:v>
                </c:pt>
                <c:pt idx="136">
                  <c:v>1670</c:v>
                </c:pt>
                <c:pt idx="137">
                  <c:v>1680</c:v>
                </c:pt>
                <c:pt idx="138">
                  <c:v>1690</c:v>
                </c:pt>
                <c:pt idx="139">
                  <c:v>1700</c:v>
                </c:pt>
                <c:pt idx="140">
                  <c:v>1710</c:v>
                </c:pt>
                <c:pt idx="141">
                  <c:v>1720</c:v>
                </c:pt>
                <c:pt idx="142">
                  <c:v>1730</c:v>
                </c:pt>
                <c:pt idx="143">
                  <c:v>1740</c:v>
                </c:pt>
                <c:pt idx="144">
                  <c:v>1750</c:v>
                </c:pt>
                <c:pt idx="145">
                  <c:v>1760</c:v>
                </c:pt>
                <c:pt idx="146">
                  <c:v>1770</c:v>
                </c:pt>
                <c:pt idx="147">
                  <c:v>1780</c:v>
                </c:pt>
                <c:pt idx="148">
                  <c:v>1790</c:v>
                </c:pt>
                <c:pt idx="149">
                  <c:v>1800</c:v>
                </c:pt>
                <c:pt idx="150">
                  <c:v>1810</c:v>
                </c:pt>
                <c:pt idx="151">
                  <c:v>1820</c:v>
                </c:pt>
                <c:pt idx="152">
                  <c:v>1830</c:v>
                </c:pt>
                <c:pt idx="153">
                  <c:v>1840</c:v>
                </c:pt>
                <c:pt idx="154">
                  <c:v>1850</c:v>
                </c:pt>
                <c:pt idx="155">
                  <c:v>1860</c:v>
                </c:pt>
                <c:pt idx="156">
                  <c:v>1870</c:v>
                </c:pt>
                <c:pt idx="157">
                  <c:v>1880</c:v>
                </c:pt>
                <c:pt idx="158">
                  <c:v>1890</c:v>
                </c:pt>
                <c:pt idx="159">
                  <c:v>1900</c:v>
                </c:pt>
                <c:pt idx="160">
                  <c:v>1910</c:v>
                </c:pt>
                <c:pt idx="161">
                  <c:v>1920</c:v>
                </c:pt>
                <c:pt idx="162">
                  <c:v>1930</c:v>
                </c:pt>
                <c:pt idx="163">
                  <c:v>1940</c:v>
                </c:pt>
                <c:pt idx="164">
                  <c:v>1950</c:v>
                </c:pt>
                <c:pt idx="165">
                  <c:v>1960</c:v>
                </c:pt>
                <c:pt idx="166">
                  <c:v>1970</c:v>
                </c:pt>
                <c:pt idx="167">
                  <c:v>1980</c:v>
                </c:pt>
                <c:pt idx="168">
                  <c:v>1990</c:v>
                </c:pt>
                <c:pt idx="169">
                  <c:v>2000</c:v>
                </c:pt>
                <c:pt idx="170">
                  <c:v>2010</c:v>
                </c:pt>
                <c:pt idx="171">
                  <c:v>2020</c:v>
                </c:pt>
                <c:pt idx="172">
                  <c:v>2030</c:v>
                </c:pt>
                <c:pt idx="173">
                  <c:v>2040</c:v>
                </c:pt>
                <c:pt idx="174">
                  <c:v>2050</c:v>
                </c:pt>
                <c:pt idx="175">
                  <c:v>2060</c:v>
                </c:pt>
                <c:pt idx="176">
                  <c:v>2070</c:v>
                </c:pt>
                <c:pt idx="177">
                  <c:v>2080</c:v>
                </c:pt>
                <c:pt idx="178">
                  <c:v>2090</c:v>
                </c:pt>
                <c:pt idx="179">
                  <c:v>2100</c:v>
                </c:pt>
                <c:pt idx="180">
                  <c:v>2110</c:v>
                </c:pt>
                <c:pt idx="181">
                  <c:v>2120</c:v>
                </c:pt>
                <c:pt idx="182">
                  <c:v>2130</c:v>
                </c:pt>
                <c:pt idx="183">
                  <c:v>2140</c:v>
                </c:pt>
                <c:pt idx="184">
                  <c:v>2150</c:v>
                </c:pt>
                <c:pt idx="185">
                  <c:v>2160</c:v>
                </c:pt>
                <c:pt idx="186">
                  <c:v>2170</c:v>
                </c:pt>
                <c:pt idx="187">
                  <c:v>2180</c:v>
                </c:pt>
                <c:pt idx="188">
                  <c:v>2190</c:v>
                </c:pt>
                <c:pt idx="189">
                  <c:v>2200</c:v>
                </c:pt>
                <c:pt idx="190">
                  <c:v>2210</c:v>
                </c:pt>
                <c:pt idx="191">
                  <c:v>2220</c:v>
                </c:pt>
                <c:pt idx="192">
                  <c:v>2230</c:v>
                </c:pt>
                <c:pt idx="193">
                  <c:v>2240</c:v>
                </c:pt>
                <c:pt idx="194">
                  <c:v>2250</c:v>
                </c:pt>
                <c:pt idx="195">
                  <c:v>2260</c:v>
                </c:pt>
                <c:pt idx="196">
                  <c:v>2270</c:v>
                </c:pt>
                <c:pt idx="197">
                  <c:v>2280</c:v>
                </c:pt>
                <c:pt idx="198">
                  <c:v>2290</c:v>
                </c:pt>
                <c:pt idx="199">
                  <c:v>2300</c:v>
                </c:pt>
                <c:pt idx="200">
                  <c:v>2310</c:v>
                </c:pt>
                <c:pt idx="201">
                  <c:v>2320</c:v>
                </c:pt>
                <c:pt idx="202">
                  <c:v>2330</c:v>
                </c:pt>
                <c:pt idx="203">
                  <c:v>2340</c:v>
                </c:pt>
                <c:pt idx="204">
                  <c:v>2350</c:v>
                </c:pt>
                <c:pt idx="205">
                  <c:v>2360</c:v>
                </c:pt>
                <c:pt idx="206">
                  <c:v>2370</c:v>
                </c:pt>
                <c:pt idx="207">
                  <c:v>2380</c:v>
                </c:pt>
                <c:pt idx="208">
                  <c:v>2390</c:v>
                </c:pt>
                <c:pt idx="209">
                  <c:v>2400</c:v>
                </c:pt>
                <c:pt idx="210">
                  <c:v>2410</c:v>
                </c:pt>
                <c:pt idx="211">
                  <c:v>2420</c:v>
                </c:pt>
                <c:pt idx="212">
                  <c:v>2430</c:v>
                </c:pt>
                <c:pt idx="213">
                  <c:v>2440</c:v>
                </c:pt>
                <c:pt idx="214">
                  <c:v>2450</c:v>
                </c:pt>
                <c:pt idx="215">
                  <c:v>2460</c:v>
                </c:pt>
                <c:pt idx="216">
                  <c:v>2470</c:v>
                </c:pt>
                <c:pt idx="217">
                  <c:v>2480</c:v>
                </c:pt>
                <c:pt idx="218">
                  <c:v>2490</c:v>
                </c:pt>
                <c:pt idx="219">
                  <c:v>2500</c:v>
                </c:pt>
                <c:pt idx="220">
                  <c:v>2510</c:v>
                </c:pt>
                <c:pt idx="221">
                  <c:v>2520</c:v>
                </c:pt>
                <c:pt idx="222">
                  <c:v>2530</c:v>
                </c:pt>
                <c:pt idx="223">
                  <c:v>2540</c:v>
                </c:pt>
                <c:pt idx="224">
                  <c:v>2550</c:v>
                </c:pt>
                <c:pt idx="225">
                  <c:v>2560</c:v>
                </c:pt>
                <c:pt idx="226">
                  <c:v>2570</c:v>
                </c:pt>
                <c:pt idx="227">
                  <c:v>2580</c:v>
                </c:pt>
                <c:pt idx="228">
                  <c:v>2590</c:v>
                </c:pt>
                <c:pt idx="229">
                  <c:v>2600</c:v>
                </c:pt>
              </c:numCache>
            </c:numRef>
          </c:xVal>
          <c:yVal>
            <c:numRef>
              <c:f>Sheet1!$P$7:$P$236</c:f>
              <c:numCache>
                <c:formatCode>0.0</c:formatCode>
                <c:ptCount val="230"/>
                <c:pt idx="0">
                  <c:v>56.978339747768338</c:v>
                </c:pt>
                <c:pt idx="1">
                  <c:v>57.657910017478287</c:v>
                </c:pt>
                <c:pt idx="2">
                  <c:v>58.311227862336565</c:v>
                </c:pt>
                <c:pt idx="3">
                  <c:v>58.939785688819263</c:v>
                </c:pt>
                <c:pt idx="4">
                  <c:v>59.544964886034577</c:v>
                </c:pt>
                <c:pt idx="5">
                  <c:v>60.128045960222984</c:v>
                </c:pt>
                <c:pt idx="6">
                  <c:v>60.690217578978967</c:v>
                </c:pt>
                <c:pt idx="7">
                  <c:v>61.232584659626148</c:v>
                </c:pt>
                <c:pt idx="8">
                  <c:v>61.756175617561745</c:v>
                </c:pt>
                <c:pt idx="9">
                  <c:v>62.261948874621567</c:v>
                </c:pt>
                <c:pt idx="10">
                  <c:v>62.750798714126013</c:v>
                </c:pt>
                <c:pt idx="11">
                  <c:v>63.223560557859244</c:v>
                </c:pt>
                <c:pt idx="12">
                  <c:v>63.681015730487985</c:v>
                </c:pt>
                <c:pt idx="13">
                  <c:v>64.123895768578109</c:v>
                </c:pt>
                <c:pt idx="14">
                  <c:v>64.552886324196606</c:v>
                </c:pt>
                <c:pt idx="15">
                  <c:v>64.968630706912677</c:v>
                </c:pt>
                <c:pt idx="16">
                  <c:v>65.371733102682427</c:v>
                </c:pt>
                <c:pt idx="17">
                  <c:v>65.762761503491149</c:v>
                </c:pt>
                <c:pt idx="18">
                  <c:v>66.142250377627818</c:v>
                </c:pt>
                <c:pt idx="19">
                  <c:v>66.510703106992295</c:v>
                </c:pt>
                <c:pt idx="20">
                  <c:v>66.868594214807601</c:v>
                </c:pt>
                <c:pt idx="21">
                  <c:v>67.216371404468376</c:v>
                </c:pt>
                <c:pt idx="22">
                  <c:v>67.554457427945678</c:v>
                </c:pt>
                <c:pt idx="23">
                  <c:v>67.883251800142915</c:v>
                </c:pt>
                <c:pt idx="24">
                  <c:v>68.203132373820438</c:v>
                </c:pt>
                <c:pt idx="25">
                  <c:v>68.514456788142127</c:v>
                </c:pt>
                <c:pt idx="26">
                  <c:v>68.817563802518663</c:v>
                </c:pt>
                <c:pt idx="27">
                  <c:v>69.112774526206493</c:v>
                </c:pt>
                <c:pt idx="28">
                  <c:v>69.400393553044893</c:v>
                </c:pt>
                <c:pt idx="29">
                  <c:v>69.680710009760929</c:v>
                </c:pt>
                <c:pt idx="30">
                  <c:v>69.953998525427096</c:v>
                </c:pt>
                <c:pt idx="31">
                  <c:v>70.220520128904226</c:v>
                </c:pt>
                <c:pt idx="32">
                  <c:v>70.48052308043502</c:v>
                </c:pt>
                <c:pt idx="33">
                  <c:v>70.734243642956741</c:v>
                </c:pt>
                <c:pt idx="34">
                  <c:v>70.981906798169987</c:v>
                </c:pt>
                <c:pt idx="35">
                  <c:v>71.223726911925837</c:v>
                </c:pt>
                <c:pt idx="36">
                  <c:v>71.45990835306695</c:v>
                </c:pt>
                <c:pt idx="37">
                  <c:v>71.69064606947795</c:v>
                </c:pt>
                <c:pt idx="38">
                  <c:v>71.916126124757568</c:v>
                </c:pt>
                <c:pt idx="39">
                  <c:v>72.136526198617844</c:v>
                </c:pt>
                <c:pt idx="40">
                  <c:v>72.35201605383844</c:v>
                </c:pt>
                <c:pt idx="41">
                  <c:v>72.562757972355627</c:v>
                </c:pt>
                <c:pt idx="42">
                  <c:v>72.768907162839952</c:v>
                </c:pt>
                <c:pt idx="43">
                  <c:v>72.970612141913833</c:v>
                </c:pt>
                <c:pt idx="44">
                  <c:v>73.168015090977164</c:v>
                </c:pt>
                <c:pt idx="45">
                  <c:v>73.361252190442244</c:v>
                </c:pt>
                <c:pt idx="46">
                  <c:v>73.550453933029218</c:v>
                </c:pt>
                <c:pt idx="47">
                  <c:v>73.735745417636863</c:v>
                </c:pt>
                <c:pt idx="48">
                  <c:v>73.917246625179359</c:v>
                </c:pt>
                <c:pt idx="49">
                  <c:v>74.095072677666934</c:v>
                </c:pt>
                <c:pt idx="50">
                  <c:v>74.269334081706276</c:v>
                </c:pt>
                <c:pt idx="51">
                  <c:v>74.440136957502887</c:v>
                </c:pt>
                <c:pt idx="52">
                  <c:v>74.607583254362325</c:v>
                </c:pt>
                <c:pt idx="53">
                  <c:v>74.771770953610343</c:v>
                </c:pt>
                <c:pt idx="54">
                  <c:v>74.932794259780337</c:v>
                </c:pt>
                <c:pt idx="55">
                  <c:v>75.090743780851824</c:v>
                </c:pt>
                <c:pt idx="56">
                  <c:v>75.245706698265025</c:v>
                </c:pt>
                <c:pt idx="57">
                  <c:v>75.397766927381426</c:v>
                </c:pt>
                <c:pt idx="58">
                  <c:v>75.547005269010981</c:v>
                </c:pt>
                <c:pt idx="59">
                  <c:v>75.693499552580917</c:v>
                </c:pt>
                <c:pt idx="60">
                  <c:v>75.837324771479189</c:v>
                </c:pt>
                <c:pt idx="61">
                  <c:v>75.978553211066838</c:v>
                </c:pt>
                <c:pt idx="62">
                  <c:v>76.117254569818712</c:v>
                </c:pt>
                <c:pt idx="63">
                  <c:v>76.253496074018898</c:v>
                </c:pt>
                <c:pt idx="64">
                  <c:v>76.387342586407385</c:v>
                </c:pt>
                <c:pt idx="65">
                  <c:v>76.518856709147002</c:v>
                </c:pt>
                <c:pt idx="66">
                  <c:v>76.648098881454089</c:v>
                </c:pt>
                <c:pt idx="67">
                  <c:v>76.77512747221239</c:v>
                </c:pt>
                <c:pt idx="68">
                  <c:v>76.899998867868973</c:v>
                </c:pt>
                <c:pt idx="69">
                  <c:v>77.022767555889828</c:v>
                </c:pt>
                <c:pt idx="70">
                  <c:v>77.143486204034573</c:v>
                </c:pt>
                <c:pt idx="71">
                  <c:v>77.262205735692959</c:v>
                </c:pt>
                <c:pt idx="72">
                  <c:v>77.378975401509308</c:v>
                </c:pt>
                <c:pt idx="73">
                  <c:v>77.493842847506542</c:v>
                </c:pt>
                <c:pt idx="74">
                  <c:v>77.606854179907842</c:v>
                </c:pt>
                <c:pt idx="75">
                  <c:v>77.718054026841244</c:v>
                </c:pt>
                <c:pt idx="76">
                  <c:v>77.827485597100448</c:v>
                </c:pt>
                <c:pt idx="77">
                  <c:v>77.935190736124696</c:v>
                </c:pt>
                <c:pt idx="78">
                  <c:v>78.041209979349773</c:v>
                </c:pt>
                <c:pt idx="79">
                  <c:v>78.14558260307335</c:v>
                </c:pt>
                <c:pt idx="80">
                  <c:v>78.24834667296831</c:v>
                </c:pt>
                <c:pt idx="81">
                  <c:v>78.349539090370456</c:v>
                </c:pt>
                <c:pt idx="82">
                  <c:v>78.449195636458484</c:v>
                </c:pt>
                <c:pt idx="83">
                  <c:v>78.547351014437439</c:v>
                </c:pt>
                <c:pt idx="84">
                  <c:v>78.644038889830227</c:v>
                </c:pt>
                <c:pt idx="85">
                  <c:v>78.739291928975234</c:v>
                </c:pt>
                <c:pt idx="86">
                  <c:v>78.833141835822786</c:v>
                </c:pt>
                <c:pt idx="87">
                  <c:v>78.925619387117351</c:v>
                </c:pt>
                <c:pt idx="88">
                  <c:v>79.016754466047487</c:v>
                </c:pt>
                <c:pt idx="89">
                  <c:v>79.106576094441067</c:v>
                </c:pt>
                <c:pt idx="90">
                  <c:v>79.195112463578241</c:v>
                </c:pt>
                <c:pt idx="91">
                  <c:v>79.282390963691228</c:v>
                </c:pt>
                <c:pt idx="92">
                  <c:v>79.368438212215537</c:v>
                </c:pt>
                <c:pt idx="93">
                  <c:v>79.4532800808541</c:v>
                </c:pt>
                <c:pt idx="94">
                  <c:v>79.536941721511724</c:v>
                </c:pt>
                <c:pt idx="95">
                  <c:v>79.619447591154824</c:v>
                </c:pt>
                <c:pt idx="96">
                  <c:v>79.700821475647913</c:v>
                </c:pt>
                <c:pt idx="97">
                  <c:v>79.781086512615687</c:v>
                </c:pt>
                <c:pt idx="98">
                  <c:v>79.860265213376763</c:v>
                </c:pt>
                <c:pt idx="99">
                  <c:v>79.93837948399289</c:v>
                </c:pt>
                <c:pt idx="100">
                  <c:v>80.015450645474928</c:v>
                </c:pt>
                <c:pt idx="101">
                  <c:v>80.091499453184639</c:v>
                </c:pt>
                <c:pt idx="102">
                  <c:v>80.166546115469501</c:v>
                </c:pt>
                <c:pt idx="103">
                  <c:v>80.240610311565717</c:v>
                </c:pt>
                <c:pt idx="104">
                  <c:v>80.313711208802644</c:v>
                </c:pt>
                <c:pt idx="105">
                  <c:v>80.385867479140146</c:v>
                </c:pt>
                <c:pt idx="106">
                  <c:v>80.45709731506922</c:v>
                </c:pt>
                <c:pt idx="107">
                  <c:v>80.527418444903702</c:v>
                </c:pt>
                <c:pt idx="108">
                  <c:v>80.596848147490832</c:v>
                </c:pt>
                <c:pt idx="109">
                  <c:v>80.665403266365644</c:v>
                </c:pt>
                <c:pt idx="110">
                  <c:v>80.733100223373867</c:v>
                </c:pt>
                <c:pt idx="111">
                  <c:v>80.799955031786439</c:v>
                </c:pt>
                <c:pt idx="112">
                  <c:v>80.865983308927682</c:v>
                </c:pt>
                <c:pt idx="113">
                  <c:v>80.931200288337877</c:v>
                </c:pt>
                <c:pt idx="114">
                  <c:v>80.9956208314902</c:v>
                </c:pt>
                <c:pt idx="115">
                  <c:v>81.059259439081259</c:v>
                </c:pt>
                <c:pt idx="116">
                  <c:v>81.122130261912616</c:v>
                </c:pt>
                <c:pt idx="117">
                  <c:v>81.184247111381154</c:v>
                </c:pt>
                <c:pt idx="118">
                  <c:v>81.245623469594094</c:v>
                </c:pt>
                <c:pt idx="119">
                  <c:v>81.306272499124375</c:v>
                </c:pt>
                <c:pt idx="120">
                  <c:v>81.366207052421501</c:v>
                </c:pt>
                <c:pt idx="121">
                  <c:v>81.425439680891387</c:v>
                </c:pt>
                <c:pt idx="122">
                  <c:v>81.483982643659431</c:v>
                </c:pt>
                <c:pt idx="123">
                  <c:v>81.5418479160289</c:v>
                </c:pt>
                <c:pt idx="124">
                  <c:v>81.599047197647664</c:v>
                </c:pt>
                <c:pt idx="125">
                  <c:v>81.655591920394059</c:v>
                </c:pt>
                <c:pt idx="126">
                  <c:v>81.711493255994071</c:v>
                </c:pt>
                <c:pt idx="127">
                  <c:v>81.766762123379692</c:v>
                </c:pt>
                <c:pt idx="128">
                  <c:v>81.821409195798864</c:v>
                </c:pt>
                <c:pt idx="129">
                  <c:v>81.875444907687083</c:v>
                </c:pt>
                <c:pt idx="130">
                  <c:v>81.928879461309421</c:v>
                </c:pt>
                <c:pt idx="131">
                  <c:v>81.981722833182133</c:v>
                </c:pt>
                <c:pt idx="132">
                  <c:v>82.033984780282339</c:v>
                </c:pt>
                <c:pt idx="133">
                  <c:v>82.085674846053905</c:v>
                </c:pt>
                <c:pt idx="134">
                  <c:v>82.136802366217083</c:v>
                </c:pt>
                <c:pt idx="135">
                  <c:v>82.187376474389652</c:v>
                </c:pt>
                <c:pt idx="136">
                  <c:v>82.237406107526468</c:v>
                </c:pt>
                <c:pt idx="137">
                  <c:v>82.286900011184159</c:v>
                </c:pt>
                <c:pt idx="138">
                  <c:v>82.335866744617789</c:v>
                </c:pt>
                <c:pt idx="139">
                  <c:v>82.384314685715324</c:v>
                </c:pt>
                <c:pt idx="140">
                  <c:v>82.432252035776273</c:v>
                </c:pt>
                <c:pt idx="141">
                  <c:v>82.479686824139876</c:v>
                </c:pt>
                <c:pt idx="142">
                  <c:v>82.526626912668661</c:v>
                </c:pt>
                <c:pt idx="143">
                  <c:v>82.573080000092219</c:v>
                </c:pt>
                <c:pt idx="144">
                  <c:v>82.619053626216683</c:v>
                </c:pt>
                <c:pt idx="145">
                  <c:v>82.66455517600447</c:v>
                </c:pt>
                <c:pt idx="146">
                  <c:v>82.709591883528915</c:v>
                </c:pt>
                <c:pt idx="147">
                  <c:v>82.754170835808466</c:v>
                </c:pt>
                <c:pt idx="148">
                  <c:v>82.798298976524407</c:v>
                </c:pt>
                <c:pt idx="149">
                  <c:v>82.841983109626426</c:v>
                </c:pt>
                <c:pt idx="150">
                  <c:v>82.885229902829977</c:v>
                </c:pt>
                <c:pt idx="151">
                  <c:v>82.92804589100885</c:v>
                </c:pt>
                <c:pt idx="152">
                  <c:v>82.970437479487302</c:v>
                </c:pt>
                <c:pt idx="153">
                  <c:v>83.012410947234287</c:v>
                </c:pt>
                <c:pt idx="154">
                  <c:v>83.053972449964036</c:v>
                </c:pt>
                <c:pt idx="155">
                  <c:v>83.09512802314552</c:v>
                </c:pt>
                <c:pt idx="156">
                  <c:v>83.135883584924272</c:v>
                </c:pt>
                <c:pt idx="157">
                  <c:v>83.176244938959428</c:v>
                </c:pt>
                <c:pt idx="158">
                  <c:v>83.216217777178827</c:v>
                </c:pt>
                <c:pt idx="159">
                  <c:v>83.255807682454929</c:v>
                </c:pt>
                <c:pt idx="160">
                  <c:v>83.295020131204168</c:v>
                </c:pt>
                <c:pt idx="161">
                  <c:v>83.333860495912376</c:v>
                </c:pt>
                <c:pt idx="162">
                  <c:v>83.372334047588566</c:v>
                </c:pt>
                <c:pt idx="163">
                  <c:v>83.410445958149595</c:v>
                </c:pt>
                <c:pt idx="164">
                  <c:v>83.448201302737914</c:v>
                </c:pt>
                <c:pt idx="165">
                  <c:v>83.485605061974411</c:v>
                </c:pt>
                <c:pt idx="166">
                  <c:v>83.52266212414888</c:v>
                </c:pt>
                <c:pt idx="167">
                  <c:v>83.559377287349534</c:v>
                </c:pt>
                <c:pt idx="168">
                  <c:v>83.595755261534137</c:v>
                </c:pt>
                <c:pt idx="169">
                  <c:v>83.631800670544209</c:v>
                </c:pt>
                <c:pt idx="170">
                  <c:v>83.667518054064104</c:v>
                </c:pt>
                <c:pt idx="171">
                  <c:v>83.702911869527199</c:v>
                </c:pt>
                <c:pt idx="172">
                  <c:v>83.737986493970112</c:v>
                </c:pt>
                <c:pt idx="173">
                  <c:v>83.772746225837281</c:v>
                </c:pt>
                <c:pt idx="174">
                  <c:v>83.807195286736956</c:v>
                </c:pt>
                <c:pt idx="175">
                  <c:v>83.841337823150496</c:v>
                </c:pt>
                <c:pt idx="176">
                  <c:v>83.875177908096077</c:v>
                </c:pt>
                <c:pt idx="177">
                  <c:v>83.908719542748429</c:v>
                </c:pt>
                <c:pt idx="178">
                  <c:v>83.941966658016042</c:v>
                </c:pt>
                <c:pt idx="179">
                  <c:v>83.974923116076752</c:v>
                </c:pt>
                <c:pt idx="180">
                  <c:v>84.007592711873485</c:v>
                </c:pt>
                <c:pt idx="181">
                  <c:v>84.039979174570888</c:v>
                </c:pt>
                <c:pt idx="182">
                  <c:v>84.072086168974479</c:v>
                </c:pt>
                <c:pt idx="183">
                  <c:v>84.103917296913011</c:v>
                </c:pt>
                <c:pt idx="184">
                  <c:v>84.135476098585443</c:v>
                </c:pt>
                <c:pt idx="185">
                  <c:v>84.166766053873545</c:v>
                </c:pt>
                <c:pt idx="186">
                  <c:v>84.197790583620957</c:v>
                </c:pt>
                <c:pt idx="187">
                  <c:v>84.228553050880009</c:v>
                </c:pt>
                <c:pt idx="188">
                  <c:v>84.259056762126917</c:v>
                </c:pt>
                <c:pt idx="189">
                  <c:v>84.289304968446572</c:v>
                </c:pt>
                <c:pt idx="190">
                  <c:v>84.319300866687556</c:v>
                </c:pt>
                <c:pt idx="191">
                  <c:v>84.349047600588477</c:v>
                </c:pt>
                <c:pt idx="192">
                  <c:v>84.378548261876361</c:v>
                </c:pt>
                <c:pt idx="193">
                  <c:v>84.407805891337759</c:v>
                </c:pt>
                <c:pt idx="194">
                  <c:v>84.436823479863691</c:v>
                </c:pt>
                <c:pt idx="195">
                  <c:v>84.465603969468788</c:v>
                </c:pt>
                <c:pt idx="196">
                  <c:v>84.494150254285657</c:v>
                </c:pt>
                <c:pt idx="197">
                  <c:v>84.522465181535097</c:v>
                </c:pt>
                <c:pt idx="198">
                  <c:v>84.550551552472669</c:v>
                </c:pt>
                <c:pt idx="199">
                  <c:v>84.578412123312674</c:v>
                </c:pt>
                <c:pt idx="200">
                  <c:v>84.606049606129673</c:v>
                </c:pt>
                <c:pt idx="201">
                  <c:v>84.633466669738652</c:v>
                </c:pt>
                <c:pt idx="202">
                  <c:v>84.660665940554097</c:v>
                </c:pt>
                <c:pt idx="203">
                  <c:v>84.687650003428644</c:v>
                </c:pt>
                <c:pt idx="204">
                  <c:v>84.714421402472098</c:v>
                </c:pt>
                <c:pt idx="205">
                  <c:v>84.740982641850863</c:v>
                </c:pt>
                <c:pt idx="206">
                  <c:v>84.76733618656894</c:v>
                </c:pt>
                <c:pt idx="207">
                  <c:v>84.793484463230385</c:v>
                </c:pt>
                <c:pt idx="208">
                  <c:v>84.819429860784226</c:v>
                </c:pt>
                <c:pt idx="209">
                  <c:v>84.845174731252044</c:v>
                </c:pt>
                <c:pt idx="210">
                  <c:v>84.870721390438675</c:v>
                </c:pt>
                <c:pt idx="211">
                  <c:v>84.896072118626691</c:v>
                </c:pt>
                <c:pt idx="212">
                  <c:v>84.921229161254828</c:v>
                </c:pt>
                <c:pt idx="213">
                  <c:v>84.94619472958108</c:v>
                </c:pt>
                <c:pt idx="214">
                  <c:v>84.970971001330554</c:v>
                </c:pt>
                <c:pt idx="215">
                  <c:v>84.995560121328694</c:v>
                </c:pt>
                <c:pt idx="216">
                  <c:v>85.019964202120335</c:v>
                </c:pt>
                <c:pt idx="217">
                  <c:v>85.04418532457457</c:v>
                </c:pt>
                <c:pt idx="218">
                  <c:v>85.068225538476341</c:v>
                </c:pt>
                <c:pt idx="219">
                  <c:v>85.092086863104669</c:v>
                </c:pt>
                <c:pt idx="220">
                  <c:v>85.115771287798026</c:v>
                </c:pt>
                <c:pt idx="221">
                  <c:v>85.139280772507249</c:v>
                </c:pt>
                <c:pt idx="222">
                  <c:v>85.162617248336161</c:v>
                </c:pt>
                <c:pt idx="223">
                  <c:v>85.185782618070391</c:v>
                </c:pt>
                <c:pt idx="224">
                  <c:v>85.208778756694528</c:v>
                </c:pt>
                <c:pt idx="225">
                  <c:v>85.231607511898076</c:v>
                </c:pt>
                <c:pt idx="226">
                  <c:v>85.254270704570217</c:v>
                </c:pt>
                <c:pt idx="227">
                  <c:v>85.276770129284102</c:v>
                </c:pt>
                <c:pt idx="228">
                  <c:v>85.299107554770472</c:v>
                </c:pt>
                <c:pt idx="229">
                  <c:v>85.321284724381158</c:v>
                </c:pt>
              </c:numCache>
            </c:numRef>
          </c:yVal>
          <c:smooth val="1"/>
          <c:extLst>
            <c:ext xmlns:c16="http://schemas.microsoft.com/office/drawing/2014/chart" uri="{C3380CC4-5D6E-409C-BE32-E72D297353CC}">
              <c16:uniqueId val="{00000003-34D2-436D-BFE8-BBDFE6B4FF64}"/>
            </c:ext>
          </c:extLst>
        </c:ser>
        <c:ser>
          <c:idx val="2"/>
          <c:order val="2"/>
          <c:tx>
            <c:v>LFL T5-HO</c:v>
          </c:tx>
          <c:spPr>
            <a:ln w="19050" cap="rnd">
              <a:solidFill>
                <a:srgbClr val="5497D4"/>
              </a:solidFill>
              <a:round/>
            </a:ln>
            <a:effectLst/>
          </c:spPr>
          <c:marker>
            <c:symbol val="none"/>
          </c:marker>
          <c:xVal>
            <c:numRef>
              <c:f>Sheet1!$Q$7:$Q$236</c:f>
              <c:numCache>
                <c:formatCode>General</c:formatCode>
                <c:ptCount val="23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pt idx="60">
                  <c:v>910</c:v>
                </c:pt>
                <c:pt idx="61">
                  <c:v>920</c:v>
                </c:pt>
                <c:pt idx="62">
                  <c:v>930</c:v>
                </c:pt>
                <c:pt idx="63">
                  <c:v>940</c:v>
                </c:pt>
                <c:pt idx="64">
                  <c:v>950</c:v>
                </c:pt>
                <c:pt idx="65">
                  <c:v>960</c:v>
                </c:pt>
                <c:pt idx="66">
                  <c:v>970</c:v>
                </c:pt>
                <c:pt idx="67">
                  <c:v>980</c:v>
                </c:pt>
                <c:pt idx="68">
                  <c:v>990</c:v>
                </c:pt>
                <c:pt idx="69">
                  <c:v>1000</c:v>
                </c:pt>
                <c:pt idx="70">
                  <c:v>1010</c:v>
                </c:pt>
                <c:pt idx="71">
                  <c:v>1020</c:v>
                </c:pt>
                <c:pt idx="72">
                  <c:v>1030</c:v>
                </c:pt>
                <c:pt idx="73">
                  <c:v>1040</c:v>
                </c:pt>
                <c:pt idx="74">
                  <c:v>1050</c:v>
                </c:pt>
                <c:pt idx="75">
                  <c:v>1060</c:v>
                </c:pt>
                <c:pt idx="76">
                  <c:v>1070</c:v>
                </c:pt>
                <c:pt idx="77">
                  <c:v>1080</c:v>
                </c:pt>
                <c:pt idx="78">
                  <c:v>1090</c:v>
                </c:pt>
                <c:pt idx="79">
                  <c:v>1100</c:v>
                </c:pt>
                <c:pt idx="80">
                  <c:v>1110</c:v>
                </c:pt>
                <c:pt idx="81">
                  <c:v>1120</c:v>
                </c:pt>
                <c:pt idx="82">
                  <c:v>1130</c:v>
                </c:pt>
                <c:pt idx="83">
                  <c:v>1140</c:v>
                </c:pt>
                <c:pt idx="84">
                  <c:v>1150</c:v>
                </c:pt>
                <c:pt idx="85">
                  <c:v>1160</c:v>
                </c:pt>
                <c:pt idx="86">
                  <c:v>1170</c:v>
                </c:pt>
                <c:pt idx="87">
                  <c:v>1180</c:v>
                </c:pt>
                <c:pt idx="88">
                  <c:v>1190</c:v>
                </c:pt>
                <c:pt idx="89">
                  <c:v>1200</c:v>
                </c:pt>
                <c:pt idx="90">
                  <c:v>1210</c:v>
                </c:pt>
                <c:pt idx="91">
                  <c:v>1220</c:v>
                </c:pt>
                <c:pt idx="92">
                  <c:v>1230</c:v>
                </c:pt>
                <c:pt idx="93">
                  <c:v>1240</c:v>
                </c:pt>
                <c:pt idx="94">
                  <c:v>1250</c:v>
                </c:pt>
                <c:pt idx="95">
                  <c:v>1260</c:v>
                </c:pt>
                <c:pt idx="96">
                  <c:v>1270</c:v>
                </c:pt>
                <c:pt idx="97">
                  <c:v>1280</c:v>
                </c:pt>
                <c:pt idx="98">
                  <c:v>1290</c:v>
                </c:pt>
                <c:pt idx="99">
                  <c:v>1300</c:v>
                </c:pt>
                <c:pt idx="100">
                  <c:v>1310</c:v>
                </c:pt>
                <c:pt idx="101">
                  <c:v>1320</c:v>
                </c:pt>
                <c:pt idx="102">
                  <c:v>1330</c:v>
                </c:pt>
                <c:pt idx="103">
                  <c:v>1340</c:v>
                </c:pt>
                <c:pt idx="104">
                  <c:v>1350</c:v>
                </c:pt>
                <c:pt idx="105">
                  <c:v>1360</c:v>
                </c:pt>
                <c:pt idx="106">
                  <c:v>1370</c:v>
                </c:pt>
                <c:pt idx="107">
                  <c:v>1380</c:v>
                </c:pt>
                <c:pt idx="108">
                  <c:v>1390</c:v>
                </c:pt>
                <c:pt idx="109">
                  <c:v>1400</c:v>
                </c:pt>
                <c:pt idx="110">
                  <c:v>1410</c:v>
                </c:pt>
                <c:pt idx="111">
                  <c:v>1420</c:v>
                </c:pt>
                <c:pt idx="112">
                  <c:v>1430</c:v>
                </c:pt>
                <c:pt idx="113">
                  <c:v>1440</c:v>
                </c:pt>
                <c:pt idx="114">
                  <c:v>1450</c:v>
                </c:pt>
                <c:pt idx="115">
                  <c:v>1460</c:v>
                </c:pt>
                <c:pt idx="116">
                  <c:v>1470</c:v>
                </c:pt>
                <c:pt idx="117">
                  <c:v>1480</c:v>
                </c:pt>
                <c:pt idx="118">
                  <c:v>1490</c:v>
                </c:pt>
                <c:pt idx="119">
                  <c:v>1500</c:v>
                </c:pt>
                <c:pt idx="120">
                  <c:v>1510</c:v>
                </c:pt>
                <c:pt idx="121">
                  <c:v>1520</c:v>
                </c:pt>
                <c:pt idx="122">
                  <c:v>1530</c:v>
                </c:pt>
                <c:pt idx="123">
                  <c:v>1540</c:v>
                </c:pt>
                <c:pt idx="124">
                  <c:v>1550</c:v>
                </c:pt>
                <c:pt idx="125">
                  <c:v>1560</c:v>
                </c:pt>
                <c:pt idx="126">
                  <c:v>1570</c:v>
                </c:pt>
                <c:pt idx="127">
                  <c:v>1580</c:v>
                </c:pt>
                <c:pt idx="128">
                  <c:v>1590</c:v>
                </c:pt>
                <c:pt idx="129">
                  <c:v>1600</c:v>
                </c:pt>
                <c:pt idx="130">
                  <c:v>1610</c:v>
                </c:pt>
                <c:pt idx="131">
                  <c:v>1620</c:v>
                </c:pt>
                <c:pt idx="132">
                  <c:v>1630</c:v>
                </c:pt>
                <c:pt idx="133">
                  <c:v>1640</c:v>
                </c:pt>
                <c:pt idx="134">
                  <c:v>1650</c:v>
                </c:pt>
                <c:pt idx="135">
                  <c:v>1660</c:v>
                </c:pt>
                <c:pt idx="136">
                  <c:v>1670</c:v>
                </c:pt>
                <c:pt idx="137">
                  <c:v>1680</c:v>
                </c:pt>
                <c:pt idx="138">
                  <c:v>1690</c:v>
                </c:pt>
                <c:pt idx="139">
                  <c:v>1700</c:v>
                </c:pt>
                <c:pt idx="140">
                  <c:v>1710</c:v>
                </c:pt>
                <c:pt idx="141">
                  <c:v>1720</c:v>
                </c:pt>
                <c:pt idx="142">
                  <c:v>1730</c:v>
                </c:pt>
                <c:pt idx="143">
                  <c:v>1740</c:v>
                </c:pt>
                <c:pt idx="144">
                  <c:v>1750</c:v>
                </c:pt>
                <c:pt idx="145">
                  <c:v>1760</c:v>
                </c:pt>
                <c:pt idx="146">
                  <c:v>1770</c:v>
                </c:pt>
                <c:pt idx="147">
                  <c:v>1780</c:v>
                </c:pt>
                <c:pt idx="148">
                  <c:v>1790</c:v>
                </c:pt>
                <c:pt idx="149">
                  <c:v>1800</c:v>
                </c:pt>
                <c:pt idx="150">
                  <c:v>1810</c:v>
                </c:pt>
                <c:pt idx="151">
                  <c:v>1820</c:v>
                </c:pt>
                <c:pt idx="152">
                  <c:v>1830</c:v>
                </c:pt>
                <c:pt idx="153">
                  <c:v>1840</c:v>
                </c:pt>
                <c:pt idx="154">
                  <c:v>1850</c:v>
                </c:pt>
                <c:pt idx="155">
                  <c:v>1860</c:v>
                </c:pt>
                <c:pt idx="156">
                  <c:v>1870</c:v>
                </c:pt>
                <c:pt idx="157">
                  <c:v>1880</c:v>
                </c:pt>
                <c:pt idx="158">
                  <c:v>1890</c:v>
                </c:pt>
                <c:pt idx="159">
                  <c:v>1900</c:v>
                </c:pt>
                <c:pt idx="160">
                  <c:v>1910</c:v>
                </c:pt>
                <c:pt idx="161">
                  <c:v>1920</c:v>
                </c:pt>
                <c:pt idx="162">
                  <c:v>1930</c:v>
                </c:pt>
                <c:pt idx="163">
                  <c:v>1940</c:v>
                </c:pt>
                <c:pt idx="164">
                  <c:v>1950</c:v>
                </c:pt>
                <c:pt idx="165">
                  <c:v>1960</c:v>
                </c:pt>
                <c:pt idx="166">
                  <c:v>1970</c:v>
                </c:pt>
                <c:pt idx="167">
                  <c:v>1980</c:v>
                </c:pt>
                <c:pt idx="168">
                  <c:v>1990</c:v>
                </c:pt>
                <c:pt idx="169">
                  <c:v>2000</c:v>
                </c:pt>
                <c:pt idx="170">
                  <c:v>2010</c:v>
                </c:pt>
                <c:pt idx="171">
                  <c:v>2020</c:v>
                </c:pt>
                <c:pt idx="172">
                  <c:v>2030</c:v>
                </c:pt>
                <c:pt idx="173">
                  <c:v>2040</c:v>
                </c:pt>
                <c:pt idx="174">
                  <c:v>2050</c:v>
                </c:pt>
                <c:pt idx="175">
                  <c:v>2060</c:v>
                </c:pt>
                <c:pt idx="176">
                  <c:v>2070</c:v>
                </c:pt>
                <c:pt idx="177">
                  <c:v>2080</c:v>
                </c:pt>
                <c:pt idx="178">
                  <c:v>2090</c:v>
                </c:pt>
                <c:pt idx="179">
                  <c:v>2100</c:v>
                </c:pt>
                <c:pt idx="180">
                  <c:v>2110</c:v>
                </c:pt>
                <c:pt idx="181">
                  <c:v>2120</c:v>
                </c:pt>
                <c:pt idx="182">
                  <c:v>2130</c:v>
                </c:pt>
                <c:pt idx="183">
                  <c:v>2140</c:v>
                </c:pt>
                <c:pt idx="184">
                  <c:v>2150</c:v>
                </c:pt>
                <c:pt idx="185">
                  <c:v>2160</c:v>
                </c:pt>
                <c:pt idx="186">
                  <c:v>2170</c:v>
                </c:pt>
                <c:pt idx="187">
                  <c:v>2180</c:v>
                </c:pt>
                <c:pt idx="188">
                  <c:v>2190</c:v>
                </c:pt>
                <c:pt idx="189">
                  <c:v>2200</c:v>
                </c:pt>
                <c:pt idx="190">
                  <c:v>2210</c:v>
                </c:pt>
                <c:pt idx="191">
                  <c:v>2220</c:v>
                </c:pt>
                <c:pt idx="192">
                  <c:v>2230</c:v>
                </c:pt>
                <c:pt idx="193">
                  <c:v>2240</c:v>
                </c:pt>
                <c:pt idx="194">
                  <c:v>2250</c:v>
                </c:pt>
                <c:pt idx="195">
                  <c:v>2260</c:v>
                </c:pt>
                <c:pt idx="196">
                  <c:v>2270</c:v>
                </c:pt>
                <c:pt idx="197">
                  <c:v>2280</c:v>
                </c:pt>
                <c:pt idx="198">
                  <c:v>2290</c:v>
                </c:pt>
                <c:pt idx="199">
                  <c:v>2300</c:v>
                </c:pt>
                <c:pt idx="200">
                  <c:v>2310</c:v>
                </c:pt>
                <c:pt idx="201">
                  <c:v>2320</c:v>
                </c:pt>
                <c:pt idx="202">
                  <c:v>2330</c:v>
                </c:pt>
                <c:pt idx="203">
                  <c:v>2340</c:v>
                </c:pt>
                <c:pt idx="204">
                  <c:v>2350</c:v>
                </c:pt>
                <c:pt idx="205">
                  <c:v>2360</c:v>
                </c:pt>
                <c:pt idx="206">
                  <c:v>2370</c:v>
                </c:pt>
                <c:pt idx="207">
                  <c:v>2380</c:v>
                </c:pt>
                <c:pt idx="208">
                  <c:v>2390</c:v>
                </c:pt>
                <c:pt idx="209">
                  <c:v>2400</c:v>
                </c:pt>
                <c:pt idx="210">
                  <c:v>2410</c:v>
                </c:pt>
                <c:pt idx="211">
                  <c:v>2420</c:v>
                </c:pt>
                <c:pt idx="212">
                  <c:v>2430</c:v>
                </c:pt>
                <c:pt idx="213">
                  <c:v>2440</c:v>
                </c:pt>
                <c:pt idx="214">
                  <c:v>2450</c:v>
                </c:pt>
                <c:pt idx="215">
                  <c:v>2460</c:v>
                </c:pt>
                <c:pt idx="216">
                  <c:v>2470</c:v>
                </c:pt>
                <c:pt idx="217">
                  <c:v>2480</c:v>
                </c:pt>
                <c:pt idx="218">
                  <c:v>2490</c:v>
                </c:pt>
                <c:pt idx="219">
                  <c:v>2500</c:v>
                </c:pt>
                <c:pt idx="220">
                  <c:v>2510</c:v>
                </c:pt>
                <c:pt idx="221">
                  <c:v>2520</c:v>
                </c:pt>
                <c:pt idx="222">
                  <c:v>2530</c:v>
                </c:pt>
                <c:pt idx="223">
                  <c:v>2540</c:v>
                </c:pt>
                <c:pt idx="224">
                  <c:v>2550</c:v>
                </c:pt>
                <c:pt idx="225">
                  <c:v>2560</c:v>
                </c:pt>
                <c:pt idx="226">
                  <c:v>2570</c:v>
                </c:pt>
                <c:pt idx="227">
                  <c:v>2580</c:v>
                </c:pt>
                <c:pt idx="228">
                  <c:v>2590</c:v>
                </c:pt>
                <c:pt idx="229">
                  <c:v>2600</c:v>
                </c:pt>
              </c:numCache>
            </c:numRef>
          </c:xVal>
          <c:yVal>
            <c:numRef>
              <c:f>Sheet1!$S$7:$S$236</c:f>
              <c:numCache>
                <c:formatCode>0.0</c:formatCode>
                <c:ptCount val="230"/>
                <c:pt idx="0">
                  <c:v>50.93879425716073</c:v>
                </c:pt>
                <c:pt idx="1">
                  <c:v>51.48124888547747</c:v>
                </c:pt>
                <c:pt idx="2">
                  <c:v>52.001458091267395</c:v>
                </c:pt>
                <c:pt idx="3">
                  <c:v>52.500762767992022</c:v>
                </c:pt>
                <c:pt idx="4">
                  <c:v>52.98039816456204</c:v>
                </c:pt>
                <c:pt idx="5">
                  <c:v>53.441504088597007</c:v>
                </c:pt>
                <c:pt idx="6">
                  <c:v>53.885133949564491</c:v>
                </c:pt>
                <c:pt idx="7">
                  <c:v>54.312262792828157</c:v>
                </c:pt>
                <c:pt idx="8">
                  <c:v>54.723794453573525</c:v>
                </c:pt>
                <c:pt idx="9">
                  <c:v>55.120567941080758</c:v>
                </c:pt>
                <c:pt idx="10">
                  <c:v>55.503363148246009</c:v>
                </c:pt>
                <c:pt idx="11">
                  <c:v>55.872905968111098</c:v>
                </c:pt>
                <c:pt idx="12">
                  <c:v>56.229872888031814</c:v>
                </c:pt>
                <c:pt idx="13">
                  <c:v>56.574895122661552</c:v>
                </c:pt>
                <c:pt idx="14">
                  <c:v>56.908562338873345</c:v>
                </c:pt>
                <c:pt idx="15">
                  <c:v>57.231426018863282</c:v>
                </c:pt>
                <c:pt idx="16">
                  <c:v>57.544002501784881</c:v>
                </c:pt>
                <c:pt idx="17">
                  <c:v>57.84677573920164</c:v>
                </c:pt>
                <c:pt idx="18">
                  <c:v>58.140199795287032</c:v>
                </c:pt>
                <c:pt idx="19">
                  <c:v>58.424701118938607</c:v>
                </c:pt>
                <c:pt idx="20">
                  <c:v>58.700680611718496</c:v>
                </c:pt>
                <c:pt idx="21">
                  <c:v>58.968515512709104</c:v>
                </c:pt>
                <c:pt idx="22">
                  <c:v>59.22856111892029</c:v>
                </c:pt>
                <c:pt idx="23">
                  <c:v>59.481152357746879</c:v>
                </c:pt>
                <c:pt idx="24">
                  <c:v>59.726605226110671</c:v>
                </c:pt>
                <c:pt idx="25">
                  <c:v>59.965218109289445</c:v>
                </c:pt>
                <c:pt idx="26">
                  <c:v>60.197272991006663</c:v>
                </c:pt>
                <c:pt idx="27">
                  <c:v>60.423036565099729</c:v>
                </c:pt>
                <c:pt idx="28">
                  <c:v>60.64276125798127</c:v>
                </c:pt>
                <c:pt idx="29">
                  <c:v>60.856686170134758</c:v>
                </c:pt>
                <c:pt idx="30">
                  <c:v>61.065037944027132</c:v>
                </c:pt>
                <c:pt idx="31">
                  <c:v>61.268031565061271</c:v>
                </c:pt>
                <c:pt idx="32">
                  <c:v>61.465871101519184</c:v>
                </c:pt>
                <c:pt idx="33">
                  <c:v>61.65875038884942</c:v>
                </c:pt>
                <c:pt idx="34">
                  <c:v>61.846853663122083</c:v>
                </c:pt>
                <c:pt idx="35">
                  <c:v>62.0303561480032</c:v>
                </c:pt>
                <c:pt idx="36">
                  <c:v>62.209424599179343</c:v>
                </c:pt>
                <c:pt idx="37">
                  <c:v>62.38421780978782</c:v>
                </c:pt>
                <c:pt idx="38">
                  <c:v>62.554887080072866</c:v>
                </c:pt>
                <c:pt idx="39">
                  <c:v>62.721576654187118</c:v>
                </c:pt>
                <c:pt idx="40">
                  <c:v>62.884424126789</c:v>
                </c:pt>
                <c:pt idx="41">
                  <c:v>63.04356082184497</c:v>
                </c:pt>
                <c:pt idx="42">
                  <c:v>63.19911214582838</c:v>
                </c:pt>
                <c:pt idx="43">
                  <c:v>63.351197917311303</c:v>
                </c:pt>
                <c:pt idx="44">
                  <c:v>63.499932674770164</c:v>
                </c:pt>
                <c:pt idx="45">
                  <c:v>63.645425964266536</c:v>
                </c:pt>
                <c:pt idx="46">
                  <c:v>63.787782608522072</c:v>
                </c:pt>
                <c:pt idx="47">
                  <c:v>63.927102958776196</c:v>
                </c:pt>
                <c:pt idx="48">
                  <c:v>64.063483130698486</c:v>
                </c:pt>
                <c:pt idx="49">
                  <c:v>64.197015225521</c:v>
                </c:pt>
                <c:pt idx="50">
                  <c:v>64.32778753745994</c:v>
                </c:pt>
                <c:pt idx="51">
                  <c:v>64.45588474840801</c:v>
                </c:pt>
                <c:pt idx="52">
                  <c:v>64.581388110799864</c:v>
                </c:pt>
                <c:pt idx="53">
                  <c:v>64.704375619480359</c:v>
                </c:pt>
                <c:pt idx="54">
                  <c:v>64.82492217333936</c:v>
                </c:pt>
                <c:pt idx="55">
                  <c:v>64.943099727417305</c:v>
                </c:pt>
                <c:pt idx="56">
                  <c:v>65.058977436130291</c:v>
                </c:pt>
                <c:pt idx="57">
                  <c:v>65.172621788213959</c:v>
                </c:pt>
                <c:pt idx="58">
                  <c:v>65.284096733939236</c:v>
                </c:pt>
                <c:pt idx="59">
                  <c:v>65.393463805111708</c:v>
                </c:pt>
                <c:pt idx="60">
                  <c:v>65.500782228327424</c:v>
                </c:pt>
                <c:pt idx="61">
                  <c:v>65.606109031923253</c:v>
                </c:pt>
                <c:pt idx="62">
                  <c:v>65.70949914702787</c:v>
                </c:pt>
                <c:pt idx="63">
                  <c:v>65.81100550308895</c:v>
                </c:pt>
                <c:pt idx="64">
                  <c:v>65.910679118226284</c:v>
                </c:pt>
                <c:pt idx="65">
                  <c:v>66.008569184734512</c:v>
                </c:pt>
                <c:pt idx="66">
                  <c:v>66.104723150036619</c:v>
                </c:pt>
                <c:pt idx="67">
                  <c:v>66.199186793368028</c:v>
                </c:pt>
                <c:pt idx="68">
                  <c:v>66.292004298451971</c:v>
                </c:pt>
                <c:pt idx="69">
                  <c:v>66.383218322408084</c:v>
                </c:pt>
                <c:pt idx="70">
                  <c:v>66.47287006112046</c:v>
                </c:pt>
                <c:pt idx="71">
                  <c:v>66.560999311275268</c:v>
                </c:pt>
                <c:pt idx="72">
                  <c:v>66.647644529264468</c:v>
                </c:pt>
                <c:pt idx="73">
                  <c:v>66.732842887138617</c:v>
                </c:pt>
                <c:pt idx="74">
                  <c:v>66.81663032577994</c:v>
                </c:pt>
                <c:pt idx="75">
                  <c:v>66.899041605455324</c:v>
                </c:pt>
                <c:pt idx="76">
                  <c:v>66.980110353898723</c:v>
                </c:pt>
                <c:pt idx="77">
                  <c:v>67.059869112062685</c:v>
                </c:pt>
                <c:pt idx="78">
                  <c:v>67.138349377669712</c:v>
                </c:pt>
                <c:pt idx="79">
                  <c:v>67.215581646686047</c:v>
                </c:pt>
                <c:pt idx="80">
                  <c:v>67.29159545283234</c:v>
                </c:pt>
                <c:pt idx="81">
                  <c:v>67.366419405239157</c:v>
                </c:pt>
                <c:pt idx="82">
                  <c:v>67.440081224347736</c:v>
                </c:pt>
                <c:pt idx="83">
                  <c:v>67.512607776150972</c:v>
                </c:pt>
                <c:pt idx="84">
                  <c:v>67.584025104863215</c:v>
                </c:pt>
                <c:pt idx="85">
                  <c:v>67.654358464102714</c:v>
                </c:pt>
                <c:pt idx="86">
                  <c:v>67.723632346664658</c:v>
                </c:pt>
                <c:pt idx="87">
                  <c:v>67.791870512958951</c:v>
                </c:pt>
                <c:pt idx="88">
                  <c:v>67.859096018181859</c:v>
                </c:pt>
                <c:pt idx="89">
                  <c:v>67.925331238286958</c:v>
                </c:pt>
                <c:pt idx="90">
                  <c:v>67.990597894816659</c:v>
                </c:pt>
                <c:pt idx="91">
                  <c:v>68.054917078652295</c:v>
                </c:pt>
                <c:pt idx="92">
                  <c:v>68.118309272737477</c:v>
                </c:pt>
                <c:pt idx="93">
                  <c:v>68.180794373825776</c:v>
                </c:pt>
                <c:pt idx="94">
                  <c:v>68.2423917133017</c:v>
                </c:pt>
                <c:pt idx="95">
                  <c:v>68.303120077120212</c:v>
                </c:pt>
                <c:pt idx="96">
                  <c:v>68.362997724908482</c:v>
                </c:pt>
                <c:pt idx="97">
                  <c:v>68.422042408270414</c:v>
                </c:pt>
                <c:pt idx="98">
                  <c:v>68.48027138833244</c:v>
                </c:pt>
                <c:pt idx="99">
                  <c:v>68.537701452567333</c:v>
                </c:pt>
                <c:pt idx="100">
                  <c:v>68.594348930929968</c:v>
                </c:pt>
                <c:pt idx="101">
                  <c:v>68.650229711338184</c:v>
                </c:pt>
                <c:pt idx="102">
                  <c:v>68.705359254529114</c:v>
                </c:pt>
                <c:pt idx="103">
                  <c:v>68.759752608320426</c:v>
                </c:pt>
                <c:pt idx="104">
                  <c:v>68.813424421303978</c:v>
                </c:pt>
                <c:pt idx="105">
                  <c:v>68.866388955998232</c:v>
                </c:pt>
                <c:pt idx="106">
                  <c:v>68.918660101483951</c:v>
                </c:pt>
                <c:pt idx="107">
                  <c:v>68.970251385546959</c:v>
                </c:pt>
                <c:pt idx="108">
                  <c:v>69.02117598635013</c:v>
                </c:pt>
                <c:pt idx="109">
                  <c:v>69.07144674365577</c:v>
                </c:pt>
                <c:pt idx="110">
                  <c:v>69.121076169618604</c:v>
                </c:pt>
                <c:pt idx="111">
                  <c:v>69.170076459168172</c:v>
                </c:pt>
                <c:pt idx="112">
                  <c:v>69.218459499998829</c:v>
                </c:pt>
                <c:pt idx="113">
                  <c:v>69.266236882184813</c:v>
                </c:pt>
                <c:pt idx="114">
                  <c:v>69.313419907436199</c:v>
                </c:pt>
                <c:pt idx="115">
                  <c:v>69.360019598011817</c:v>
                </c:pt>
                <c:pt idx="116">
                  <c:v>69.406046705303325</c:v>
                </c:pt>
                <c:pt idx="117">
                  <c:v>69.45151171810511</c:v>
                </c:pt>
                <c:pt idx="118">
                  <c:v>69.496424870582786</c:v>
                </c:pt>
                <c:pt idx="119">
                  <c:v>69.540796149953408</c:v>
                </c:pt>
                <c:pt idx="120">
                  <c:v>69.584635303889371</c:v>
                </c:pt>
                <c:pt idx="121">
                  <c:v>69.6279518476574</c:v>
                </c:pt>
                <c:pt idx="122">
                  <c:v>69.670755071003938</c:v>
                </c:pt>
                <c:pt idx="123">
                  <c:v>69.713054044796991</c:v>
                </c:pt>
                <c:pt idx="124">
                  <c:v>69.754857627434774</c:v>
                </c:pt>
                <c:pt idx="125">
                  <c:v>69.796174471030383</c:v>
                </c:pt>
                <c:pt idx="126">
                  <c:v>69.83701302738173</c:v>
                </c:pt>
                <c:pt idx="127">
                  <c:v>69.877381553735361</c:v>
                </c:pt>
                <c:pt idx="128">
                  <c:v>69.917288118352374</c:v>
                </c:pt>
                <c:pt idx="129">
                  <c:v>69.956740605884363</c:v>
                </c:pt>
                <c:pt idx="130">
                  <c:v>69.995746722566878</c:v>
                </c:pt>
                <c:pt idx="131">
                  <c:v>70.034314001237547</c:v>
                </c:pt>
                <c:pt idx="132">
                  <c:v>70.072449806185901</c:v>
                </c:pt>
                <c:pt idx="133">
                  <c:v>70.110161337841149</c:v>
                </c:pt>
                <c:pt idx="134">
                  <c:v>70.147455637304617</c:v>
                </c:pt>
                <c:pt idx="135">
                  <c:v>70.184339590732279</c:v>
                </c:pt>
                <c:pt idx="136">
                  <c:v>70.220819933573665</c:v>
                </c:pt>
                <c:pt idx="137">
                  <c:v>70.25690325467221</c:v>
                </c:pt>
                <c:pt idx="138">
                  <c:v>70.292596000232521</c:v>
                </c:pt>
                <c:pt idx="139">
                  <c:v>70.327904477659558</c:v>
                </c:pt>
                <c:pt idx="140">
                  <c:v>70.362834859274329</c:v>
                </c:pt>
                <c:pt idx="141">
                  <c:v>70.397393185911056</c:v>
                </c:pt>
                <c:pt idx="142">
                  <c:v>70.431585370399802</c:v>
                </c:pt>
                <c:pt idx="143">
                  <c:v>70.465417200939143</c:v>
                </c:pt>
                <c:pt idx="144">
                  <c:v>70.498894344362711</c:v>
                </c:pt>
                <c:pt idx="145">
                  <c:v>70.532022349303475</c:v>
                </c:pt>
                <c:pt idx="146">
                  <c:v>70.564806649259623</c:v>
                </c:pt>
                <c:pt idx="147">
                  <c:v>70.597252565565512</c:v>
                </c:pt>
                <c:pt idx="148">
                  <c:v>70.629365310270984</c:v>
                </c:pt>
                <c:pt idx="149">
                  <c:v>70.661149988932593</c:v>
                </c:pt>
                <c:pt idx="150">
                  <c:v>70.692611603319534</c:v>
                </c:pt>
                <c:pt idx="151">
                  <c:v>70.72375505403771</c:v>
                </c:pt>
                <c:pt idx="152">
                  <c:v>70.754585143074351</c:v>
                </c:pt>
                <c:pt idx="153">
                  <c:v>70.785106576266415</c:v>
                </c:pt>
                <c:pt idx="154">
                  <c:v>70.815323965695029</c:v>
                </c:pt>
                <c:pt idx="155">
                  <c:v>70.845241832008938</c:v>
                </c:pt>
                <c:pt idx="156">
                  <c:v>70.874864606678983</c:v>
                </c:pt>
                <c:pt idx="157">
                  <c:v>70.904196634186334</c:v>
                </c:pt>
                <c:pt idx="158">
                  <c:v>70.933242174146599</c:v>
                </c:pt>
                <c:pt idx="159">
                  <c:v>70.962005403371975</c:v>
                </c:pt>
                <c:pt idx="160">
                  <c:v>70.990490417873502</c:v>
                </c:pt>
                <c:pt idx="161">
                  <c:v>71.018701234805576</c:v>
                </c:pt>
                <c:pt idx="162">
                  <c:v>71.046641794354585</c:v>
                </c:pt>
                <c:pt idx="163">
                  <c:v>71.074315961573433</c:v>
                </c:pt>
                <c:pt idx="164">
                  <c:v>71.10172752816392</c:v>
                </c:pt>
                <c:pt idx="165">
                  <c:v>71.128880214208635</c:v>
                </c:pt>
                <c:pt idx="166">
                  <c:v>71.155777669853904</c:v>
                </c:pt>
                <c:pt idx="167">
                  <c:v>71.18242347694563</c:v>
                </c:pt>
                <c:pt idx="168">
                  <c:v>71.208821150619357</c:v>
                </c:pt>
                <c:pt idx="169">
                  <c:v>71.234974140846134</c:v>
                </c:pt>
                <c:pt idx="170">
                  <c:v>71.260885833935603</c:v>
                </c:pt>
                <c:pt idx="171">
                  <c:v>71.286559553997677</c:v>
                </c:pt>
                <c:pt idx="172">
                  <c:v>71.31199856436406</c:v>
                </c:pt>
                <c:pt idx="173">
                  <c:v>71.337206068971099</c:v>
                </c:pt>
                <c:pt idx="174">
                  <c:v>71.36218521370489</c:v>
                </c:pt>
                <c:pt idx="175">
                  <c:v>71.386939087710161</c:v>
                </c:pt>
                <c:pt idx="176">
                  <c:v>71.411470724663701</c:v>
                </c:pt>
                <c:pt idx="177">
                  <c:v>71.435783104013879</c:v>
                </c:pt>
                <c:pt idx="178">
                  <c:v>71.459879152186843</c:v>
                </c:pt>
                <c:pt idx="179">
                  <c:v>71.483761743760866</c:v>
                </c:pt>
                <c:pt idx="180">
                  <c:v>71.507433702609433</c:v>
                </c:pt>
                <c:pt idx="181">
                  <c:v>71.530897803014398</c:v>
                </c:pt>
                <c:pt idx="182">
                  <c:v>71.554156770749856</c:v>
                </c:pt>
                <c:pt idx="183">
                  <c:v>71.577213284137599</c:v>
                </c:pt>
                <c:pt idx="184">
                  <c:v>71.600069975075399</c:v>
                </c:pt>
                <c:pt idx="185">
                  <c:v>71.622729430038405</c:v>
                </c:pt>
                <c:pt idx="186">
                  <c:v>71.645194191054912</c:v>
                </c:pt>
                <c:pt idx="187">
                  <c:v>71.667466756656992</c:v>
                </c:pt>
                <c:pt idx="188">
                  <c:v>71.689549582806805</c:v>
                </c:pt>
                <c:pt idx="189">
                  <c:v>71.711445083799489</c:v>
                </c:pt>
                <c:pt idx="190">
                  <c:v>71.733155633142957</c:v>
                </c:pt>
                <c:pt idx="191">
                  <c:v>71.754683564415657</c:v>
                </c:pt>
                <c:pt idx="192">
                  <c:v>71.776031172102705</c:v>
                </c:pt>
                <c:pt idx="193">
                  <c:v>71.797200712411112</c:v>
                </c:pt>
                <c:pt idx="194">
                  <c:v>71.818194404064741</c:v>
                </c:pt>
                <c:pt idx="195">
                  <c:v>71.839014429079356</c:v>
                </c:pt>
                <c:pt idx="196">
                  <c:v>71.859662933518848</c:v>
                </c:pt>
                <c:pt idx="197">
                  <c:v>71.880142028232441</c:v>
                </c:pt>
                <c:pt idx="198">
                  <c:v>71.900453789574186</c:v>
                </c:pt>
                <c:pt idx="199">
                  <c:v>71.920600260104663</c:v>
                </c:pt>
                <c:pt idx="200">
                  <c:v>71.940583449275749</c:v>
                </c:pt>
                <c:pt idx="201">
                  <c:v>71.960405334098681</c:v>
                </c:pt>
                <c:pt idx="202">
                  <c:v>71.980067859796108</c:v>
                </c:pt>
                <c:pt idx="203">
                  <c:v>71.99957294043854</c:v>
                </c:pt>
                <c:pt idx="204">
                  <c:v>72.018922459565275</c:v>
                </c:pt>
                <c:pt idx="205">
                  <c:v>72.038118270790946</c:v>
                </c:pt>
                <c:pt idx="206">
                  <c:v>72.057162198397307</c:v>
                </c:pt>
                <c:pt idx="207">
                  <c:v>72.076056037911258</c:v>
                </c:pt>
                <c:pt idx="208">
                  <c:v>72.094801556669111</c:v>
                </c:pt>
                <c:pt idx="209">
                  <c:v>72.113400494367767</c:v>
                </c:pt>
                <c:pt idx="210">
                  <c:v>72.131854563602829</c:v>
                </c:pt>
                <c:pt idx="211">
                  <c:v>72.15016545039434</c:v>
                </c:pt>
                <c:pt idx="212">
                  <c:v>72.168334814700316</c:v>
                </c:pt>
                <c:pt idx="213">
                  <c:v>72.18636429091832</c:v>
                </c:pt>
                <c:pt idx="214">
                  <c:v>72.204255488375594</c:v>
                </c:pt>
                <c:pt idx="215">
                  <c:v>72.222009991807894</c:v>
                </c:pt>
                <c:pt idx="216">
                  <c:v>72.239629361827468</c:v>
                </c:pt>
                <c:pt idx="217">
                  <c:v>72.257115135380303</c:v>
                </c:pt>
                <c:pt idx="218">
                  <c:v>72.274468826192972</c:v>
                </c:pt>
                <c:pt idx="219">
                  <c:v>72.291691925209619</c:v>
                </c:pt>
                <c:pt idx="220">
                  <c:v>72.308785901018894</c:v>
                </c:pt>
                <c:pt idx="221">
                  <c:v>72.325752200271381</c:v>
                </c:pt>
                <c:pt idx="222">
                  <c:v>72.342592248087655</c:v>
                </c:pt>
                <c:pt idx="223">
                  <c:v>72.359307448457457</c:v>
                </c:pt>
                <c:pt idx="224">
                  <c:v>72.37589918462983</c:v>
                </c:pt>
                <c:pt idx="225">
                  <c:v>72.392368819494706</c:v>
                </c:pt>
                <c:pt idx="226">
                  <c:v>72.408717695956014</c:v>
                </c:pt>
                <c:pt idx="227">
                  <c:v>72.424947137296911</c:v>
                </c:pt>
                <c:pt idx="228">
                  <c:v>72.441058447536591</c:v>
                </c:pt>
                <c:pt idx="229">
                  <c:v>72.45705291177967</c:v>
                </c:pt>
              </c:numCache>
            </c:numRef>
          </c:yVal>
          <c:smooth val="1"/>
          <c:extLst>
            <c:ext xmlns:c16="http://schemas.microsoft.com/office/drawing/2014/chart" uri="{C3380CC4-5D6E-409C-BE32-E72D297353CC}">
              <c16:uniqueId val="{00000004-34D2-436D-BFE8-BBDFE6B4FF64}"/>
            </c:ext>
          </c:extLst>
        </c:ser>
        <c:ser>
          <c:idx val="3"/>
          <c:order val="3"/>
          <c:tx>
            <c:v>OLED</c:v>
          </c:tx>
          <c:spPr>
            <a:ln w="19050" cap="rnd">
              <a:solidFill>
                <a:srgbClr val="A2C7E8"/>
              </a:solidFill>
              <a:round/>
            </a:ln>
            <a:effectLst/>
          </c:spPr>
          <c:marker>
            <c:symbol val="none"/>
          </c:marker>
          <c:xVal>
            <c:numRef>
              <c:f>Sheet1!$T$7:$T$236</c:f>
              <c:numCache>
                <c:formatCode>General</c:formatCode>
                <c:ptCount val="23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pt idx="60">
                  <c:v>910</c:v>
                </c:pt>
                <c:pt idx="61">
                  <c:v>920</c:v>
                </c:pt>
                <c:pt idx="62">
                  <c:v>930</c:v>
                </c:pt>
                <c:pt idx="63">
                  <c:v>940</c:v>
                </c:pt>
                <c:pt idx="64">
                  <c:v>950</c:v>
                </c:pt>
                <c:pt idx="65">
                  <c:v>960</c:v>
                </c:pt>
                <c:pt idx="66">
                  <c:v>970</c:v>
                </c:pt>
                <c:pt idx="67">
                  <c:v>980</c:v>
                </c:pt>
                <c:pt idx="68">
                  <c:v>990</c:v>
                </c:pt>
                <c:pt idx="69">
                  <c:v>1000</c:v>
                </c:pt>
                <c:pt idx="70">
                  <c:v>1010</c:v>
                </c:pt>
                <c:pt idx="71">
                  <c:v>1020</c:v>
                </c:pt>
                <c:pt idx="72">
                  <c:v>1030</c:v>
                </c:pt>
                <c:pt idx="73">
                  <c:v>1040</c:v>
                </c:pt>
                <c:pt idx="74">
                  <c:v>1050</c:v>
                </c:pt>
                <c:pt idx="75">
                  <c:v>1060</c:v>
                </c:pt>
                <c:pt idx="76">
                  <c:v>1070</c:v>
                </c:pt>
                <c:pt idx="77">
                  <c:v>1080</c:v>
                </c:pt>
                <c:pt idx="78">
                  <c:v>1090</c:v>
                </c:pt>
                <c:pt idx="79">
                  <c:v>1100</c:v>
                </c:pt>
                <c:pt idx="80">
                  <c:v>1110</c:v>
                </c:pt>
                <c:pt idx="81">
                  <c:v>1120</c:v>
                </c:pt>
                <c:pt idx="82">
                  <c:v>1130</c:v>
                </c:pt>
                <c:pt idx="83">
                  <c:v>1140</c:v>
                </c:pt>
                <c:pt idx="84">
                  <c:v>1150</c:v>
                </c:pt>
                <c:pt idx="85">
                  <c:v>1160</c:v>
                </c:pt>
                <c:pt idx="86">
                  <c:v>1170</c:v>
                </c:pt>
                <c:pt idx="87">
                  <c:v>1180</c:v>
                </c:pt>
                <c:pt idx="88">
                  <c:v>1190</c:v>
                </c:pt>
                <c:pt idx="89">
                  <c:v>1200</c:v>
                </c:pt>
                <c:pt idx="90">
                  <c:v>1210</c:v>
                </c:pt>
                <c:pt idx="91">
                  <c:v>1220</c:v>
                </c:pt>
                <c:pt idx="92">
                  <c:v>1230</c:v>
                </c:pt>
                <c:pt idx="93">
                  <c:v>1240</c:v>
                </c:pt>
                <c:pt idx="94">
                  <c:v>1250</c:v>
                </c:pt>
                <c:pt idx="95">
                  <c:v>1260</c:v>
                </c:pt>
                <c:pt idx="96">
                  <c:v>1270</c:v>
                </c:pt>
                <c:pt idx="97">
                  <c:v>1280</c:v>
                </c:pt>
                <c:pt idx="98">
                  <c:v>1290</c:v>
                </c:pt>
                <c:pt idx="99">
                  <c:v>1300</c:v>
                </c:pt>
                <c:pt idx="100">
                  <c:v>1310</c:v>
                </c:pt>
                <c:pt idx="101">
                  <c:v>1320</c:v>
                </c:pt>
                <c:pt idx="102">
                  <c:v>1330</c:v>
                </c:pt>
                <c:pt idx="103">
                  <c:v>1340</c:v>
                </c:pt>
                <c:pt idx="104">
                  <c:v>1350</c:v>
                </c:pt>
                <c:pt idx="105">
                  <c:v>1360</c:v>
                </c:pt>
                <c:pt idx="106">
                  <c:v>1370</c:v>
                </c:pt>
                <c:pt idx="107">
                  <c:v>1380</c:v>
                </c:pt>
                <c:pt idx="108">
                  <c:v>1390</c:v>
                </c:pt>
                <c:pt idx="109">
                  <c:v>1400</c:v>
                </c:pt>
                <c:pt idx="110">
                  <c:v>1410</c:v>
                </c:pt>
                <c:pt idx="111">
                  <c:v>1420</c:v>
                </c:pt>
                <c:pt idx="112">
                  <c:v>1430</c:v>
                </c:pt>
                <c:pt idx="113">
                  <c:v>1440</c:v>
                </c:pt>
                <c:pt idx="114">
                  <c:v>1450</c:v>
                </c:pt>
                <c:pt idx="115">
                  <c:v>1460</c:v>
                </c:pt>
                <c:pt idx="116">
                  <c:v>1470</c:v>
                </c:pt>
                <c:pt idx="117">
                  <c:v>1480</c:v>
                </c:pt>
                <c:pt idx="118">
                  <c:v>1490</c:v>
                </c:pt>
                <c:pt idx="119">
                  <c:v>1500</c:v>
                </c:pt>
                <c:pt idx="120">
                  <c:v>1510</c:v>
                </c:pt>
                <c:pt idx="121">
                  <c:v>1520</c:v>
                </c:pt>
                <c:pt idx="122">
                  <c:v>1530</c:v>
                </c:pt>
                <c:pt idx="123">
                  <c:v>1540</c:v>
                </c:pt>
                <c:pt idx="124">
                  <c:v>1550</c:v>
                </c:pt>
                <c:pt idx="125">
                  <c:v>1560</c:v>
                </c:pt>
                <c:pt idx="126">
                  <c:v>1570</c:v>
                </c:pt>
                <c:pt idx="127">
                  <c:v>1580</c:v>
                </c:pt>
                <c:pt idx="128">
                  <c:v>1590</c:v>
                </c:pt>
                <c:pt idx="129">
                  <c:v>1600</c:v>
                </c:pt>
                <c:pt idx="130">
                  <c:v>1610</c:v>
                </c:pt>
                <c:pt idx="131">
                  <c:v>1620</c:v>
                </c:pt>
                <c:pt idx="132">
                  <c:v>1630</c:v>
                </c:pt>
                <c:pt idx="133">
                  <c:v>1640</c:v>
                </c:pt>
                <c:pt idx="134">
                  <c:v>1650</c:v>
                </c:pt>
                <c:pt idx="135">
                  <c:v>1660</c:v>
                </c:pt>
                <c:pt idx="136">
                  <c:v>1670</c:v>
                </c:pt>
                <c:pt idx="137">
                  <c:v>1680</c:v>
                </c:pt>
                <c:pt idx="138">
                  <c:v>1690</c:v>
                </c:pt>
                <c:pt idx="139">
                  <c:v>1700</c:v>
                </c:pt>
                <c:pt idx="140">
                  <c:v>1710</c:v>
                </c:pt>
                <c:pt idx="141">
                  <c:v>1720</c:v>
                </c:pt>
                <c:pt idx="142">
                  <c:v>1730</c:v>
                </c:pt>
                <c:pt idx="143">
                  <c:v>1740</c:v>
                </c:pt>
                <c:pt idx="144">
                  <c:v>1750</c:v>
                </c:pt>
                <c:pt idx="145">
                  <c:v>1760</c:v>
                </c:pt>
                <c:pt idx="146">
                  <c:v>1770</c:v>
                </c:pt>
                <c:pt idx="147">
                  <c:v>1780</c:v>
                </c:pt>
                <c:pt idx="148">
                  <c:v>1790</c:v>
                </c:pt>
                <c:pt idx="149">
                  <c:v>1800</c:v>
                </c:pt>
                <c:pt idx="150">
                  <c:v>1810</c:v>
                </c:pt>
                <c:pt idx="151">
                  <c:v>1820</c:v>
                </c:pt>
                <c:pt idx="152">
                  <c:v>1830</c:v>
                </c:pt>
                <c:pt idx="153">
                  <c:v>1840</c:v>
                </c:pt>
                <c:pt idx="154">
                  <c:v>1850</c:v>
                </c:pt>
                <c:pt idx="155">
                  <c:v>1860</c:v>
                </c:pt>
                <c:pt idx="156">
                  <c:v>1870</c:v>
                </c:pt>
                <c:pt idx="157">
                  <c:v>1880</c:v>
                </c:pt>
                <c:pt idx="158">
                  <c:v>1890</c:v>
                </c:pt>
                <c:pt idx="159">
                  <c:v>1900</c:v>
                </c:pt>
                <c:pt idx="160">
                  <c:v>1910</c:v>
                </c:pt>
                <c:pt idx="161">
                  <c:v>1920</c:v>
                </c:pt>
                <c:pt idx="162">
                  <c:v>1930</c:v>
                </c:pt>
                <c:pt idx="163">
                  <c:v>1940</c:v>
                </c:pt>
                <c:pt idx="164">
                  <c:v>1950</c:v>
                </c:pt>
                <c:pt idx="165">
                  <c:v>1960</c:v>
                </c:pt>
                <c:pt idx="166">
                  <c:v>1970</c:v>
                </c:pt>
                <c:pt idx="167">
                  <c:v>1980</c:v>
                </c:pt>
                <c:pt idx="168">
                  <c:v>1990</c:v>
                </c:pt>
                <c:pt idx="169">
                  <c:v>2000</c:v>
                </c:pt>
                <c:pt idx="170">
                  <c:v>2010</c:v>
                </c:pt>
                <c:pt idx="171">
                  <c:v>2020</c:v>
                </c:pt>
                <c:pt idx="172">
                  <c:v>2030</c:v>
                </c:pt>
                <c:pt idx="173">
                  <c:v>2040</c:v>
                </c:pt>
                <c:pt idx="174">
                  <c:v>2050</c:v>
                </c:pt>
                <c:pt idx="175">
                  <c:v>2060</c:v>
                </c:pt>
                <c:pt idx="176">
                  <c:v>2070</c:v>
                </c:pt>
                <c:pt idx="177">
                  <c:v>2080</c:v>
                </c:pt>
                <c:pt idx="178">
                  <c:v>2090</c:v>
                </c:pt>
                <c:pt idx="179">
                  <c:v>2100</c:v>
                </c:pt>
                <c:pt idx="180">
                  <c:v>2110</c:v>
                </c:pt>
                <c:pt idx="181">
                  <c:v>2120</c:v>
                </c:pt>
                <c:pt idx="182">
                  <c:v>2130</c:v>
                </c:pt>
                <c:pt idx="183">
                  <c:v>2140</c:v>
                </c:pt>
                <c:pt idx="184">
                  <c:v>2150</c:v>
                </c:pt>
                <c:pt idx="185">
                  <c:v>2160</c:v>
                </c:pt>
                <c:pt idx="186">
                  <c:v>2170</c:v>
                </c:pt>
                <c:pt idx="187">
                  <c:v>2180</c:v>
                </c:pt>
                <c:pt idx="188">
                  <c:v>2190</c:v>
                </c:pt>
                <c:pt idx="189">
                  <c:v>2200</c:v>
                </c:pt>
                <c:pt idx="190">
                  <c:v>2210</c:v>
                </c:pt>
                <c:pt idx="191">
                  <c:v>2220</c:v>
                </c:pt>
                <c:pt idx="192">
                  <c:v>2230</c:v>
                </c:pt>
                <c:pt idx="193">
                  <c:v>2240</c:v>
                </c:pt>
                <c:pt idx="194">
                  <c:v>2250</c:v>
                </c:pt>
                <c:pt idx="195">
                  <c:v>2260</c:v>
                </c:pt>
                <c:pt idx="196">
                  <c:v>2270</c:v>
                </c:pt>
                <c:pt idx="197">
                  <c:v>2280</c:v>
                </c:pt>
                <c:pt idx="198">
                  <c:v>2290</c:v>
                </c:pt>
                <c:pt idx="199">
                  <c:v>2300</c:v>
                </c:pt>
                <c:pt idx="200">
                  <c:v>2310</c:v>
                </c:pt>
                <c:pt idx="201">
                  <c:v>2320</c:v>
                </c:pt>
                <c:pt idx="202">
                  <c:v>2330</c:v>
                </c:pt>
                <c:pt idx="203">
                  <c:v>2340</c:v>
                </c:pt>
                <c:pt idx="204">
                  <c:v>2350</c:v>
                </c:pt>
                <c:pt idx="205">
                  <c:v>2360</c:v>
                </c:pt>
                <c:pt idx="206">
                  <c:v>2370</c:v>
                </c:pt>
                <c:pt idx="207">
                  <c:v>2380</c:v>
                </c:pt>
                <c:pt idx="208">
                  <c:v>2390</c:v>
                </c:pt>
                <c:pt idx="209">
                  <c:v>2400</c:v>
                </c:pt>
                <c:pt idx="210">
                  <c:v>2410</c:v>
                </c:pt>
                <c:pt idx="211">
                  <c:v>2420</c:v>
                </c:pt>
                <c:pt idx="212">
                  <c:v>2430</c:v>
                </c:pt>
                <c:pt idx="213">
                  <c:v>2440</c:v>
                </c:pt>
                <c:pt idx="214">
                  <c:v>2450</c:v>
                </c:pt>
                <c:pt idx="215">
                  <c:v>2460</c:v>
                </c:pt>
                <c:pt idx="216">
                  <c:v>2470</c:v>
                </c:pt>
                <c:pt idx="217">
                  <c:v>2480</c:v>
                </c:pt>
                <c:pt idx="218">
                  <c:v>2490</c:v>
                </c:pt>
                <c:pt idx="219">
                  <c:v>2500</c:v>
                </c:pt>
                <c:pt idx="220">
                  <c:v>2510</c:v>
                </c:pt>
                <c:pt idx="221">
                  <c:v>2520</c:v>
                </c:pt>
                <c:pt idx="222">
                  <c:v>2530</c:v>
                </c:pt>
                <c:pt idx="223">
                  <c:v>2540</c:v>
                </c:pt>
                <c:pt idx="224">
                  <c:v>2550</c:v>
                </c:pt>
                <c:pt idx="225">
                  <c:v>2560</c:v>
                </c:pt>
                <c:pt idx="226">
                  <c:v>2570</c:v>
                </c:pt>
                <c:pt idx="227">
                  <c:v>2580</c:v>
                </c:pt>
                <c:pt idx="228">
                  <c:v>2590</c:v>
                </c:pt>
                <c:pt idx="229">
                  <c:v>2600</c:v>
                </c:pt>
              </c:numCache>
            </c:numRef>
          </c:xVal>
          <c:yVal>
            <c:numRef>
              <c:f>Sheet1!$V$7:$V$236</c:f>
              <c:numCache>
                <c:formatCode>0.0</c:formatCode>
                <c:ptCount val="230"/>
                <c:pt idx="0">
                  <c:v>45.785048852533514</c:v>
                </c:pt>
                <c:pt idx="1">
                  <c:v>46.12996229762696</c:v>
                </c:pt>
                <c:pt idx="2">
                  <c:v>46.458739441195583</c:v>
                </c:pt>
                <c:pt idx="3">
                  <c:v>46.772486772486765</c:v>
                </c:pt>
                <c:pt idx="4">
                  <c:v>47.072211876681145</c:v>
                </c:pt>
                <c:pt idx="5">
                  <c:v>47.358834244080143</c:v>
                </c:pt>
                <c:pt idx="6">
                  <c:v>47.633194692018215</c:v>
                </c:pt>
                <c:pt idx="7">
                  <c:v>47.89606360286988</c:v>
                </c:pt>
                <c:pt idx="8">
                  <c:v>48.148148148148138</c:v>
                </c:pt>
                <c:pt idx="9">
                  <c:v>48.390098641354918</c:v>
                </c:pt>
                <c:pt idx="10">
                  <c:v>48.622514139755523</c:v>
                </c:pt>
                <c:pt idx="11">
                  <c:v>48.845947396672031</c:v>
                </c:pt>
                <c:pt idx="12">
                  <c:v>49.060909250482716</c:v>
                </c:pt>
                <c:pt idx="13">
                  <c:v>49.267872523686464</c:v>
                </c:pt>
                <c:pt idx="14">
                  <c:v>49.467275494672748</c:v>
                </c:pt>
                <c:pt idx="15">
                  <c:v>49.659524995847868</c:v>
                </c:pt>
                <c:pt idx="16">
                  <c:v>49.844999184206237</c:v>
                </c:pt>
                <c:pt idx="17">
                  <c:v>50.024050024050013</c:v>
                </c:pt>
                <c:pt idx="18">
                  <c:v>50.197005516154448</c:v>
                </c:pt>
                <c:pt idx="19">
                  <c:v>50.364171703083827</c:v>
                </c:pt>
                <c:pt idx="20">
                  <c:v>50.525834476451756</c:v>
                </c:pt>
                <c:pt idx="21">
                  <c:v>50.682261208576989</c:v>
                </c:pt>
                <c:pt idx="22">
                  <c:v>50.833702228124537</c:v>
                </c:pt>
                <c:pt idx="23">
                  <c:v>50.980392156862742</c:v>
                </c:pt>
                <c:pt idx="24">
                  <c:v>51.122551122551123</c:v>
                </c:pt>
                <c:pt idx="25">
                  <c:v>51.260385861146318</c:v>
                </c:pt>
                <c:pt idx="26">
                  <c:v>51.394090719933409</c:v>
                </c:pt>
                <c:pt idx="27">
                  <c:v>51.523848571819045</c:v>
                </c:pt>
                <c:pt idx="28">
                  <c:v>51.649831649831647</c:v>
                </c:pt>
                <c:pt idx="29">
                  <c:v>51.772202309836722</c:v>
                </c:pt>
                <c:pt idx="30">
                  <c:v>51.89111372856955</c:v>
                </c:pt>
                <c:pt idx="31">
                  <c:v>52.006710543295902</c:v>
                </c:pt>
                <c:pt idx="32">
                  <c:v>52.119129438717067</c:v>
                </c:pt>
                <c:pt idx="33">
                  <c:v>52.228499686126803</c:v>
                </c:pt>
                <c:pt idx="34">
                  <c:v>52.33494363929146</c:v>
                </c:pt>
                <c:pt idx="35">
                  <c:v>52.438577191052438</c:v>
                </c:pt>
                <c:pt idx="36">
                  <c:v>52.539510194233316</c:v>
                </c:pt>
                <c:pt idx="37">
                  <c:v>52.6378468500655</c:v>
                </c:pt>
                <c:pt idx="38">
                  <c:v>52.733686067019399</c:v>
                </c:pt>
                <c:pt idx="39">
                  <c:v>52.827121792639026</c:v>
                </c:pt>
                <c:pt idx="40">
                  <c:v>52.918243320720094</c:v>
                </c:pt>
                <c:pt idx="41">
                  <c:v>53.007135575942911</c:v>
                </c:pt>
                <c:pt idx="42">
                  <c:v>53.093879377867296</c:v>
                </c:pt>
                <c:pt idx="43">
                  <c:v>53.178551686014366</c:v>
                </c:pt>
                <c:pt idx="44">
                  <c:v>53.261225827597507</c:v>
                </c:pt>
                <c:pt idx="45">
                  <c:v>53.341971709318649</c:v>
                </c:pt>
                <c:pt idx="46">
                  <c:v>53.420856014515955</c:v>
                </c:pt>
                <c:pt idx="47">
                  <c:v>53.497942386831269</c:v>
                </c:pt>
                <c:pt idx="48">
                  <c:v>53.57329160146061</c:v>
                </c:pt>
                <c:pt idx="49">
                  <c:v>53.646961724956149</c:v>
                </c:pt>
                <c:pt idx="50">
                  <c:v>53.719008264462808</c:v>
                </c:pt>
                <c:pt idx="51">
                  <c:v>53.78948430719548</c:v>
                </c:pt>
                <c:pt idx="52">
                  <c:v>53.858440650893471</c:v>
                </c:pt>
                <c:pt idx="53">
                  <c:v>53.925925925925924</c:v>
                </c:pt>
                <c:pt idx="54">
                  <c:v>53.991986709664808</c:v>
                </c:pt>
                <c:pt idx="55">
                  <c:v>54.056667633691134</c:v>
                </c:pt>
                <c:pt idx="56">
                  <c:v>54.12001148435256</c:v>
                </c:pt>
                <c:pt idx="57">
                  <c:v>54.182059297148811</c:v>
                </c:pt>
                <c:pt idx="58">
                  <c:v>54.242850445382089</c:v>
                </c:pt>
                <c:pt idx="59">
                  <c:v>54.302422723475352</c:v>
                </c:pt>
                <c:pt idx="60">
                  <c:v>54.360812425328547</c:v>
                </c:pt>
                <c:pt idx="61">
                  <c:v>54.418054418054417</c:v>
                </c:pt>
                <c:pt idx="62">
                  <c:v>54.47418221140849</c:v>
                </c:pt>
                <c:pt idx="63">
                  <c:v>54.52922802320392</c:v>
                </c:pt>
                <c:pt idx="64">
                  <c:v>54.58322284097941</c:v>
                </c:pt>
                <c:pt idx="65">
                  <c:v>54.636196480168103</c:v>
                </c:pt>
                <c:pt idx="66">
                  <c:v>54.68817763899731</c:v>
                </c:pt>
                <c:pt idx="67">
                  <c:v>54.739193950330836</c:v>
                </c:pt>
                <c:pt idx="68">
                  <c:v>54.78927203065134</c:v>
                </c:pt>
                <c:pt idx="69">
                  <c:v>54.838437526364629</c:v>
                </c:pt>
                <c:pt idx="70">
                  <c:v>54.886715157595511</c:v>
                </c:pt>
                <c:pt idx="71">
                  <c:v>54.934128759632102</c:v>
                </c:pt>
                <c:pt idx="72">
                  <c:v>54.980701322164734</c:v>
                </c:pt>
                <c:pt idx="73">
                  <c:v>55.026455026455018</c:v>
                </c:pt>
                <c:pt idx="74">
                  <c:v>55.071411280561613</c:v>
                </c:pt>
                <c:pt idx="75">
                  <c:v>55.115590752739777</c:v>
                </c:pt>
                <c:pt idx="76">
                  <c:v>55.159013403124746</c:v>
                </c:pt>
                <c:pt idx="77">
                  <c:v>55.201698513800416</c:v>
                </c:pt>
                <c:pt idx="78">
                  <c:v>55.243664717348921</c:v>
                </c:pt>
                <c:pt idx="79">
                  <c:v>55.284930023969693</c:v>
                </c:pt>
                <c:pt idx="80">
                  <c:v>55.325511847250972</c:v>
                </c:pt>
                <c:pt idx="81">
                  <c:v>55.365427028671377</c:v>
                </c:pt>
                <c:pt idx="82">
                  <c:v>55.404691860903675</c:v>
                </c:pt>
                <c:pt idx="83">
                  <c:v>55.44332210998877</c:v>
                </c:pt>
                <c:pt idx="84">
                  <c:v>55.481333036443246</c:v>
                </c:pt>
                <c:pt idx="85">
                  <c:v>55.51873941535969</c:v>
                </c:pt>
                <c:pt idx="86">
                  <c:v>55.55555555555555</c:v>
                </c:pt>
                <c:pt idx="87">
                  <c:v>55.591795317822715</c:v>
                </c:pt>
                <c:pt idx="88">
                  <c:v>55.627472132326503</c:v>
                </c:pt>
                <c:pt idx="89">
                  <c:v>55.662599015200165</c:v>
                </c:pt>
                <c:pt idx="90">
                  <c:v>55.697188584377869</c:v>
                </c:pt>
                <c:pt idx="91">
                  <c:v>55.731253074706579</c:v>
                </c:pt>
                <c:pt idx="92">
                  <c:v>55.764804352374973</c:v>
                </c:pt>
                <c:pt idx="93">
                  <c:v>55.797853928695048</c:v>
                </c:pt>
                <c:pt idx="94">
                  <c:v>55.830412973270114</c:v>
                </c:pt>
                <c:pt idx="95">
                  <c:v>55.862492326580728</c:v>
                </c:pt>
                <c:pt idx="96">
                  <c:v>55.894102512018407</c:v>
                </c:pt>
                <c:pt idx="97">
                  <c:v>55.925253747395296</c:v>
                </c:pt>
                <c:pt idx="98">
                  <c:v>55.95595595595595</c:v>
                </c:pt>
                <c:pt idx="99">
                  <c:v>55.986218776916445</c:v>
                </c:pt>
                <c:pt idx="100">
                  <c:v>56.016051575554243</c:v>
                </c:pt>
                <c:pt idx="101">
                  <c:v>56.045463452870862</c:v>
                </c:pt>
                <c:pt idx="102">
                  <c:v>56.074463254848538</c:v>
                </c:pt>
                <c:pt idx="103">
                  <c:v>56.103059581320444</c:v>
                </c:pt>
                <c:pt idx="104">
                  <c:v>56.131260794473221</c:v>
                </c:pt>
                <c:pt idx="105">
                  <c:v>56.159075026999552</c:v>
                </c:pt>
                <c:pt idx="106">
                  <c:v>56.186510189917342</c:v>
                </c:pt>
                <c:pt idx="107">
                  <c:v>56.213573980071438</c:v>
                </c:pt>
                <c:pt idx="108">
                  <c:v>56.240273887332712</c:v>
                </c:pt>
                <c:pt idx="109">
                  <c:v>56.26661720150868</c:v>
                </c:pt>
                <c:pt idx="110">
                  <c:v>56.292611018979166</c:v>
                </c:pt>
                <c:pt idx="111">
                  <c:v>56.318262249069491</c:v>
                </c:pt>
                <c:pt idx="112">
                  <c:v>56.343577620173356</c:v>
                </c:pt>
                <c:pt idx="113">
                  <c:v>56.368563685636857</c:v>
                </c:pt>
                <c:pt idx="114">
                  <c:v>56.393226829414225</c:v>
                </c:pt>
                <c:pt idx="115">
                  <c:v>56.417573271505852</c:v>
                </c:pt>
                <c:pt idx="116">
                  <c:v>56.441609073188019</c:v>
                </c:pt>
                <c:pt idx="117">
                  <c:v>56.465340142043779</c:v>
                </c:pt>
                <c:pt idx="118">
                  <c:v>56.488772236803733</c:v>
                </c:pt>
                <c:pt idx="119">
                  <c:v>56.511910972004863</c:v>
                </c:pt>
                <c:pt idx="120">
                  <c:v>56.534761822475659</c:v>
                </c:pt>
                <c:pt idx="121">
                  <c:v>56.557330127654701</c:v>
                </c:pt>
                <c:pt idx="122">
                  <c:v>56.57962109575012</c:v>
                </c:pt>
                <c:pt idx="123">
                  <c:v>56.601639807746672</c:v>
                </c:pt>
                <c:pt idx="124">
                  <c:v>56.623391221266786</c:v>
                </c:pt>
                <c:pt idx="125">
                  <c:v>56.644880174291934</c:v>
                </c:pt>
                <c:pt idx="126">
                  <c:v>56.666111388750068</c:v>
                </c:pt>
                <c:pt idx="127">
                  <c:v>56.687089473974716</c:v>
                </c:pt>
                <c:pt idx="128">
                  <c:v>56.707818930041149</c:v>
                </c:pt>
                <c:pt idx="129">
                  <c:v>56.728304150984556</c:v>
                </c:pt>
                <c:pt idx="130">
                  <c:v>56.748549427905203</c:v>
                </c:pt>
                <c:pt idx="131">
                  <c:v>56.768558951965062</c:v>
                </c:pt>
                <c:pt idx="132">
                  <c:v>56.788336817280374</c:v>
                </c:pt>
                <c:pt idx="133">
                  <c:v>56.807887023714358</c:v>
                </c:pt>
                <c:pt idx="134">
                  <c:v>56.827213479573999</c:v>
                </c:pt>
                <c:pt idx="135">
                  <c:v>56.846320004214732</c:v>
                </c:pt>
                <c:pt idx="136">
                  <c:v>56.865210330556856</c:v>
                </c:pt>
                <c:pt idx="137">
                  <c:v>56.883888107516796</c:v>
                </c:pt>
                <c:pt idx="138">
                  <c:v>56.9023569023569</c:v>
                </c:pt>
                <c:pt idx="139">
                  <c:v>56.920620202956783</c:v>
                </c:pt>
                <c:pt idx="140">
                  <c:v>56.938681420009218</c:v>
                </c:pt>
                <c:pt idx="141">
                  <c:v>56.95654388914361</c:v>
                </c:pt>
                <c:pt idx="142">
                  <c:v>56.974210872979675</c:v>
                </c:pt>
                <c:pt idx="143">
                  <c:v>56.991685563114125</c:v>
                </c:pt>
                <c:pt idx="144">
                  <c:v>57.008971082042798</c:v>
                </c:pt>
                <c:pt idx="145">
                  <c:v>57.026070485020682</c:v>
                </c:pt>
                <c:pt idx="146">
                  <c:v>57.042986761862259</c:v>
                </c:pt>
                <c:pt idx="147">
                  <c:v>57.059722838684223</c:v>
                </c:pt>
                <c:pt idx="148">
                  <c:v>57.07628157959283</c:v>
                </c:pt>
                <c:pt idx="149">
                  <c:v>57.092665788317952</c:v>
                </c:pt>
                <c:pt idx="150">
                  <c:v>57.108878209795634</c:v>
                </c:pt>
                <c:pt idx="151">
                  <c:v>57.12492153170119</c:v>
                </c:pt>
                <c:pt idx="152">
                  <c:v>57.140798385934573</c:v>
                </c:pt>
                <c:pt idx="153">
                  <c:v>57.156511350059738</c:v>
                </c:pt>
                <c:pt idx="154">
                  <c:v>57.172062948699661</c:v>
                </c:pt>
                <c:pt idx="155">
                  <c:v>57.187455654888602</c:v>
                </c:pt>
                <c:pt idx="156">
                  <c:v>57.202691891383118</c:v>
                </c:pt>
                <c:pt idx="157">
                  <c:v>57.217774031933317</c:v>
                </c:pt>
                <c:pt idx="158">
                  <c:v>57.232704402515715</c:v>
                </c:pt>
                <c:pt idx="159">
                  <c:v>57.247485282529091</c:v>
                </c:pt>
                <c:pt idx="160">
                  <c:v>57.262118905954523</c:v>
                </c:pt>
                <c:pt idx="161">
                  <c:v>57.276607462481067</c:v>
                </c:pt>
                <c:pt idx="162">
                  <c:v>57.290953098597981</c:v>
                </c:pt>
                <c:pt idx="163">
                  <c:v>57.305157918654849</c:v>
                </c:pt>
                <c:pt idx="164">
                  <c:v>57.319223985890645</c:v>
                </c:pt>
                <c:pt idx="165">
                  <c:v>57.333153323432782</c:v>
                </c:pt>
                <c:pt idx="166">
                  <c:v>57.346947915267144</c:v>
                </c:pt>
                <c:pt idx="167">
                  <c:v>57.36060970718011</c:v>
                </c:pt>
                <c:pt idx="168">
                  <c:v>57.374140607673546</c:v>
                </c:pt>
                <c:pt idx="169">
                  <c:v>57.387542488853562</c:v>
                </c:pt>
                <c:pt idx="170">
                  <c:v>57.400817187294052</c:v>
                </c:pt>
                <c:pt idx="171">
                  <c:v>57.413966504875582</c:v>
                </c:pt>
                <c:pt idx="172">
                  <c:v>57.426992209600911</c:v>
                </c:pt>
                <c:pt idx="173">
                  <c:v>57.43989603638726</c:v>
                </c:pt>
                <c:pt idx="174">
                  <c:v>57.452679687836842</c:v>
                </c:pt>
                <c:pt idx="175">
                  <c:v>57.465344834985615</c:v>
                </c:pt>
                <c:pt idx="176">
                  <c:v>57.477893118031517</c:v>
                </c:pt>
                <c:pt idx="177">
                  <c:v>57.490326147042566</c:v>
                </c:pt>
                <c:pt idx="178">
                  <c:v>57.5026455026455</c:v>
                </c:pt>
                <c:pt idx="179">
                  <c:v>57.514852736695737</c:v>
                </c:pt>
                <c:pt idx="180">
                  <c:v>57.526949372928982</c:v>
                </c:pt>
                <c:pt idx="181">
                  <c:v>57.5389369075953</c:v>
                </c:pt>
                <c:pt idx="182">
                  <c:v>57.550816810076071</c:v>
                </c:pt>
                <c:pt idx="183">
                  <c:v>57.562590523484381</c:v>
                </c:pt>
                <c:pt idx="184">
                  <c:v>57.574259465249447</c:v>
                </c:pt>
                <c:pt idx="185">
                  <c:v>57.58582502768548</c:v>
                </c:pt>
                <c:pt idx="186">
                  <c:v>57.597288578545459</c:v>
                </c:pt>
                <c:pt idx="187">
                  <c:v>57.608651461560349</c:v>
                </c:pt>
                <c:pt idx="188">
                  <c:v>57.619914996964177</c:v>
                </c:pt>
                <c:pt idx="189">
                  <c:v>57.631080482005395</c:v>
                </c:pt>
                <c:pt idx="190">
                  <c:v>57.642149191444958</c:v>
                </c:pt>
                <c:pt idx="191">
                  <c:v>57.653122378041466</c:v>
                </c:pt>
                <c:pt idx="192">
                  <c:v>57.664001273023835</c:v>
                </c:pt>
                <c:pt idx="193">
                  <c:v>57.674787086551795</c:v>
                </c:pt>
                <c:pt idx="194">
                  <c:v>57.685481008164714</c:v>
                </c:pt>
                <c:pt idx="195">
                  <c:v>57.696084207218881</c:v>
                </c:pt>
                <c:pt idx="196">
                  <c:v>57.706597833313779</c:v>
                </c:pt>
                <c:pt idx="197">
                  <c:v>57.717023016707543</c:v>
                </c:pt>
                <c:pt idx="198">
                  <c:v>57.727360868722123</c:v>
                </c:pt>
                <c:pt idx="199">
                  <c:v>57.737612482138026</c:v>
                </c:pt>
                <c:pt idx="200">
                  <c:v>57.747778931579546</c:v>
                </c:pt>
                <c:pt idx="201">
                  <c:v>57.757861273890221</c:v>
                </c:pt>
                <c:pt idx="202">
                  <c:v>57.767860548499058</c:v>
                </c:pt>
                <c:pt idx="203">
                  <c:v>57.777777777777779</c:v>
                </c:pt>
                <c:pt idx="204">
                  <c:v>57.787613967389248</c:v>
                </c:pt>
                <c:pt idx="205">
                  <c:v>57.797370106627483</c:v>
                </c:pt>
                <c:pt idx="206">
                  <c:v>57.807047168749293</c:v>
                </c:pt>
                <c:pt idx="207">
                  <c:v>57.81664611129797</c:v>
                </c:pt>
                <c:pt idx="208">
                  <c:v>57.826167876419134</c:v>
                </c:pt>
                <c:pt idx="209">
                  <c:v>57.835613391168948</c:v>
                </c:pt>
                <c:pt idx="210">
                  <c:v>57.844983567815063</c:v>
                </c:pt>
                <c:pt idx="211">
                  <c:v>57.854279304130337</c:v>
                </c:pt>
                <c:pt idx="212">
                  <c:v>57.863501483679514</c:v>
                </c:pt>
                <c:pt idx="213">
                  <c:v>57.872650976099251</c:v>
                </c:pt>
                <c:pt idx="214">
                  <c:v>57.881728637371424</c:v>
                </c:pt>
                <c:pt idx="215">
                  <c:v>57.890735310090143</c:v>
                </c:pt>
                <c:pt idx="216">
                  <c:v>57.89967182372245</c:v>
                </c:pt>
                <c:pt idx="217">
                  <c:v>57.908538994862944</c:v>
                </c:pt>
                <c:pt idx="218">
                  <c:v>57.91733762748256</c:v>
                </c:pt>
                <c:pt idx="219">
                  <c:v>57.926068513171501</c:v>
                </c:pt>
                <c:pt idx="220">
                  <c:v>57.93473243137673</c:v>
                </c:pt>
                <c:pt idx="221">
                  <c:v>57.943330149633873</c:v>
                </c:pt>
                <c:pt idx="222">
                  <c:v>57.951862423793912</c:v>
                </c:pt>
                <c:pt idx="223">
                  <c:v>57.960329998244674</c:v>
                </c:pt>
                <c:pt idx="224">
                  <c:v>57.968733606127373</c:v>
                </c:pt>
                <c:pt idx="225">
                  <c:v>57.977073969548094</c:v>
                </c:pt>
                <c:pt idx="226">
                  <c:v>57.98535179978478</c:v>
                </c:pt>
                <c:pt idx="227">
                  <c:v>57.993567797489362</c:v>
                </c:pt>
                <c:pt idx="228">
                  <c:v>58.001722652885434</c:v>
                </c:pt>
                <c:pt idx="229">
                  <c:v>58.009817045961626</c:v>
                </c:pt>
              </c:numCache>
            </c:numRef>
          </c:yVal>
          <c:smooth val="1"/>
          <c:extLst>
            <c:ext xmlns:c16="http://schemas.microsoft.com/office/drawing/2014/chart" uri="{C3380CC4-5D6E-409C-BE32-E72D297353CC}">
              <c16:uniqueId val="{00000005-34D2-436D-BFE8-BBDFE6B4FF64}"/>
            </c:ext>
          </c:extLst>
        </c:ser>
        <c:dLbls>
          <c:showLegendKey val="0"/>
          <c:showVal val="0"/>
          <c:showCatName val="0"/>
          <c:showSerName val="0"/>
          <c:showPercent val="0"/>
          <c:showBubbleSize val="0"/>
        </c:dLbls>
        <c:axId val="56678592"/>
        <c:axId val="56679168"/>
      </c:scatterChart>
      <c:valAx>
        <c:axId val="566785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79168"/>
        <c:crosses val="autoZero"/>
        <c:crossBetween val="midCat"/>
      </c:valAx>
      <c:valAx>
        <c:axId val="56679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lm/W</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78592"/>
        <c:crosses val="autoZero"/>
        <c:crossBetween val="midCat"/>
      </c:valAx>
      <c:spPr>
        <a:noFill/>
        <a:ln>
          <a:noFill/>
        </a:ln>
        <a:effectLst/>
      </c:spPr>
    </c:plotArea>
    <c:legend>
      <c:legendPos val="b"/>
      <c:layout>
        <c:manualLayout>
          <c:xMode val="edge"/>
          <c:yMode val="edge"/>
          <c:x val="0.66390454452823999"/>
          <c:y val="0.15236639798723384"/>
          <c:w val="0.3116278499124977"/>
          <c:h val="0.38609514047430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NOM-ENER (selección)</a:t>
            </a:r>
          </a:p>
          <a:p>
            <a:pPr>
              <a:defRPr sz="1400" b="0" i="0" u="none" strike="noStrike" kern="1200" spc="0" baseline="0">
                <a:solidFill>
                  <a:schemeClr val="tx1">
                    <a:lumMod val="65000"/>
                    <a:lumOff val="35000"/>
                  </a:schemeClr>
                </a:solidFill>
                <a:latin typeface="+mn-lt"/>
                <a:ea typeface="+mn-ea"/>
                <a:cs typeface="+mn-cs"/>
              </a:defRPr>
            </a:pPr>
            <a:r>
              <a:rPr lang="en-GB"/>
              <a:t>Eficacia</a:t>
            </a:r>
            <a:r>
              <a:rPr lang="en-GB" baseline="0"/>
              <a:t> luminosa</a:t>
            </a:r>
            <a:endParaRPr lang="en-GB"/>
          </a:p>
        </c:rich>
      </c:tx>
      <c:overlay val="0"/>
      <c:spPr>
        <a:noFill/>
        <a:ln>
          <a:noFill/>
        </a:ln>
        <a:effectLst/>
      </c:spPr>
    </c:title>
    <c:autoTitleDeleted val="0"/>
    <c:plotArea>
      <c:layout>
        <c:manualLayout>
          <c:layoutTarget val="inner"/>
          <c:xMode val="edge"/>
          <c:yMode val="edge"/>
          <c:x val="0.1174223705368493"/>
          <c:y val="0.20538166200299343"/>
          <c:w val="0.5093270187109028"/>
          <c:h val="0.62335654324201217"/>
        </c:manualLayout>
      </c:layout>
      <c:scatterChart>
        <c:scatterStyle val="lineMarker"/>
        <c:varyColors val="0"/>
        <c:ser>
          <c:idx val="23"/>
          <c:order val="0"/>
          <c:tx>
            <c:v>LFL T5 (2012)</c:v>
          </c:tx>
          <c:spPr>
            <a:ln w="19050" cap="rnd">
              <a:solidFill>
                <a:srgbClr val="A7DC72"/>
              </a:solidFill>
              <a:round/>
            </a:ln>
            <a:effectLst/>
          </c:spPr>
          <c:marker>
            <c:symbol val="none"/>
          </c:marker>
          <c:xVal>
            <c:numRef>
              <c:f>Sheet1!$AU$7:$AU$236</c:f>
              <c:numCache>
                <c:formatCode>General</c:formatCode>
                <c:ptCount val="23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pt idx="60">
                  <c:v>910</c:v>
                </c:pt>
                <c:pt idx="61">
                  <c:v>920</c:v>
                </c:pt>
                <c:pt idx="62">
                  <c:v>930</c:v>
                </c:pt>
                <c:pt idx="63">
                  <c:v>940</c:v>
                </c:pt>
                <c:pt idx="64">
                  <c:v>950</c:v>
                </c:pt>
                <c:pt idx="65">
                  <c:v>960</c:v>
                </c:pt>
                <c:pt idx="66">
                  <c:v>970</c:v>
                </c:pt>
                <c:pt idx="67">
                  <c:v>980</c:v>
                </c:pt>
                <c:pt idx="68">
                  <c:v>990</c:v>
                </c:pt>
                <c:pt idx="69">
                  <c:v>1000</c:v>
                </c:pt>
                <c:pt idx="70">
                  <c:v>1010</c:v>
                </c:pt>
                <c:pt idx="71">
                  <c:v>1020</c:v>
                </c:pt>
                <c:pt idx="72">
                  <c:v>1030</c:v>
                </c:pt>
                <c:pt idx="73">
                  <c:v>1040</c:v>
                </c:pt>
                <c:pt idx="74">
                  <c:v>1050</c:v>
                </c:pt>
                <c:pt idx="75">
                  <c:v>1060</c:v>
                </c:pt>
                <c:pt idx="76">
                  <c:v>1070</c:v>
                </c:pt>
                <c:pt idx="77">
                  <c:v>1080</c:v>
                </c:pt>
                <c:pt idx="78">
                  <c:v>1090</c:v>
                </c:pt>
                <c:pt idx="79">
                  <c:v>1100</c:v>
                </c:pt>
                <c:pt idx="80">
                  <c:v>1110</c:v>
                </c:pt>
                <c:pt idx="81">
                  <c:v>1120</c:v>
                </c:pt>
                <c:pt idx="82">
                  <c:v>1130</c:v>
                </c:pt>
                <c:pt idx="83">
                  <c:v>1140</c:v>
                </c:pt>
                <c:pt idx="84">
                  <c:v>1150</c:v>
                </c:pt>
                <c:pt idx="85">
                  <c:v>1160</c:v>
                </c:pt>
                <c:pt idx="86">
                  <c:v>1170</c:v>
                </c:pt>
                <c:pt idx="87">
                  <c:v>1180</c:v>
                </c:pt>
                <c:pt idx="88">
                  <c:v>1190</c:v>
                </c:pt>
                <c:pt idx="89">
                  <c:v>1200</c:v>
                </c:pt>
                <c:pt idx="90">
                  <c:v>1210</c:v>
                </c:pt>
                <c:pt idx="91">
                  <c:v>1220</c:v>
                </c:pt>
                <c:pt idx="92">
                  <c:v>1230</c:v>
                </c:pt>
                <c:pt idx="93">
                  <c:v>1240</c:v>
                </c:pt>
                <c:pt idx="94">
                  <c:v>1250</c:v>
                </c:pt>
                <c:pt idx="95">
                  <c:v>1260</c:v>
                </c:pt>
                <c:pt idx="96">
                  <c:v>1270</c:v>
                </c:pt>
                <c:pt idx="97">
                  <c:v>1280</c:v>
                </c:pt>
                <c:pt idx="98">
                  <c:v>1290</c:v>
                </c:pt>
                <c:pt idx="99">
                  <c:v>1300</c:v>
                </c:pt>
                <c:pt idx="100">
                  <c:v>1310</c:v>
                </c:pt>
                <c:pt idx="101">
                  <c:v>1320</c:v>
                </c:pt>
                <c:pt idx="102">
                  <c:v>1330</c:v>
                </c:pt>
                <c:pt idx="103">
                  <c:v>1340</c:v>
                </c:pt>
                <c:pt idx="104">
                  <c:v>1350</c:v>
                </c:pt>
                <c:pt idx="105">
                  <c:v>1360</c:v>
                </c:pt>
                <c:pt idx="106">
                  <c:v>1370</c:v>
                </c:pt>
                <c:pt idx="107">
                  <c:v>1380</c:v>
                </c:pt>
                <c:pt idx="108">
                  <c:v>1390</c:v>
                </c:pt>
                <c:pt idx="109">
                  <c:v>1400</c:v>
                </c:pt>
                <c:pt idx="110">
                  <c:v>1410</c:v>
                </c:pt>
                <c:pt idx="111">
                  <c:v>1420</c:v>
                </c:pt>
                <c:pt idx="112">
                  <c:v>1430</c:v>
                </c:pt>
                <c:pt idx="113">
                  <c:v>1440</c:v>
                </c:pt>
                <c:pt idx="114">
                  <c:v>1450</c:v>
                </c:pt>
                <c:pt idx="115">
                  <c:v>1460</c:v>
                </c:pt>
                <c:pt idx="116">
                  <c:v>1470</c:v>
                </c:pt>
                <c:pt idx="117">
                  <c:v>1480</c:v>
                </c:pt>
                <c:pt idx="118">
                  <c:v>1490</c:v>
                </c:pt>
                <c:pt idx="119">
                  <c:v>1500</c:v>
                </c:pt>
                <c:pt idx="120">
                  <c:v>1510</c:v>
                </c:pt>
                <c:pt idx="121">
                  <c:v>1520</c:v>
                </c:pt>
                <c:pt idx="122">
                  <c:v>1530</c:v>
                </c:pt>
                <c:pt idx="123">
                  <c:v>1540</c:v>
                </c:pt>
                <c:pt idx="124">
                  <c:v>1550</c:v>
                </c:pt>
                <c:pt idx="125">
                  <c:v>1560</c:v>
                </c:pt>
                <c:pt idx="126">
                  <c:v>1570</c:v>
                </c:pt>
                <c:pt idx="127">
                  <c:v>1580</c:v>
                </c:pt>
                <c:pt idx="128">
                  <c:v>1590</c:v>
                </c:pt>
                <c:pt idx="129">
                  <c:v>1600</c:v>
                </c:pt>
                <c:pt idx="130">
                  <c:v>1610</c:v>
                </c:pt>
                <c:pt idx="131">
                  <c:v>1620</c:v>
                </c:pt>
                <c:pt idx="132">
                  <c:v>1630</c:v>
                </c:pt>
                <c:pt idx="133">
                  <c:v>1640</c:v>
                </c:pt>
                <c:pt idx="134">
                  <c:v>1650</c:v>
                </c:pt>
                <c:pt idx="135">
                  <c:v>1660</c:v>
                </c:pt>
                <c:pt idx="136">
                  <c:v>1670</c:v>
                </c:pt>
                <c:pt idx="137">
                  <c:v>1680</c:v>
                </c:pt>
                <c:pt idx="138">
                  <c:v>1690</c:v>
                </c:pt>
                <c:pt idx="139">
                  <c:v>1700</c:v>
                </c:pt>
                <c:pt idx="140">
                  <c:v>1710</c:v>
                </c:pt>
                <c:pt idx="141">
                  <c:v>1720</c:v>
                </c:pt>
                <c:pt idx="142">
                  <c:v>1730</c:v>
                </c:pt>
                <c:pt idx="143">
                  <c:v>1740</c:v>
                </c:pt>
                <c:pt idx="144">
                  <c:v>1750</c:v>
                </c:pt>
                <c:pt idx="145">
                  <c:v>1760</c:v>
                </c:pt>
                <c:pt idx="146">
                  <c:v>1770</c:v>
                </c:pt>
                <c:pt idx="147">
                  <c:v>1780</c:v>
                </c:pt>
                <c:pt idx="148">
                  <c:v>1790</c:v>
                </c:pt>
                <c:pt idx="149">
                  <c:v>1800</c:v>
                </c:pt>
                <c:pt idx="150">
                  <c:v>1810</c:v>
                </c:pt>
                <c:pt idx="151">
                  <c:v>1820</c:v>
                </c:pt>
                <c:pt idx="152">
                  <c:v>1830</c:v>
                </c:pt>
                <c:pt idx="153">
                  <c:v>1840</c:v>
                </c:pt>
                <c:pt idx="154">
                  <c:v>1850</c:v>
                </c:pt>
                <c:pt idx="155">
                  <c:v>1860</c:v>
                </c:pt>
                <c:pt idx="156">
                  <c:v>1870</c:v>
                </c:pt>
                <c:pt idx="157">
                  <c:v>1880</c:v>
                </c:pt>
                <c:pt idx="158">
                  <c:v>1890</c:v>
                </c:pt>
                <c:pt idx="159">
                  <c:v>1900</c:v>
                </c:pt>
                <c:pt idx="160">
                  <c:v>1910</c:v>
                </c:pt>
                <c:pt idx="161">
                  <c:v>1920</c:v>
                </c:pt>
                <c:pt idx="162">
                  <c:v>1930</c:v>
                </c:pt>
                <c:pt idx="163">
                  <c:v>1940</c:v>
                </c:pt>
                <c:pt idx="164">
                  <c:v>1950</c:v>
                </c:pt>
                <c:pt idx="165">
                  <c:v>1960</c:v>
                </c:pt>
                <c:pt idx="166">
                  <c:v>1970</c:v>
                </c:pt>
                <c:pt idx="167">
                  <c:v>1980</c:v>
                </c:pt>
                <c:pt idx="168">
                  <c:v>1990</c:v>
                </c:pt>
                <c:pt idx="169">
                  <c:v>2000</c:v>
                </c:pt>
                <c:pt idx="170">
                  <c:v>2010</c:v>
                </c:pt>
                <c:pt idx="171">
                  <c:v>2020</c:v>
                </c:pt>
                <c:pt idx="172">
                  <c:v>2030</c:v>
                </c:pt>
                <c:pt idx="173">
                  <c:v>2040</c:v>
                </c:pt>
                <c:pt idx="174">
                  <c:v>2050</c:v>
                </c:pt>
                <c:pt idx="175">
                  <c:v>2060</c:v>
                </c:pt>
                <c:pt idx="176">
                  <c:v>2070</c:v>
                </c:pt>
                <c:pt idx="177">
                  <c:v>2080</c:v>
                </c:pt>
                <c:pt idx="178">
                  <c:v>2090</c:v>
                </c:pt>
                <c:pt idx="179">
                  <c:v>2100</c:v>
                </c:pt>
                <c:pt idx="180">
                  <c:v>2110</c:v>
                </c:pt>
                <c:pt idx="181">
                  <c:v>2120</c:v>
                </c:pt>
                <c:pt idx="182">
                  <c:v>2130</c:v>
                </c:pt>
                <c:pt idx="183">
                  <c:v>2140</c:v>
                </c:pt>
                <c:pt idx="184">
                  <c:v>2150</c:v>
                </c:pt>
                <c:pt idx="185">
                  <c:v>2160</c:v>
                </c:pt>
                <c:pt idx="186">
                  <c:v>2170</c:v>
                </c:pt>
                <c:pt idx="187">
                  <c:v>2180</c:v>
                </c:pt>
                <c:pt idx="188">
                  <c:v>2190</c:v>
                </c:pt>
                <c:pt idx="189">
                  <c:v>2200</c:v>
                </c:pt>
                <c:pt idx="190">
                  <c:v>2210</c:v>
                </c:pt>
                <c:pt idx="191">
                  <c:v>2220</c:v>
                </c:pt>
                <c:pt idx="192">
                  <c:v>2230</c:v>
                </c:pt>
                <c:pt idx="193">
                  <c:v>2240</c:v>
                </c:pt>
                <c:pt idx="194">
                  <c:v>2250</c:v>
                </c:pt>
                <c:pt idx="195">
                  <c:v>2260</c:v>
                </c:pt>
                <c:pt idx="196">
                  <c:v>2270</c:v>
                </c:pt>
                <c:pt idx="197">
                  <c:v>2280</c:v>
                </c:pt>
                <c:pt idx="198">
                  <c:v>2290</c:v>
                </c:pt>
                <c:pt idx="199">
                  <c:v>2300</c:v>
                </c:pt>
                <c:pt idx="200">
                  <c:v>2310</c:v>
                </c:pt>
                <c:pt idx="201">
                  <c:v>2320</c:v>
                </c:pt>
                <c:pt idx="202">
                  <c:v>2330</c:v>
                </c:pt>
                <c:pt idx="203">
                  <c:v>2340</c:v>
                </c:pt>
                <c:pt idx="204">
                  <c:v>2350</c:v>
                </c:pt>
                <c:pt idx="205">
                  <c:v>2360</c:v>
                </c:pt>
                <c:pt idx="206">
                  <c:v>2370</c:v>
                </c:pt>
                <c:pt idx="207">
                  <c:v>2380</c:v>
                </c:pt>
                <c:pt idx="208">
                  <c:v>2390</c:v>
                </c:pt>
                <c:pt idx="209">
                  <c:v>2400</c:v>
                </c:pt>
                <c:pt idx="210">
                  <c:v>2410</c:v>
                </c:pt>
                <c:pt idx="211">
                  <c:v>2420</c:v>
                </c:pt>
                <c:pt idx="212">
                  <c:v>2430</c:v>
                </c:pt>
                <c:pt idx="213">
                  <c:v>2440</c:v>
                </c:pt>
                <c:pt idx="214">
                  <c:v>2450</c:v>
                </c:pt>
                <c:pt idx="215">
                  <c:v>2460</c:v>
                </c:pt>
                <c:pt idx="216">
                  <c:v>2470</c:v>
                </c:pt>
                <c:pt idx="217">
                  <c:v>2480</c:v>
                </c:pt>
                <c:pt idx="218">
                  <c:v>2490</c:v>
                </c:pt>
                <c:pt idx="219">
                  <c:v>2500</c:v>
                </c:pt>
                <c:pt idx="220">
                  <c:v>2510</c:v>
                </c:pt>
                <c:pt idx="221">
                  <c:v>2520</c:v>
                </c:pt>
                <c:pt idx="222">
                  <c:v>2530</c:v>
                </c:pt>
                <c:pt idx="223">
                  <c:v>2540</c:v>
                </c:pt>
                <c:pt idx="224">
                  <c:v>2550</c:v>
                </c:pt>
                <c:pt idx="225">
                  <c:v>2560</c:v>
                </c:pt>
                <c:pt idx="226">
                  <c:v>2570</c:v>
                </c:pt>
                <c:pt idx="227">
                  <c:v>2580</c:v>
                </c:pt>
                <c:pt idx="228">
                  <c:v>2590</c:v>
                </c:pt>
                <c:pt idx="229">
                  <c:v>2600</c:v>
                </c:pt>
              </c:numCache>
            </c:numRef>
          </c:xVal>
          <c:yVal>
            <c:numRef>
              <c:f>Sheet1!$AW$7:$AW$236</c:f>
              <c:numCache>
                <c:formatCode>General</c:formatCode>
                <c:ptCount val="230"/>
                <c:pt idx="0">
                  <c:v>90</c:v>
                </c:pt>
                <c:pt idx="1">
                  <c:v>90</c:v>
                </c:pt>
                <c:pt idx="2">
                  <c:v>90</c:v>
                </c:pt>
                <c:pt idx="3">
                  <c:v>90</c:v>
                </c:pt>
                <c:pt idx="4">
                  <c:v>90</c:v>
                </c:pt>
                <c:pt idx="5">
                  <c:v>90</c:v>
                </c:pt>
                <c:pt idx="6">
                  <c:v>90</c:v>
                </c:pt>
                <c:pt idx="7">
                  <c:v>90</c:v>
                </c:pt>
                <c:pt idx="8">
                  <c:v>90</c:v>
                </c:pt>
                <c:pt idx="9">
                  <c:v>90</c:v>
                </c:pt>
                <c:pt idx="10">
                  <c:v>90</c:v>
                </c:pt>
                <c:pt idx="11">
                  <c:v>90</c:v>
                </c:pt>
                <c:pt idx="12">
                  <c:v>90</c:v>
                </c:pt>
                <c:pt idx="13">
                  <c:v>90</c:v>
                </c:pt>
                <c:pt idx="14">
                  <c:v>90</c:v>
                </c:pt>
                <c:pt idx="15">
                  <c:v>90</c:v>
                </c:pt>
                <c:pt idx="16">
                  <c:v>90</c:v>
                </c:pt>
                <c:pt idx="17">
                  <c:v>90</c:v>
                </c:pt>
                <c:pt idx="18">
                  <c:v>90</c:v>
                </c:pt>
                <c:pt idx="19">
                  <c:v>90</c:v>
                </c:pt>
                <c:pt idx="20">
                  <c:v>90</c:v>
                </c:pt>
                <c:pt idx="21">
                  <c:v>90</c:v>
                </c:pt>
                <c:pt idx="22">
                  <c:v>90</c:v>
                </c:pt>
                <c:pt idx="23">
                  <c:v>90</c:v>
                </c:pt>
                <c:pt idx="24">
                  <c:v>90</c:v>
                </c:pt>
                <c:pt idx="25">
                  <c:v>90</c:v>
                </c:pt>
                <c:pt idx="26">
                  <c:v>90</c:v>
                </c:pt>
                <c:pt idx="27">
                  <c:v>90</c:v>
                </c:pt>
                <c:pt idx="28">
                  <c:v>90</c:v>
                </c:pt>
                <c:pt idx="29">
                  <c:v>90</c:v>
                </c:pt>
                <c:pt idx="30">
                  <c:v>90</c:v>
                </c:pt>
                <c:pt idx="31">
                  <c:v>90</c:v>
                </c:pt>
                <c:pt idx="32">
                  <c:v>90</c:v>
                </c:pt>
                <c:pt idx="33">
                  <c:v>90</c:v>
                </c:pt>
                <c:pt idx="34">
                  <c:v>90</c:v>
                </c:pt>
                <c:pt idx="35">
                  <c:v>90</c:v>
                </c:pt>
                <c:pt idx="36">
                  <c:v>90</c:v>
                </c:pt>
                <c:pt idx="37">
                  <c:v>90</c:v>
                </c:pt>
                <c:pt idx="38">
                  <c:v>90</c:v>
                </c:pt>
                <c:pt idx="39">
                  <c:v>90</c:v>
                </c:pt>
                <c:pt idx="40">
                  <c:v>90</c:v>
                </c:pt>
                <c:pt idx="41">
                  <c:v>90</c:v>
                </c:pt>
                <c:pt idx="42">
                  <c:v>90</c:v>
                </c:pt>
                <c:pt idx="43">
                  <c:v>90</c:v>
                </c:pt>
                <c:pt idx="44">
                  <c:v>90</c:v>
                </c:pt>
                <c:pt idx="45">
                  <c:v>90</c:v>
                </c:pt>
                <c:pt idx="46">
                  <c:v>90</c:v>
                </c:pt>
                <c:pt idx="47">
                  <c:v>90</c:v>
                </c:pt>
                <c:pt idx="48">
                  <c:v>90</c:v>
                </c:pt>
                <c:pt idx="49">
                  <c:v>90</c:v>
                </c:pt>
                <c:pt idx="50">
                  <c:v>90</c:v>
                </c:pt>
                <c:pt idx="51">
                  <c:v>90</c:v>
                </c:pt>
                <c:pt idx="52">
                  <c:v>90</c:v>
                </c:pt>
                <c:pt idx="53">
                  <c:v>90</c:v>
                </c:pt>
                <c:pt idx="54">
                  <c:v>90</c:v>
                </c:pt>
                <c:pt idx="55">
                  <c:v>90</c:v>
                </c:pt>
                <c:pt idx="56">
                  <c:v>90</c:v>
                </c:pt>
                <c:pt idx="57">
                  <c:v>90</c:v>
                </c:pt>
                <c:pt idx="58">
                  <c:v>90</c:v>
                </c:pt>
                <c:pt idx="59">
                  <c:v>90</c:v>
                </c:pt>
                <c:pt idx="60">
                  <c:v>90</c:v>
                </c:pt>
                <c:pt idx="61">
                  <c:v>90</c:v>
                </c:pt>
                <c:pt idx="62">
                  <c:v>90</c:v>
                </c:pt>
                <c:pt idx="63">
                  <c:v>90</c:v>
                </c:pt>
                <c:pt idx="64">
                  <c:v>90</c:v>
                </c:pt>
                <c:pt idx="65">
                  <c:v>90</c:v>
                </c:pt>
                <c:pt idx="66">
                  <c:v>90</c:v>
                </c:pt>
                <c:pt idx="67">
                  <c:v>90</c:v>
                </c:pt>
                <c:pt idx="68">
                  <c:v>90</c:v>
                </c:pt>
                <c:pt idx="69">
                  <c:v>90</c:v>
                </c:pt>
                <c:pt idx="70">
                  <c:v>90</c:v>
                </c:pt>
                <c:pt idx="71">
                  <c:v>90</c:v>
                </c:pt>
                <c:pt idx="72">
                  <c:v>90</c:v>
                </c:pt>
                <c:pt idx="73">
                  <c:v>90</c:v>
                </c:pt>
                <c:pt idx="74">
                  <c:v>90</c:v>
                </c:pt>
                <c:pt idx="75">
                  <c:v>90</c:v>
                </c:pt>
                <c:pt idx="76">
                  <c:v>90</c:v>
                </c:pt>
                <c:pt idx="77">
                  <c:v>90</c:v>
                </c:pt>
                <c:pt idx="78">
                  <c:v>90</c:v>
                </c:pt>
                <c:pt idx="79">
                  <c:v>90</c:v>
                </c:pt>
                <c:pt idx="80">
                  <c:v>90</c:v>
                </c:pt>
                <c:pt idx="81">
                  <c:v>90</c:v>
                </c:pt>
                <c:pt idx="82">
                  <c:v>90</c:v>
                </c:pt>
                <c:pt idx="83">
                  <c:v>90</c:v>
                </c:pt>
                <c:pt idx="84">
                  <c:v>90</c:v>
                </c:pt>
                <c:pt idx="85">
                  <c:v>90</c:v>
                </c:pt>
                <c:pt idx="86">
                  <c:v>90</c:v>
                </c:pt>
                <c:pt idx="87">
                  <c:v>90</c:v>
                </c:pt>
                <c:pt idx="88">
                  <c:v>90</c:v>
                </c:pt>
                <c:pt idx="89">
                  <c:v>90</c:v>
                </c:pt>
                <c:pt idx="90">
                  <c:v>90</c:v>
                </c:pt>
                <c:pt idx="91">
                  <c:v>90</c:v>
                </c:pt>
                <c:pt idx="92">
                  <c:v>90</c:v>
                </c:pt>
                <c:pt idx="93">
                  <c:v>90</c:v>
                </c:pt>
                <c:pt idx="94">
                  <c:v>90</c:v>
                </c:pt>
                <c:pt idx="95">
                  <c:v>90</c:v>
                </c:pt>
                <c:pt idx="96">
                  <c:v>90</c:v>
                </c:pt>
                <c:pt idx="97">
                  <c:v>90</c:v>
                </c:pt>
                <c:pt idx="98">
                  <c:v>90</c:v>
                </c:pt>
                <c:pt idx="99">
                  <c:v>90</c:v>
                </c:pt>
                <c:pt idx="100">
                  <c:v>90</c:v>
                </c:pt>
                <c:pt idx="101">
                  <c:v>90</c:v>
                </c:pt>
                <c:pt idx="102">
                  <c:v>90</c:v>
                </c:pt>
                <c:pt idx="103">
                  <c:v>90</c:v>
                </c:pt>
                <c:pt idx="104">
                  <c:v>90</c:v>
                </c:pt>
                <c:pt idx="105">
                  <c:v>90</c:v>
                </c:pt>
                <c:pt idx="106">
                  <c:v>90</c:v>
                </c:pt>
                <c:pt idx="107">
                  <c:v>90</c:v>
                </c:pt>
                <c:pt idx="108">
                  <c:v>90</c:v>
                </c:pt>
                <c:pt idx="109">
                  <c:v>90</c:v>
                </c:pt>
                <c:pt idx="110">
                  <c:v>90</c:v>
                </c:pt>
                <c:pt idx="111">
                  <c:v>90</c:v>
                </c:pt>
                <c:pt idx="112">
                  <c:v>90</c:v>
                </c:pt>
                <c:pt idx="113">
                  <c:v>90</c:v>
                </c:pt>
                <c:pt idx="114">
                  <c:v>90</c:v>
                </c:pt>
                <c:pt idx="115">
                  <c:v>90</c:v>
                </c:pt>
                <c:pt idx="116">
                  <c:v>90</c:v>
                </c:pt>
                <c:pt idx="117">
                  <c:v>90</c:v>
                </c:pt>
                <c:pt idx="118">
                  <c:v>90</c:v>
                </c:pt>
                <c:pt idx="119">
                  <c:v>90</c:v>
                </c:pt>
                <c:pt idx="120">
                  <c:v>90</c:v>
                </c:pt>
                <c:pt idx="121">
                  <c:v>90</c:v>
                </c:pt>
                <c:pt idx="122">
                  <c:v>90</c:v>
                </c:pt>
                <c:pt idx="123">
                  <c:v>90</c:v>
                </c:pt>
                <c:pt idx="124">
                  <c:v>90</c:v>
                </c:pt>
                <c:pt idx="125">
                  <c:v>90</c:v>
                </c:pt>
                <c:pt idx="126">
                  <c:v>90</c:v>
                </c:pt>
                <c:pt idx="127">
                  <c:v>90</c:v>
                </c:pt>
                <c:pt idx="128">
                  <c:v>90</c:v>
                </c:pt>
                <c:pt idx="129">
                  <c:v>90</c:v>
                </c:pt>
                <c:pt idx="130">
                  <c:v>90</c:v>
                </c:pt>
                <c:pt idx="131">
                  <c:v>90</c:v>
                </c:pt>
                <c:pt idx="132">
                  <c:v>90</c:v>
                </c:pt>
                <c:pt idx="133">
                  <c:v>90</c:v>
                </c:pt>
                <c:pt idx="134">
                  <c:v>90</c:v>
                </c:pt>
                <c:pt idx="135">
                  <c:v>90</c:v>
                </c:pt>
                <c:pt idx="136">
                  <c:v>90</c:v>
                </c:pt>
                <c:pt idx="137">
                  <c:v>90</c:v>
                </c:pt>
                <c:pt idx="138">
                  <c:v>90</c:v>
                </c:pt>
                <c:pt idx="139">
                  <c:v>90</c:v>
                </c:pt>
                <c:pt idx="140">
                  <c:v>90</c:v>
                </c:pt>
                <c:pt idx="141">
                  <c:v>90</c:v>
                </c:pt>
                <c:pt idx="142">
                  <c:v>90</c:v>
                </c:pt>
                <c:pt idx="143">
                  <c:v>90</c:v>
                </c:pt>
                <c:pt idx="144">
                  <c:v>90</c:v>
                </c:pt>
                <c:pt idx="145">
                  <c:v>90</c:v>
                </c:pt>
                <c:pt idx="146">
                  <c:v>90</c:v>
                </c:pt>
                <c:pt idx="147">
                  <c:v>90</c:v>
                </c:pt>
                <c:pt idx="148">
                  <c:v>90</c:v>
                </c:pt>
                <c:pt idx="149">
                  <c:v>90</c:v>
                </c:pt>
                <c:pt idx="150">
                  <c:v>90</c:v>
                </c:pt>
                <c:pt idx="151">
                  <c:v>90</c:v>
                </c:pt>
                <c:pt idx="152">
                  <c:v>90</c:v>
                </c:pt>
                <c:pt idx="153">
                  <c:v>90</c:v>
                </c:pt>
                <c:pt idx="154">
                  <c:v>90</c:v>
                </c:pt>
                <c:pt idx="155">
                  <c:v>90</c:v>
                </c:pt>
                <c:pt idx="156">
                  <c:v>90</c:v>
                </c:pt>
                <c:pt idx="157">
                  <c:v>90</c:v>
                </c:pt>
                <c:pt idx="158">
                  <c:v>90</c:v>
                </c:pt>
                <c:pt idx="159">
                  <c:v>90</c:v>
                </c:pt>
                <c:pt idx="160">
                  <c:v>90</c:v>
                </c:pt>
                <c:pt idx="161">
                  <c:v>90</c:v>
                </c:pt>
                <c:pt idx="162">
                  <c:v>90</c:v>
                </c:pt>
                <c:pt idx="163">
                  <c:v>90</c:v>
                </c:pt>
                <c:pt idx="164">
                  <c:v>90</c:v>
                </c:pt>
                <c:pt idx="165">
                  <c:v>90</c:v>
                </c:pt>
                <c:pt idx="166">
                  <c:v>90</c:v>
                </c:pt>
                <c:pt idx="167">
                  <c:v>90</c:v>
                </c:pt>
                <c:pt idx="168">
                  <c:v>90</c:v>
                </c:pt>
                <c:pt idx="169">
                  <c:v>90</c:v>
                </c:pt>
                <c:pt idx="170">
                  <c:v>90</c:v>
                </c:pt>
                <c:pt idx="171">
                  <c:v>90</c:v>
                </c:pt>
                <c:pt idx="172">
                  <c:v>90</c:v>
                </c:pt>
                <c:pt idx="173">
                  <c:v>90</c:v>
                </c:pt>
                <c:pt idx="174">
                  <c:v>90</c:v>
                </c:pt>
                <c:pt idx="175">
                  <c:v>90</c:v>
                </c:pt>
                <c:pt idx="176">
                  <c:v>90</c:v>
                </c:pt>
                <c:pt idx="177">
                  <c:v>90</c:v>
                </c:pt>
                <c:pt idx="178">
                  <c:v>90</c:v>
                </c:pt>
                <c:pt idx="179">
                  <c:v>90</c:v>
                </c:pt>
                <c:pt idx="180">
                  <c:v>90</c:v>
                </c:pt>
                <c:pt idx="181">
                  <c:v>90</c:v>
                </c:pt>
                <c:pt idx="182">
                  <c:v>90</c:v>
                </c:pt>
                <c:pt idx="183">
                  <c:v>90</c:v>
                </c:pt>
                <c:pt idx="184">
                  <c:v>90</c:v>
                </c:pt>
                <c:pt idx="185">
                  <c:v>90</c:v>
                </c:pt>
                <c:pt idx="186">
                  <c:v>90</c:v>
                </c:pt>
                <c:pt idx="187">
                  <c:v>90</c:v>
                </c:pt>
                <c:pt idx="188">
                  <c:v>90</c:v>
                </c:pt>
                <c:pt idx="189">
                  <c:v>90</c:v>
                </c:pt>
                <c:pt idx="190">
                  <c:v>90</c:v>
                </c:pt>
                <c:pt idx="191">
                  <c:v>90</c:v>
                </c:pt>
                <c:pt idx="192">
                  <c:v>90</c:v>
                </c:pt>
                <c:pt idx="193">
                  <c:v>90</c:v>
                </c:pt>
                <c:pt idx="194">
                  <c:v>90</c:v>
                </c:pt>
                <c:pt idx="195">
                  <c:v>90</c:v>
                </c:pt>
                <c:pt idx="196">
                  <c:v>90</c:v>
                </c:pt>
                <c:pt idx="197">
                  <c:v>90</c:v>
                </c:pt>
                <c:pt idx="198">
                  <c:v>90</c:v>
                </c:pt>
                <c:pt idx="199">
                  <c:v>90</c:v>
                </c:pt>
                <c:pt idx="200">
                  <c:v>90</c:v>
                </c:pt>
                <c:pt idx="201">
                  <c:v>90</c:v>
                </c:pt>
                <c:pt idx="202">
                  <c:v>90</c:v>
                </c:pt>
                <c:pt idx="203">
                  <c:v>90</c:v>
                </c:pt>
                <c:pt idx="204">
                  <c:v>90</c:v>
                </c:pt>
                <c:pt idx="205">
                  <c:v>90</c:v>
                </c:pt>
                <c:pt idx="206">
                  <c:v>90</c:v>
                </c:pt>
                <c:pt idx="207">
                  <c:v>90</c:v>
                </c:pt>
                <c:pt idx="208">
                  <c:v>90</c:v>
                </c:pt>
                <c:pt idx="209">
                  <c:v>90</c:v>
                </c:pt>
                <c:pt idx="210">
                  <c:v>90</c:v>
                </c:pt>
                <c:pt idx="211">
                  <c:v>90</c:v>
                </c:pt>
                <c:pt idx="212">
                  <c:v>90</c:v>
                </c:pt>
                <c:pt idx="213">
                  <c:v>90</c:v>
                </c:pt>
                <c:pt idx="214">
                  <c:v>90</c:v>
                </c:pt>
                <c:pt idx="215">
                  <c:v>90</c:v>
                </c:pt>
                <c:pt idx="216">
                  <c:v>90</c:v>
                </c:pt>
                <c:pt idx="217">
                  <c:v>90</c:v>
                </c:pt>
                <c:pt idx="218">
                  <c:v>90</c:v>
                </c:pt>
                <c:pt idx="219">
                  <c:v>90</c:v>
                </c:pt>
                <c:pt idx="220">
                  <c:v>90</c:v>
                </c:pt>
                <c:pt idx="221">
                  <c:v>90</c:v>
                </c:pt>
                <c:pt idx="222">
                  <c:v>90</c:v>
                </c:pt>
                <c:pt idx="223">
                  <c:v>90</c:v>
                </c:pt>
                <c:pt idx="224">
                  <c:v>90</c:v>
                </c:pt>
                <c:pt idx="225">
                  <c:v>90</c:v>
                </c:pt>
                <c:pt idx="226">
                  <c:v>90</c:v>
                </c:pt>
                <c:pt idx="227">
                  <c:v>90</c:v>
                </c:pt>
                <c:pt idx="228">
                  <c:v>90</c:v>
                </c:pt>
                <c:pt idx="229">
                  <c:v>90</c:v>
                </c:pt>
              </c:numCache>
            </c:numRef>
          </c:yVal>
          <c:smooth val="1"/>
          <c:extLst>
            <c:ext xmlns:c16="http://schemas.microsoft.com/office/drawing/2014/chart" uri="{C3380CC4-5D6E-409C-BE32-E72D297353CC}">
              <c16:uniqueId val="{00000000-AAAD-4237-AD3A-4E1AEA973307}"/>
            </c:ext>
          </c:extLst>
        </c:ser>
        <c:ser>
          <c:idx val="0"/>
          <c:order val="1"/>
          <c:tx>
            <c:v>LED Integrada</c:v>
          </c:tx>
          <c:spPr>
            <a:ln w="19050" cap="rnd">
              <a:solidFill>
                <a:srgbClr val="0ABE1F"/>
              </a:solidFill>
              <a:round/>
            </a:ln>
            <a:effectLst/>
          </c:spPr>
          <c:marker>
            <c:symbol val="none"/>
          </c:marker>
          <c:xVal>
            <c:numRef>
              <c:f>Sheet1!$BA$7:$BA$236</c:f>
              <c:numCache>
                <c:formatCode>General</c:formatCode>
                <c:ptCount val="23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pt idx="60">
                  <c:v>910</c:v>
                </c:pt>
                <c:pt idx="61">
                  <c:v>920</c:v>
                </c:pt>
                <c:pt idx="62">
                  <c:v>930</c:v>
                </c:pt>
                <c:pt idx="63">
                  <c:v>940</c:v>
                </c:pt>
                <c:pt idx="64">
                  <c:v>950</c:v>
                </c:pt>
                <c:pt idx="65">
                  <c:v>960</c:v>
                </c:pt>
                <c:pt idx="66">
                  <c:v>970</c:v>
                </c:pt>
                <c:pt idx="67">
                  <c:v>980</c:v>
                </c:pt>
                <c:pt idx="68">
                  <c:v>990</c:v>
                </c:pt>
                <c:pt idx="69">
                  <c:v>1000</c:v>
                </c:pt>
                <c:pt idx="70">
                  <c:v>1010</c:v>
                </c:pt>
                <c:pt idx="71">
                  <c:v>1020</c:v>
                </c:pt>
                <c:pt idx="72">
                  <c:v>1030</c:v>
                </c:pt>
                <c:pt idx="73">
                  <c:v>1040</c:v>
                </c:pt>
                <c:pt idx="74">
                  <c:v>1050</c:v>
                </c:pt>
                <c:pt idx="75">
                  <c:v>1060</c:v>
                </c:pt>
                <c:pt idx="76">
                  <c:v>1070</c:v>
                </c:pt>
                <c:pt idx="77">
                  <c:v>1080</c:v>
                </c:pt>
                <c:pt idx="78">
                  <c:v>1090</c:v>
                </c:pt>
                <c:pt idx="79">
                  <c:v>1100</c:v>
                </c:pt>
                <c:pt idx="80">
                  <c:v>1110</c:v>
                </c:pt>
                <c:pt idx="81">
                  <c:v>1120</c:v>
                </c:pt>
                <c:pt idx="82">
                  <c:v>1130</c:v>
                </c:pt>
                <c:pt idx="83">
                  <c:v>1140</c:v>
                </c:pt>
                <c:pt idx="84">
                  <c:v>1150</c:v>
                </c:pt>
                <c:pt idx="85">
                  <c:v>1160</c:v>
                </c:pt>
                <c:pt idx="86">
                  <c:v>1170</c:v>
                </c:pt>
                <c:pt idx="87">
                  <c:v>1180</c:v>
                </c:pt>
                <c:pt idx="88">
                  <c:v>1190</c:v>
                </c:pt>
                <c:pt idx="89">
                  <c:v>1200</c:v>
                </c:pt>
                <c:pt idx="90">
                  <c:v>1210</c:v>
                </c:pt>
                <c:pt idx="91">
                  <c:v>1220</c:v>
                </c:pt>
                <c:pt idx="92">
                  <c:v>1230</c:v>
                </c:pt>
                <c:pt idx="93">
                  <c:v>1240</c:v>
                </c:pt>
                <c:pt idx="94">
                  <c:v>1250</c:v>
                </c:pt>
                <c:pt idx="95">
                  <c:v>1260</c:v>
                </c:pt>
                <c:pt idx="96">
                  <c:v>1270</c:v>
                </c:pt>
                <c:pt idx="97">
                  <c:v>1280</c:v>
                </c:pt>
                <c:pt idx="98">
                  <c:v>1290</c:v>
                </c:pt>
                <c:pt idx="99">
                  <c:v>1300</c:v>
                </c:pt>
                <c:pt idx="100">
                  <c:v>1310</c:v>
                </c:pt>
                <c:pt idx="101">
                  <c:v>1320</c:v>
                </c:pt>
                <c:pt idx="102">
                  <c:v>1330</c:v>
                </c:pt>
                <c:pt idx="103">
                  <c:v>1340</c:v>
                </c:pt>
                <c:pt idx="104">
                  <c:v>1350</c:v>
                </c:pt>
                <c:pt idx="105">
                  <c:v>1360</c:v>
                </c:pt>
                <c:pt idx="106">
                  <c:v>1370</c:v>
                </c:pt>
                <c:pt idx="107">
                  <c:v>1380</c:v>
                </c:pt>
                <c:pt idx="108">
                  <c:v>1390</c:v>
                </c:pt>
                <c:pt idx="109">
                  <c:v>1400</c:v>
                </c:pt>
                <c:pt idx="110">
                  <c:v>1410</c:v>
                </c:pt>
                <c:pt idx="111">
                  <c:v>1420</c:v>
                </c:pt>
                <c:pt idx="112">
                  <c:v>1430</c:v>
                </c:pt>
                <c:pt idx="113">
                  <c:v>1440</c:v>
                </c:pt>
                <c:pt idx="114">
                  <c:v>1450</c:v>
                </c:pt>
                <c:pt idx="115">
                  <c:v>1460</c:v>
                </c:pt>
                <c:pt idx="116">
                  <c:v>1470</c:v>
                </c:pt>
                <c:pt idx="117">
                  <c:v>1480</c:v>
                </c:pt>
                <c:pt idx="118">
                  <c:v>1490</c:v>
                </c:pt>
                <c:pt idx="119">
                  <c:v>1500</c:v>
                </c:pt>
                <c:pt idx="120">
                  <c:v>1510</c:v>
                </c:pt>
                <c:pt idx="121">
                  <c:v>1520</c:v>
                </c:pt>
                <c:pt idx="122">
                  <c:v>1530</c:v>
                </c:pt>
                <c:pt idx="123">
                  <c:v>1540</c:v>
                </c:pt>
                <c:pt idx="124">
                  <c:v>1550</c:v>
                </c:pt>
                <c:pt idx="125">
                  <c:v>1560</c:v>
                </c:pt>
                <c:pt idx="126">
                  <c:v>1570</c:v>
                </c:pt>
                <c:pt idx="127">
                  <c:v>1580</c:v>
                </c:pt>
                <c:pt idx="128">
                  <c:v>1590</c:v>
                </c:pt>
                <c:pt idx="129">
                  <c:v>1600</c:v>
                </c:pt>
                <c:pt idx="130">
                  <c:v>1610</c:v>
                </c:pt>
                <c:pt idx="131">
                  <c:v>1620</c:v>
                </c:pt>
                <c:pt idx="132">
                  <c:v>1630</c:v>
                </c:pt>
                <c:pt idx="133">
                  <c:v>1640</c:v>
                </c:pt>
                <c:pt idx="134">
                  <c:v>1650</c:v>
                </c:pt>
                <c:pt idx="135">
                  <c:v>1660</c:v>
                </c:pt>
                <c:pt idx="136">
                  <c:v>1670</c:v>
                </c:pt>
                <c:pt idx="137">
                  <c:v>1680</c:v>
                </c:pt>
                <c:pt idx="138">
                  <c:v>1690</c:v>
                </c:pt>
                <c:pt idx="139">
                  <c:v>1700</c:v>
                </c:pt>
                <c:pt idx="140">
                  <c:v>1710</c:v>
                </c:pt>
                <c:pt idx="141">
                  <c:v>1720</c:v>
                </c:pt>
                <c:pt idx="142">
                  <c:v>1730</c:v>
                </c:pt>
                <c:pt idx="143">
                  <c:v>1740</c:v>
                </c:pt>
                <c:pt idx="144">
                  <c:v>1750</c:v>
                </c:pt>
                <c:pt idx="145">
                  <c:v>1760</c:v>
                </c:pt>
                <c:pt idx="146">
                  <c:v>1770</c:v>
                </c:pt>
                <c:pt idx="147">
                  <c:v>1780</c:v>
                </c:pt>
                <c:pt idx="148">
                  <c:v>1790</c:v>
                </c:pt>
                <c:pt idx="149">
                  <c:v>1800</c:v>
                </c:pt>
                <c:pt idx="150">
                  <c:v>1810</c:v>
                </c:pt>
                <c:pt idx="151">
                  <c:v>1820</c:v>
                </c:pt>
                <c:pt idx="152">
                  <c:v>1830</c:v>
                </c:pt>
                <c:pt idx="153">
                  <c:v>1840</c:v>
                </c:pt>
                <c:pt idx="154">
                  <c:v>1850</c:v>
                </c:pt>
                <c:pt idx="155">
                  <c:v>1860</c:v>
                </c:pt>
                <c:pt idx="156">
                  <c:v>1870</c:v>
                </c:pt>
                <c:pt idx="157">
                  <c:v>1880</c:v>
                </c:pt>
                <c:pt idx="158">
                  <c:v>1890</c:v>
                </c:pt>
                <c:pt idx="159">
                  <c:v>1900</c:v>
                </c:pt>
                <c:pt idx="160">
                  <c:v>1910</c:v>
                </c:pt>
                <c:pt idx="161">
                  <c:v>1920</c:v>
                </c:pt>
                <c:pt idx="162">
                  <c:v>1930</c:v>
                </c:pt>
                <c:pt idx="163">
                  <c:v>1940</c:v>
                </c:pt>
                <c:pt idx="164">
                  <c:v>1950</c:v>
                </c:pt>
                <c:pt idx="165">
                  <c:v>1960</c:v>
                </c:pt>
                <c:pt idx="166">
                  <c:v>1970</c:v>
                </c:pt>
                <c:pt idx="167">
                  <c:v>1980</c:v>
                </c:pt>
                <c:pt idx="168">
                  <c:v>1990</c:v>
                </c:pt>
                <c:pt idx="169">
                  <c:v>2000</c:v>
                </c:pt>
                <c:pt idx="170">
                  <c:v>2010</c:v>
                </c:pt>
                <c:pt idx="171">
                  <c:v>2020</c:v>
                </c:pt>
                <c:pt idx="172">
                  <c:v>2030</c:v>
                </c:pt>
                <c:pt idx="173">
                  <c:v>2040</c:v>
                </c:pt>
                <c:pt idx="174">
                  <c:v>2050</c:v>
                </c:pt>
                <c:pt idx="175">
                  <c:v>2060</c:v>
                </c:pt>
                <c:pt idx="176">
                  <c:v>2070</c:v>
                </c:pt>
                <c:pt idx="177">
                  <c:v>2080</c:v>
                </c:pt>
                <c:pt idx="178">
                  <c:v>2090</c:v>
                </c:pt>
                <c:pt idx="179">
                  <c:v>2100</c:v>
                </c:pt>
                <c:pt idx="180">
                  <c:v>2110</c:v>
                </c:pt>
                <c:pt idx="181">
                  <c:v>2120</c:v>
                </c:pt>
                <c:pt idx="182">
                  <c:v>2130</c:v>
                </c:pt>
                <c:pt idx="183">
                  <c:v>2140</c:v>
                </c:pt>
                <c:pt idx="184">
                  <c:v>2150</c:v>
                </c:pt>
                <c:pt idx="185">
                  <c:v>2160</c:v>
                </c:pt>
                <c:pt idx="186">
                  <c:v>2170</c:v>
                </c:pt>
                <c:pt idx="187">
                  <c:v>2180</c:v>
                </c:pt>
                <c:pt idx="188">
                  <c:v>2190</c:v>
                </c:pt>
                <c:pt idx="189">
                  <c:v>2200</c:v>
                </c:pt>
                <c:pt idx="190">
                  <c:v>2210</c:v>
                </c:pt>
                <c:pt idx="191">
                  <c:v>2220</c:v>
                </c:pt>
                <c:pt idx="192">
                  <c:v>2230</c:v>
                </c:pt>
                <c:pt idx="193">
                  <c:v>2240</c:v>
                </c:pt>
                <c:pt idx="194">
                  <c:v>2250</c:v>
                </c:pt>
                <c:pt idx="195">
                  <c:v>2260</c:v>
                </c:pt>
                <c:pt idx="196">
                  <c:v>2270</c:v>
                </c:pt>
                <c:pt idx="197">
                  <c:v>2280</c:v>
                </c:pt>
                <c:pt idx="198">
                  <c:v>2290</c:v>
                </c:pt>
                <c:pt idx="199">
                  <c:v>2300</c:v>
                </c:pt>
                <c:pt idx="200">
                  <c:v>2310</c:v>
                </c:pt>
                <c:pt idx="201">
                  <c:v>2320</c:v>
                </c:pt>
                <c:pt idx="202">
                  <c:v>2330</c:v>
                </c:pt>
                <c:pt idx="203">
                  <c:v>2340</c:v>
                </c:pt>
                <c:pt idx="204">
                  <c:v>2350</c:v>
                </c:pt>
                <c:pt idx="205">
                  <c:v>2360</c:v>
                </c:pt>
                <c:pt idx="206">
                  <c:v>2370</c:v>
                </c:pt>
                <c:pt idx="207">
                  <c:v>2380</c:v>
                </c:pt>
                <c:pt idx="208">
                  <c:v>2390</c:v>
                </c:pt>
                <c:pt idx="209">
                  <c:v>2400</c:v>
                </c:pt>
                <c:pt idx="210">
                  <c:v>2410</c:v>
                </c:pt>
                <c:pt idx="211">
                  <c:v>2420</c:v>
                </c:pt>
                <c:pt idx="212">
                  <c:v>2430</c:v>
                </c:pt>
                <c:pt idx="213">
                  <c:v>2440</c:v>
                </c:pt>
                <c:pt idx="214">
                  <c:v>2450</c:v>
                </c:pt>
                <c:pt idx="215">
                  <c:v>2460</c:v>
                </c:pt>
                <c:pt idx="216">
                  <c:v>2470</c:v>
                </c:pt>
                <c:pt idx="217">
                  <c:v>2480</c:v>
                </c:pt>
                <c:pt idx="218">
                  <c:v>2490</c:v>
                </c:pt>
                <c:pt idx="219">
                  <c:v>2500</c:v>
                </c:pt>
                <c:pt idx="220">
                  <c:v>2510</c:v>
                </c:pt>
                <c:pt idx="221">
                  <c:v>2520</c:v>
                </c:pt>
                <c:pt idx="222">
                  <c:v>2530</c:v>
                </c:pt>
                <c:pt idx="223">
                  <c:v>2540</c:v>
                </c:pt>
                <c:pt idx="224">
                  <c:v>2550</c:v>
                </c:pt>
                <c:pt idx="225">
                  <c:v>2560</c:v>
                </c:pt>
                <c:pt idx="226">
                  <c:v>2570</c:v>
                </c:pt>
                <c:pt idx="227">
                  <c:v>2580</c:v>
                </c:pt>
                <c:pt idx="228">
                  <c:v>2590</c:v>
                </c:pt>
                <c:pt idx="229">
                  <c:v>2600</c:v>
                </c:pt>
              </c:numCache>
            </c:numRef>
          </c:xVal>
          <c:yVal>
            <c:numRef>
              <c:f>Sheet1!$BC$7:$BC$236</c:f>
              <c:numCache>
                <c:formatCode>General</c:formatCode>
                <c:ptCount val="230"/>
                <c:pt idx="0">
                  <c:v>55</c:v>
                </c:pt>
                <c:pt idx="1">
                  <c:v>55</c:v>
                </c:pt>
                <c:pt idx="2">
                  <c:v>65</c:v>
                </c:pt>
                <c:pt idx="3">
                  <c:v>65</c:v>
                </c:pt>
                <c:pt idx="4">
                  <c:v>65</c:v>
                </c:pt>
                <c:pt idx="5">
                  <c:v>65</c:v>
                </c:pt>
                <c:pt idx="6">
                  <c:v>65</c:v>
                </c:pt>
                <c:pt idx="7">
                  <c:v>65</c:v>
                </c:pt>
                <c:pt idx="8">
                  <c:v>65</c:v>
                </c:pt>
                <c:pt idx="9">
                  <c:v>65</c:v>
                </c:pt>
                <c:pt idx="10">
                  <c:v>65</c:v>
                </c:pt>
                <c:pt idx="11">
                  <c:v>65</c:v>
                </c:pt>
                <c:pt idx="12">
                  <c:v>65</c:v>
                </c:pt>
                <c:pt idx="13">
                  <c:v>65</c:v>
                </c:pt>
                <c:pt idx="14">
                  <c:v>65</c:v>
                </c:pt>
                <c:pt idx="15">
                  <c:v>65</c:v>
                </c:pt>
                <c:pt idx="16">
                  <c:v>65</c:v>
                </c:pt>
                <c:pt idx="17">
                  <c:v>65</c:v>
                </c:pt>
                <c:pt idx="18">
                  <c:v>65</c:v>
                </c:pt>
                <c:pt idx="19">
                  <c:v>65</c:v>
                </c:pt>
                <c:pt idx="20">
                  <c:v>65</c:v>
                </c:pt>
                <c:pt idx="21">
                  <c:v>65</c:v>
                </c:pt>
                <c:pt idx="22">
                  <c:v>65</c:v>
                </c:pt>
                <c:pt idx="23">
                  <c:v>65</c:v>
                </c:pt>
                <c:pt idx="24">
                  <c:v>65</c:v>
                </c:pt>
                <c:pt idx="25">
                  <c:v>65</c:v>
                </c:pt>
                <c:pt idx="26">
                  <c:v>65</c:v>
                </c:pt>
                <c:pt idx="27">
                  <c:v>65</c:v>
                </c:pt>
                <c:pt idx="28">
                  <c:v>65</c:v>
                </c:pt>
                <c:pt idx="29">
                  <c:v>65</c:v>
                </c:pt>
                <c:pt idx="30">
                  <c:v>65</c:v>
                </c:pt>
                <c:pt idx="31">
                  <c:v>65</c:v>
                </c:pt>
                <c:pt idx="32">
                  <c:v>65</c:v>
                </c:pt>
                <c:pt idx="33">
                  <c:v>65</c:v>
                </c:pt>
                <c:pt idx="34">
                  <c:v>65</c:v>
                </c:pt>
                <c:pt idx="35">
                  <c:v>65</c:v>
                </c:pt>
                <c:pt idx="36">
                  <c:v>65</c:v>
                </c:pt>
                <c:pt idx="37">
                  <c:v>65</c:v>
                </c:pt>
                <c:pt idx="38">
                  <c:v>65</c:v>
                </c:pt>
                <c:pt idx="39">
                  <c:v>65</c:v>
                </c:pt>
                <c:pt idx="40">
                  <c:v>65</c:v>
                </c:pt>
                <c:pt idx="41">
                  <c:v>65</c:v>
                </c:pt>
                <c:pt idx="42">
                  <c:v>65</c:v>
                </c:pt>
                <c:pt idx="43">
                  <c:v>65</c:v>
                </c:pt>
                <c:pt idx="44">
                  <c:v>65</c:v>
                </c:pt>
                <c:pt idx="45">
                  <c:v>65</c:v>
                </c:pt>
                <c:pt idx="46">
                  <c:v>65</c:v>
                </c:pt>
                <c:pt idx="47">
                  <c:v>65</c:v>
                </c:pt>
                <c:pt idx="48">
                  <c:v>65</c:v>
                </c:pt>
                <c:pt idx="49">
                  <c:v>65</c:v>
                </c:pt>
                <c:pt idx="50">
                  <c:v>70</c:v>
                </c:pt>
                <c:pt idx="51">
                  <c:v>70</c:v>
                </c:pt>
                <c:pt idx="52">
                  <c:v>70</c:v>
                </c:pt>
                <c:pt idx="53">
                  <c:v>70</c:v>
                </c:pt>
                <c:pt idx="54">
                  <c:v>70</c:v>
                </c:pt>
                <c:pt idx="55">
                  <c:v>70</c:v>
                </c:pt>
                <c:pt idx="56">
                  <c:v>70</c:v>
                </c:pt>
                <c:pt idx="57">
                  <c:v>70</c:v>
                </c:pt>
                <c:pt idx="58">
                  <c:v>70</c:v>
                </c:pt>
                <c:pt idx="59">
                  <c:v>70</c:v>
                </c:pt>
                <c:pt idx="60">
                  <c:v>70</c:v>
                </c:pt>
                <c:pt idx="61">
                  <c:v>70</c:v>
                </c:pt>
                <c:pt idx="62">
                  <c:v>70</c:v>
                </c:pt>
                <c:pt idx="63">
                  <c:v>70</c:v>
                </c:pt>
                <c:pt idx="64">
                  <c:v>70</c:v>
                </c:pt>
                <c:pt idx="65">
                  <c:v>70</c:v>
                </c:pt>
                <c:pt idx="66">
                  <c:v>70</c:v>
                </c:pt>
                <c:pt idx="67">
                  <c:v>70</c:v>
                </c:pt>
                <c:pt idx="68">
                  <c:v>70</c:v>
                </c:pt>
                <c:pt idx="69">
                  <c:v>70</c:v>
                </c:pt>
                <c:pt idx="70">
                  <c:v>70</c:v>
                </c:pt>
                <c:pt idx="71">
                  <c:v>70</c:v>
                </c:pt>
                <c:pt idx="72">
                  <c:v>70</c:v>
                </c:pt>
                <c:pt idx="73">
                  <c:v>70</c:v>
                </c:pt>
                <c:pt idx="74">
                  <c:v>70</c:v>
                </c:pt>
                <c:pt idx="75">
                  <c:v>70</c:v>
                </c:pt>
                <c:pt idx="76">
                  <c:v>70</c:v>
                </c:pt>
                <c:pt idx="77">
                  <c:v>70</c:v>
                </c:pt>
                <c:pt idx="78">
                  <c:v>70</c:v>
                </c:pt>
                <c:pt idx="79">
                  <c:v>70</c:v>
                </c:pt>
                <c:pt idx="80">
                  <c:v>70</c:v>
                </c:pt>
                <c:pt idx="81">
                  <c:v>70</c:v>
                </c:pt>
                <c:pt idx="82">
                  <c:v>70</c:v>
                </c:pt>
                <c:pt idx="83">
                  <c:v>70</c:v>
                </c:pt>
                <c:pt idx="84">
                  <c:v>70</c:v>
                </c:pt>
                <c:pt idx="85">
                  <c:v>70</c:v>
                </c:pt>
                <c:pt idx="86">
                  <c:v>70</c:v>
                </c:pt>
                <c:pt idx="87">
                  <c:v>70</c:v>
                </c:pt>
                <c:pt idx="88">
                  <c:v>70</c:v>
                </c:pt>
                <c:pt idx="89">
                  <c:v>70</c:v>
                </c:pt>
                <c:pt idx="90">
                  <c:v>70</c:v>
                </c:pt>
                <c:pt idx="91">
                  <c:v>70</c:v>
                </c:pt>
                <c:pt idx="92">
                  <c:v>70</c:v>
                </c:pt>
                <c:pt idx="93">
                  <c:v>70</c:v>
                </c:pt>
                <c:pt idx="94">
                  <c:v>70</c:v>
                </c:pt>
                <c:pt idx="95">
                  <c:v>70</c:v>
                </c:pt>
                <c:pt idx="96">
                  <c:v>70</c:v>
                </c:pt>
                <c:pt idx="97">
                  <c:v>70</c:v>
                </c:pt>
                <c:pt idx="98">
                  <c:v>70</c:v>
                </c:pt>
                <c:pt idx="99">
                  <c:v>70</c:v>
                </c:pt>
                <c:pt idx="100">
                  <c:v>70</c:v>
                </c:pt>
                <c:pt idx="101">
                  <c:v>70</c:v>
                </c:pt>
                <c:pt idx="102">
                  <c:v>70</c:v>
                </c:pt>
                <c:pt idx="103">
                  <c:v>70</c:v>
                </c:pt>
                <c:pt idx="104">
                  <c:v>70</c:v>
                </c:pt>
                <c:pt idx="105">
                  <c:v>70</c:v>
                </c:pt>
                <c:pt idx="106">
                  <c:v>70</c:v>
                </c:pt>
                <c:pt idx="107">
                  <c:v>70</c:v>
                </c:pt>
                <c:pt idx="108">
                  <c:v>70</c:v>
                </c:pt>
                <c:pt idx="109">
                  <c:v>70</c:v>
                </c:pt>
                <c:pt idx="110">
                  <c:v>70</c:v>
                </c:pt>
                <c:pt idx="111">
                  <c:v>70</c:v>
                </c:pt>
                <c:pt idx="112">
                  <c:v>70</c:v>
                </c:pt>
                <c:pt idx="113">
                  <c:v>70</c:v>
                </c:pt>
                <c:pt idx="114">
                  <c:v>70</c:v>
                </c:pt>
                <c:pt idx="115">
                  <c:v>70</c:v>
                </c:pt>
                <c:pt idx="116">
                  <c:v>70</c:v>
                </c:pt>
                <c:pt idx="117">
                  <c:v>70</c:v>
                </c:pt>
                <c:pt idx="118">
                  <c:v>70</c:v>
                </c:pt>
                <c:pt idx="119">
                  <c:v>70</c:v>
                </c:pt>
                <c:pt idx="120">
                  <c:v>70</c:v>
                </c:pt>
                <c:pt idx="121">
                  <c:v>70</c:v>
                </c:pt>
                <c:pt idx="122">
                  <c:v>70</c:v>
                </c:pt>
                <c:pt idx="123">
                  <c:v>70</c:v>
                </c:pt>
                <c:pt idx="124">
                  <c:v>70</c:v>
                </c:pt>
                <c:pt idx="125">
                  <c:v>70</c:v>
                </c:pt>
                <c:pt idx="126">
                  <c:v>70</c:v>
                </c:pt>
                <c:pt idx="127">
                  <c:v>70</c:v>
                </c:pt>
                <c:pt idx="128">
                  <c:v>70</c:v>
                </c:pt>
                <c:pt idx="129">
                  <c:v>70</c:v>
                </c:pt>
                <c:pt idx="130">
                  <c:v>70</c:v>
                </c:pt>
                <c:pt idx="131">
                  <c:v>70</c:v>
                </c:pt>
                <c:pt idx="132">
                  <c:v>70</c:v>
                </c:pt>
                <c:pt idx="133">
                  <c:v>70</c:v>
                </c:pt>
                <c:pt idx="134">
                  <c:v>70</c:v>
                </c:pt>
                <c:pt idx="135">
                  <c:v>70</c:v>
                </c:pt>
                <c:pt idx="136">
                  <c:v>70</c:v>
                </c:pt>
                <c:pt idx="137">
                  <c:v>70</c:v>
                </c:pt>
                <c:pt idx="138">
                  <c:v>70</c:v>
                </c:pt>
                <c:pt idx="139">
                  <c:v>70</c:v>
                </c:pt>
                <c:pt idx="140">
                  <c:v>70</c:v>
                </c:pt>
                <c:pt idx="141">
                  <c:v>70</c:v>
                </c:pt>
                <c:pt idx="142">
                  <c:v>70</c:v>
                </c:pt>
                <c:pt idx="143">
                  <c:v>70</c:v>
                </c:pt>
                <c:pt idx="144">
                  <c:v>70</c:v>
                </c:pt>
                <c:pt idx="145">
                  <c:v>70</c:v>
                </c:pt>
                <c:pt idx="146">
                  <c:v>70</c:v>
                </c:pt>
                <c:pt idx="147">
                  <c:v>70</c:v>
                </c:pt>
                <c:pt idx="148">
                  <c:v>70</c:v>
                </c:pt>
                <c:pt idx="149">
                  <c:v>70</c:v>
                </c:pt>
                <c:pt idx="150">
                  <c:v>70</c:v>
                </c:pt>
                <c:pt idx="151">
                  <c:v>70</c:v>
                </c:pt>
                <c:pt idx="152">
                  <c:v>70</c:v>
                </c:pt>
                <c:pt idx="153">
                  <c:v>70</c:v>
                </c:pt>
                <c:pt idx="154">
                  <c:v>70</c:v>
                </c:pt>
                <c:pt idx="155">
                  <c:v>70</c:v>
                </c:pt>
                <c:pt idx="156">
                  <c:v>70</c:v>
                </c:pt>
                <c:pt idx="157">
                  <c:v>70</c:v>
                </c:pt>
                <c:pt idx="158">
                  <c:v>70</c:v>
                </c:pt>
                <c:pt idx="159">
                  <c:v>70</c:v>
                </c:pt>
                <c:pt idx="160">
                  <c:v>70</c:v>
                </c:pt>
                <c:pt idx="161">
                  <c:v>70</c:v>
                </c:pt>
                <c:pt idx="162">
                  <c:v>70</c:v>
                </c:pt>
                <c:pt idx="163">
                  <c:v>70</c:v>
                </c:pt>
                <c:pt idx="164">
                  <c:v>70</c:v>
                </c:pt>
                <c:pt idx="165">
                  <c:v>70</c:v>
                </c:pt>
                <c:pt idx="166">
                  <c:v>70</c:v>
                </c:pt>
                <c:pt idx="167">
                  <c:v>70</c:v>
                </c:pt>
                <c:pt idx="168">
                  <c:v>70</c:v>
                </c:pt>
                <c:pt idx="169">
                  <c:v>70</c:v>
                </c:pt>
                <c:pt idx="170">
                  <c:v>70</c:v>
                </c:pt>
                <c:pt idx="171">
                  <c:v>70</c:v>
                </c:pt>
                <c:pt idx="172">
                  <c:v>70</c:v>
                </c:pt>
                <c:pt idx="173">
                  <c:v>70</c:v>
                </c:pt>
                <c:pt idx="174">
                  <c:v>70</c:v>
                </c:pt>
                <c:pt idx="175">
                  <c:v>70</c:v>
                </c:pt>
                <c:pt idx="176">
                  <c:v>70</c:v>
                </c:pt>
                <c:pt idx="177">
                  <c:v>70</c:v>
                </c:pt>
                <c:pt idx="178">
                  <c:v>70</c:v>
                </c:pt>
                <c:pt idx="179">
                  <c:v>70</c:v>
                </c:pt>
                <c:pt idx="180">
                  <c:v>70</c:v>
                </c:pt>
                <c:pt idx="181">
                  <c:v>70</c:v>
                </c:pt>
                <c:pt idx="182">
                  <c:v>70</c:v>
                </c:pt>
                <c:pt idx="183">
                  <c:v>70</c:v>
                </c:pt>
                <c:pt idx="184">
                  <c:v>70</c:v>
                </c:pt>
                <c:pt idx="185">
                  <c:v>70</c:v>
                </c:pt>
                <c:pt idx="186">
                  <c:v>70</c:v>
                </c:pt>
                <c:pt idx="187">
                  <c:v>70</c:v>
                </c:pt>
                <c:pt idx="188">
                  <c:v>70</c:v>
                </c:pt>
                <c:pt idx="189">
                  <c:v>70</c:v>
                </c:pt>
                <c:pt idx="190">
                  <c:v>70</c:v>
                </c:pt>
                <c:pt idx="191">
                  <c:v>70</c:v>
                </c:pt>
                <c:pt idx="192">
                  <c:v>70</c:v>
                </c:pt>
                <c:pt idx="193">
                  <c:v>70</c:v>
                </c:pt>
                <c:pt idx="194">
                  <c:v>70</c:v>
                </c:pt>
                <c:pt idx="195">
                  <c:v>70</c:v>
                </c:pt>
                <c:pt idx="196">
                  <c:v>70</c:v>
                </c:pt>
                <c:pt idx="197">
                  <c:v>70</c:v>
                </c:pt>
                <c:pt idx="198">
                  <c:v>70</c:v>
                </c:pt>
                <c:pt idx="199">
                  <c:v>70</c:v>
                </c:pt>
                <c:pt idx="200">
                  <c:v>70</c:v>
                </c:pt>
                <c:pt idx="201">
                  <c:v>70</c:v>
                </c:pt>
                <c:pt idx="202">
                  <c:v>70</c:v>
                </c:pt>
                <c:pt idx="203">
                  <c:v>70</c:v>
                </c:pt>
                <c:pt idx="204">
                  <c:v>70</c:v>
                </c:pt>
                <c:pt idx="205">
                  <c:v>70</c:v>
                </c:pt>
                <c:pt idx="206">
                  <c:v>70</c:v>
                </c:pt>
                <c:pt idx="207">
                  <c:v>70</c:v>
                </c:pt>
                <c:pt idx="208">
                  <c:v>70</c:v>
                </c:pt>
                <c:pt idx="209">
                  <c:v>70</c:v>
                </c:pt>
                <c:pt idx="210">
                  <c:v>70</c:v>
                </c:pt>
                <c:pt idx="211">
                  <c:v>70</c:v>
                </c:pt>
                <c:pt idx="212">
                  <c:v>70</c:v>
                </c:pt>
                <c:pt idx="213">
                  <c:v>70</c:v>
                </c:pt>
                <c:pt idx="214">
                  <c:v>70</c:v>
                </c:pt>
                <c:pt idx="215">
                  <c:v>70</c:v>
                </c:pt>
                <c:pt idx="216">
                  <c:v>70</c:v>
                </c:pt>
                <c:pt idx="217">
                  <c:v>70</c:v>
                </c:pt>
                <c:pt idx="218">
                  <c:v>70</c:v>
                </c:pt>
                <c:pt idx="219">
                  <c:v>70</c:v>
                </c:pt>
                <c:pt idx="220">
                  <c:v>70</c:v>
                </c:pt>
                <c:pt idx="221">
                  <c:v>70</c:v>
                </c:pt>
                <c:pt idx="222">
                  <c:v>70</c:v>
                </c:pt>
                <c:pt idx="223">
                  <c:v>70</c:v>
                </c:pt>
                <c:pt idx="224">
                  <c:v>70</c:v>
                </c:pt>
                <c:pt idx="225">
                  <c:v>70</c:v>
                </c:pt>
                <c:pt idx="226">
                  <c:v>70</c:v>
                </c:pt>
                <c:pt idx="227">
                  <c:v>70</c:v>
                </c:pt>
                <c:pt idx="228">
                  <c:v>70</c:v>
                </c:pt>
                <c:pt idx="229">
                  <c:v>70</c:v>
                </c:pt>
              </c:numCache>
            </c:numRef>
          </c:yVal>
          <c:smooth val="1"/>
          <c:extLst>
            <c:ext xmlns:c16="http://schemas.microsoft.com/office/drawing/2014/chart" uri="{C3380CC4-5D6E-409C-BE32-E72D297353CC}">
              <c16:uniqueId val="{00000001-AAAD-4237-AD3A-4E1AEA973307}"/>
            </c:ext>
          </c:extLst>
        </c:ser>
        <c:ser>
          <c:idx val="1"/>
          <c:order val="2"/>
          <c:tx>
            <c:v>GSL Etapa 3 (2020) / LFC (sin envolvente)</c:v>
          </c:tx>
          <c:spPr>
            <a:ln w="19050" cap="rnd">
              <a:solidFill>
                <a:srgbClr val="3F6327"/>
              </a:solidFill>
              <a:round/>
            </a:ln>
            <a:effectLst/>
          </c:spPr>
          <c:marker>
            <c:symbol val="none"/>
          </c:marker>
          <c:xVal>
            <c:numRef>
              <c:f>Sheet1!$AL$10:$AL$48</c:f>
              <c:numCache>
                <c:formatCode>General</c:formatCode>
                <c:ptCount val="39"/>
                <c:pt idx="0">
                  <c:v>225</c:v>
                </c:pt>
                <c:pt idx="1">
                  <c:v>270</c:v>
                </c:pt>
                <c:pt idx="2">
                  <c:v>336</c:v>
                </c:pt>
                <c:pt idx="3">
                  <c:v>384</c:v>
                </c:pt>
                <c:pt idx="4">
                  <c:v>432</c:v>
                </c:pt>
                <c:pt idx="5">
                  <c:v>480</c:v>
                </c:pt>
                <c:pt idx="6">
                  <c:v>550</c:v>
                </c:pt>
                <c:pt idx="7">
                  <c:v>600</c:v>
                </c:pt>
                <c:pt idx="8">
                  <c:v>650</c:v>
                </c:pt>
                <c:pt idx="9">
                  <c:v>700</c:v>
                </c:pt>
                <c:pt idx="10">
                  <c:v>780</c:v>
                </c:pt>
                <c:pt idx="11">
                  <c:v>832</c:v>
                </c:pt>
                <c:pt idx="12">
                  <c:v>884</c:v>
                </c:pt>
                <c:pt idx="13">
                  <c:v>936</c:v>
                </c:pt>
                <c:pt idx="14">
                  <c:v>1083</c:v>
                </c:pt>
                <c:pt idx="15">
                  <c:v>1140</c:v>
                </c:pt>
                <c:pt idx="16">
                  <c:v>1197</c:v>
                </c:pt>
                <c:pt idx="17">
                  <c:v>1254</c:v>
                </c:pt>
                <c:pt idx="18">
                  <c:v>1380</c:v>
                </c:pt>
                <c:pt idx="19">
                  <c:v>1440</c:v>
                </c:pt>
                <c:pt idx="20">
                  <c:v>1500</c:v>
                </c:pt>
                <c:pt idx="21">
                  <c:v>1560</c:v>
                </c:pt>
                <c:pt idx="22">
                  <c:v>1620</c:v>
                </c:pt>
                <c:pt idx="23">
                  <c:v>1680</c:v>
                </c:pt>
                <c:pt idx="24">
                  <c:v>1740</c:v>
                </c:pt>
                <c:pt idx="25">
                  <c:v>1800</c:v>
                </c:pt>
                <c:pt idx="26">
                  <c:v>1860</c:v>
                </c:pt>
                <c:pt idx="27">
                  <c:v>1920</c:v>
                </c:pt>
                <c:pt idx="28">
                  <c:v>1980</c:v>
                </c:pt>
                <c:pt idx="29">
                  <c:v>2040</c:v>
                </c:pt>
                <c:pt idx="30">
                  <c:v>2100</c:v>
                </c:pt>
                <c:pt idx="31">
                  <c:v>2160</c:v>
                </c:pt>
                <c:pt idx="32">
                  <c:v>2220</c:v>
                </c:pt>
                <c:pt idx="33">
                  <c:v>2280</c:v>
                </c:pt>
                <c:pt idx="34">
                  <c:v>2340</c:v>
                </c:pt>
                <c:pt idx="35">
                  <c:v>2400</c:v>
                </c:pt>
                <c:pt idx="36">
                  <c:v>2460</c:v>
                </c:pt>
                <c:pt idx="37">
                  <c:v>2520</c:v>
                </c:pt>
                <c:pt idx="38">
                  <c:v>2580</c:v>
                </c:pt>
              </c:numCache>
            </c:numRef>
          </c:xVal>
          <c:yVal>
            <c:numRef>
              <c:f>Sheet1!$AN$10:$AN$48</c:f>
              <c:numCache>
                <c:formatCode>General</c:formatCode>
                <c:ptCount val="39"/>
                <c:pt idx="0">
                  <c:v>45</c:v>
                </c:pt>
                <c:pt idx="1">
                  <c:v>45</c:v>
                </c:pt>
                <c:pt idx="2">
                  <c:v>48</c:v>
                </c:pt>
                <c:pt idx="3">
                  <c:v>48</c:v>
                </c:pt>
                <c:pt idx="4">
                  <c:v>48</c:v>
                </c:pt>
                <c:pt idx="5">
                  <c:v>48</c:v>
                </c:pt>
                <c:pt idx="6">
                  <c:v>50</c:v>
                </c:pt>
                <c:pt idx="7">
                  <c:v>50</c:v>
                </c:pt>
                <c:pt idx="8">
                  <c:v>50</c:v>
                </c:pt>
                <c:pt idx="9">
                  <c:v>50</c:v>
                </c:pt>
                <c:pt idx="10">
                  <c:v>52</c:v>
                </c:pt>
                <c:pt idx="11">
                  <c:v>52</c:v>
                </c:pt>
                <c:pt idx="12">
                  <c:v>52</c:v>
                </c:pt>
                <c:pt idx="13">
                  <c:v>52</c:v>
                </c:pt>
                <c:pt idx="14">
                  <c:v>57</c:v>
                </c:pt>
                <c:pt idx="15">
                  <c:v>57</c:v>
                </c:pt>
                <c:pt idx="16">
                  <c:v>57</c:v>
                </c:pt>
                <c:pt idx="17">
                  <c:v>57</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numCache>
            </c:numRef>
          </c:yVal>
          <c:smooth val="1"/>
          <c:extLst>
            <c:ext xmlns:c16="http://schemas.microsoft.com/office/drawing/2014/chart" uri="{C3380CC4-5D6E-409C-BE32-E72D297353CC}">
              <c16:uniqueId val="{00000002-AAAD-4237-AD3A-4E1AEA973307}"/>
            </c:ext>
          </c:extLst>
        </c:ser>
        <c:ser>
          <c:idx val="2"/>
          <c:order val="3"/>
          <c:tx>
            <c:v>Lámp. incand. (proyecto 2017)</c:v>
          </c:tx>
          <c:spPr>
            <a:ln>
              <a:solidFill>
                <a:srgbClr val="0F9361"/>
              </a:solidFill>
            </a:ln>
          </c:spPr>
          <c:marker>
            <c:symbol val="none"/>
          </c:marker>
          <c:xVal>
            <c:numRef>
              <c:f>Sheet1!$AO$17:$AO$236</c:f>
              <c:numCache>
                <c:formatCode>General</c:formatCode>
                <c:ptCount val="220"/>
                <c:pt idx="0">
                  <c:v>410</c:v>
                </c:pt>
                <c:pt idx="1">
                  <c:v>420</c:v>
                </c:pt>
                <c:pt idx="2">
                  <c:v>430</c:v>
                </c:pt>
                <c:pt idx="3">
                  <c:v>440</c:v>
                </c:pt>
                <c:pt idx="4">
                  <c:v>450</c:v>
                </c:pt>
                <c:pt idx="5">
                  <c:v>460</c:v>
                </c:pt>
                <c:pt idx="6">
                  <c:v>470</c:v>
                </c:pt>
                <c:pt idx="7">
                  <c:v>480</c:v>
                </c:pt>
                <c:pt idx="8">
                  <c:v>490</c:v>
                </c:pt>
                <c:pt idx="9">
                  <c:v>500</c:v>
                </c:pt>
                <c:pt idx="10">
                  <c:v>510</c:v>
                </c:pt>
                <c:pt idx="11">
                  <c:v>520</c:v>
                </c:pt>
                <c:pt idx="12">
                  <c:v>530</c:v>
                </c:pt>
                <c:pt idx="13">
                  <c:v>540</c:v>
                </c:pt>
                <c:pt idx="14">
                  <c:v>550</c:v>
                </c:pt>
                <c:pt idx="15">
                  <c:v>560</c:v>
                </c:pt>
                <c:pt idx="16">
                  <c:v>570</c:v>
                </c:pt>
                <c:pt idx="17">
                  <c:v>580</c:v>
                </c:pt>
                <c:pt idx="18">
                  <c:v>590</c:v>
                </c:pt>
                <c:pt idx="19">
                  <c:v>600</c:v>
                </c:pt>
                <c:pt idx="20">
                  <c:v>610</c:v>
                </c:pt>
                <c:pt idx="21">
                  <c:v>620</c:v>
                </c:pt>
                <c:pt idx="22">
                  <c:v>630</c:v>
                </c:pt>
                <c:pt idx="23">
                  <c:v>640</c:v>
                </c:pt>
                <c:pt idx="24">
                  <c:v>650</c:v>
                </c:pt>
                <c:pt idx="25">
                  <c:v>660</c:v>
                </c:pt>
                <c:pt idx="26">
                  <c:v>670</c:v>
                </c:pt>
                <c:pt idx="27">
                  <c:v>680</c:v>
                </c:pt>
                <c:pt idx="28">
                  <c:v>690</c:v>
                </c:pt>
                <c:pt idx="29">
                  <c:v>700</c:v>
                </c:pt>
                <c:pt idx="30">
                  <c:v>710</c:v>
                </c:pt>
                <c:pt idx="31">
                  <c:v>720</c:v>
                </c:pt>
                <c:pt idx="32">
                  <c:v>730</c:v>
                </c:pt>
                <c:pt idx="33">
                  <c:v>740</c:v>
                </c:pt>
                <c:pt idx="34">
                  <c:v>750</c:v>
                </c:pt>
                <c:pt idx="35">
                  <c:v>760</c:v>
                </c:pt>
                <c:pt idx="36">
                  <c:v>770</c:v>
                </c:pt>
                <c:pt idx="37">
                  <c:v>780</c:v>
                </c:pt>
                <c:pt idx="38">
                  <c:v>790</c:v>
                </c:pt>
                <c:pt idx="39">
                  <c:v>800</c:v>
                </c:pt>
                <c:pt idx="40">
                  <c:v>810</c:v>
                </c:pt>
                <c:pt idx="41">
                  <c:v>820</c:v>
                </c:pt>
                <c:pt idx="42">
                  <c:v>830</c:v>
                </c:pt>
                <c:pt idx="43">
                  <c:v>840</c:v>
                </c:pt>
                <c:pt idx="44">
                  <c:v>850</c:v>
                </c:pt>
                <c:pt idx="45">
                  <c:v>860</c:v>
                </c:pt>
                <c:pt idx="46">
                  <c:v>870</c:v>
                </c:pt>
                <c:pt idx="47">
                  <c:v>880</c:v>
                </c:pt>
                <c:pt idx="48">
                  <c:v>890</c:v>
                </c:pt>
                <c:pt idx="49">
                  <c:v>900</c:v>
                </c:pt>
                <c:pt idx="50">
                  <c:v>910</c:v>
                </c:pt>
                <c:pt idx="51">
                  <c:v>920</c:v>
                </c:pt>
                <c:pt idx="52">
                  <c:v>930</c:v>
                </c:pt>
                <c:pt idx="53">
                  <c:v>940</c:v>
                </c:pt>
                <c:pt idx="54">
                  <c:v>950</c:v>
                </c:pt>
                <c:pt idx="55">
                  <c:v>960</c:v>
                </c:pt>
                <c:pt idx="56">
                  <c:v>970</c:v>
                </c:pt>
                <c:pt idx="57">
                  <c:v>980</c:v>
                </c:pt>
                <c:pt idx="58">
                  <c:v>990</c:v>
                </c:pt>
                <c:pt idx="59">
                  <c:v>1000</c:v>
                </c:pt>
                <c:pt idx="60">
                  <c:v>1010</c:v>
                </c:pt>
                <c:pt idx="61">
                  <c:v>1020</c:v>
                </c:pt>
                <c:pt idx="62">
                  <c:v>1030</c:v>
                </c:pt>
                <c:pt idx="63">
                  <c:v>1040</c:v>
                </c:pt>
                <c:pt idx="64">
                  <c:v>1050</c:v>
                </c:pt>
                <c:pt idx="65">
                  <c:v>1060</c:v>
                </c:pt>
                <c:pt idx="66">
                  <c:v>1070</c:v>
                </c:pt>
                <c:pt idx="67">
                  <c:v>1080</c:v>
                </c:pt>
                <c:pt idx="68">
                  <c:v>1090</c:v>
                </c:pt>
                <c:pt idx="69">
                  <c:v>1100</c:v>
                </c:pt>
                <c:pt idx="70">
                  <c:v>1110</c:v>
                </c:pt>
                <c:pt idx="71">
                  <c:v>1120</c:v>
                </c:pt>
                <c:pt idx="72">
                  <c:v>1130</c:v>
                </c:pt>
                <c:pt idx="73">
                  <c:v>1140</c:v>
                </c:pt>
                <c:pt idx="74">
                  <c:v>1150</c:v>
                </c:pt>
                <c:pt idx="75">
                  <c:v>1160</c:v>
                </c:pt>
                <c:pt idx="76">
                  <c:v>1170</c:v>
                </c:pt>
                <c:pt idx="77">
                  <c:v>1180</c:v>
                </c:pt>
                <c:pt idx="78">
                  <c:v>1190</c:v>
                </c:pt>
                <c:pt idx="79">
                  <c:v>1200</c:v>
                </c:pt>
                <c:pt idx="80">
                  <c:v>1210</c:v>
                </c:pt>
                <c:pt idx="81">
                  <c:v>1220</c:v>
                </c:pt>
                <c:pt idx="82">
                  <c:v>1230</c:v>
                </c:pt>
                <c:pt idx="83">
                  <c:v>1240</c:v>
                </c:pt>
                <c:pt idx="84">
                  <c:v>1250</c:v>
                </c:pt>
                <c:pt idx="85">
                  <c:v>1260</c:v>
                </c:pt>
                <c:pt idx="86">
                  <c:v>1270</c:v>
                </c:pt>
                <c:pt idx="87">
                  <c:v>1280</c:v>
                </c:pt>
                <c:pt idx="88">
                  <c:v>1290</c:v>
                </c:pt>
                <c:pt idx="89">
                  <c:v>1300</c:v>
                </c:pt>
                <c:pt idx="90">
                  <c:v>1310</c:v>
                </c:pt>
                <c:pt idx="91">
                  <c:v>1320</c:v>
                </c:pt>
                <c:pt idx="92">
                  <c:v>1330</c:v>
                </c:pt>
                <c:pt idx="93">
                  <c:v>1340</c:v>
                </c:pt>
                <c:pt idx="94">
                  <c:v>1350</c:v>
                </c:pt>
                <c:pt idx="95">
                  <c:v>1360</c:v>
                </c:pt>
                <c:pt idx="96">
                  <c:v>1370</c:v>
                </c:pt>
                <c:pt idx="97">
                  <c:v>1380</c:v>
                </c:pt>
                <c:pt idx="98">
                  <c:v>1390</c:v>
                </c:pt>
                <c:pt idx="99">
                  <c:v>1400</c:v>
                </c:pt>
                <c:pt idx="100">
                  <c:v>1410</c:v>
                </c:pt>
                <c:pt idx="101">
                  <c:v>1420</c:v>
                </c:pt>
                <c:pt idx="102">
                  <c:v>1430</c:v>
                </c:pt>
                <c:pt idx="103">
                  <c:v>1440</c:v>
                </c:pt>
                <c:pt idx="104">
                  <c:v>1450</c:v>
                </c:pt>
                <c:pt idx="105">
                  <c:v>1460</c:v>
                </c:pt>
                <c:pt idx="106">
                  <c:v>1470</c:v>
                </c:pt>
                <c:pt idx="107">
                  <c:v>1480</c:v>
                </c:pt>
                <c:pt idx="108">
                  <c:v>1490</c:v>
                </c:pt>
                <c:pt idx="109">
                  <c:v>1500</c:v>
                </c:pt>
                <c:pt idx="110">
                  <c:v>1510</c:v>
                </c:pt>
                <c:pt idx="111">
                  <c:v>1520</c:v>
                </c:pt>
                <c:pt idx="112">
                  <c:v>1530</c:v>
                </c:pt>
                <c:pt idx="113">
                  <c:v>1540</c:v>
                </c:pt>
                <c:pt idx="114">
                  <c:v>1550</c:v>
                </c:pt>
                <c:pt idx="115">
                  <c:v>1560</c:v>
                </c:pt>
                <c:pt idx="116">
                  <c:v>1570</c:v>
                </c:pt>
                <c:pt idx="117">
                  <c:v>1580</c:v>
                </c:pt>
                <c:pt idx="118">
                  <c:v>1590</c:v>
                </c:pt>
                <c:pt idx="119">
                  <c:v>1600</c:v>
                </c:pt>
                <c:pt idx="120">
                  <c:v>1610</c:v>
                </c:pt>
                <c:pt idx="121">
                  <c:v>1620</c:v>
                </c:pt>
                <c:pt idx="122">
                  <c:v>1630</c:v>
                </c:pt>
                <c:pt idx="123">
                  <c:v>1640</c:v>
                </c:pt>
                <c:pt idx="124">
                  <c:v>1650</c:v>
                </c:pt>
                <c:pt idx="125">
                  <c:v>1660</c:v>
                </c:pt>
                <c:pt idx="126">
                  <c:v>1670</c:v>
                </c:pt>
                <c:pt idx="127">
                  <c:v>1680</c:v>
                </c:pt>
                <c:pt idx="128">
                  <c:v>1690</c:v>
                </c:pt>
                <c:pt idx="129">
                  <c:v>1700</c:v>
                </c:pt>
                <c:pt idx="130">
                  <c:v>1710</c:v>
                </c:pt>
                <c:pt idx="131">
                  <c:v>1720</c:v>
                </c:pt>
                <c:pt idx="132">
                  <c:v>1730</c:v>
                </c:pt>
                <c:pt idx="133">
                  <c:v>1740</c:v>
                </c:pt>
                <c:pt idx="134">
                  <c:v>1750</c:v>
                </c:pt>
                <c:pt idx="135">
                  <c:v>1760</c:v>
                </c:pt>
                <c:pt idx="136">
                  <c:v>1770</c:v>
                </c:pt>
                <c:pt idx="137">
                  <c:v>1780</c:v>
                </c:pt>
                <c:pt idx="138">
                  <c:v>1790</c:v>
                </c:pt>
                <c:pt idx="139">
                  <c:v>1800</c:v>
                </c:pt>
                <c:pt idx="140">
                  <c:v>1810</c:v>
                </c:pt>
                <c:pt idx="141">
                  <c:v>1820</c:v>
                </c:pt>
                <c:pt idx="142">
                  <c:v>1830</c:v>
                </c:pt>
                <c:pt idx="143">
                  <c:v>1840</c:v>
                </c:pt>
                <c:pt idx="144">
                  <c:v>1850</c:v>
                </c:pt>
                <c:pt idx="145">
                  <c:v>1860</c:v>
                </c:pt>
                <c:pt idx="146">
                  <c:v>1870</c:v>
                </c:pt>
                <c:pt idx="147">
                  <c:v>1880</c:v>
                </c:pt>
                <c:pt idx="148">
                  <c:v>1890</c:v>
                </c:pt>
                <c:pt idx="149">
                  <c:v>1900</c:v>
                </c:pt>
                <c:pt idx="150">
                  <c:v>1910</c:v>
                </c:pt>
                <c:pt idx="151">
                  <c:v>1920</c:v>
                </c:pt>
                <c:pt idx="152">
                  <c:v>1930</c:v>
                </c:pt>
                <c:pt idx="153">
                  <c:v>1940</c:v>
                </c:pt>
                <c:pt idx="154">
                  <c:v>1950</c:v>
                </c:pt>
                <c:pt idx="155">
                  <c:v>1960</c:v>
                </c:pt>
                <c:pt idx="156">
                  <c:v>1970</c:v>
                </c:pt>
                <c:pt idx="157">
                  <c:v>1980</c:v>
                </c:pt>
                <c:pt idx="158">
                  <c:v>1990</c:v>
                </c:pt>
                <c:pt idx="159">
                  <c:v>2000</c:v>
                </c:pt>
                <c:pt idx="160">
                  <c:v>2010</c:v>
                </c:pt>
                <c:pt idx="161">
                  <c:v>2020</c:v>
                </c:pt>
                <c:pt idx="162">
                  <c:v>2030</c:v>
                </c:pt>
                <c:pt idx="163">
                  <c:v>2040</c:v>
                </c:pt>
                <c:pt idx="164">
                  <c:v>2050</c:v>
                </c:pt>
                <c:pt idx="165">
                  <c:v>2060</c:v>
                </c:pt>
                <c:pt idx="166">
                  <c:v>2070</c:v>
                </c:pt>
                <c:pt idx="167">
                  <c:v>2080</c:v>
                </c:pt>
                <c:pt idx="168">
                  <c:v>2090</c:v>
                </c:pt>
                <c:pt idx="169">
                  <c:v>2100</c:v>
                </c:pt>
                <c:pt idx="170">
                  <c:v>2110</c:v>
                </c:pt>
                <c:pt idx="171">
                  <c:v>2120</c:v>
                </c:pt>
                <c:pt idx="172">
                  <c:v>2130</c:v>
                </c:pt>
                <c:pt idx="173">
                  <c:v>2140</c:v>
                </c:pt>
                <c:pt idx="174">
                  <c:v>2150</c:v>
                </c:pt>
                <c:pt idx="175">
                  <c:v>2160</c:v>
                </c:pt>
                <c:pt idx="176">
                  <c:v>2170</c:v>
                </c:pt>
                <c:pt idx="177">
                  <c:v>2180</c:v>
                </c:pt>
                <c:pt idx="178">
                  <c:v>2190</c:v>
                </c:pt>
                <c:pt idx="179">
                  <c:v>2200</c:v>
                </c:pt>
                <c:pt idx="180">
                  <c:v>2210</c:v>
                </c:pt>
                <c:pt idx="181">
                  <c:v>2220</c:v>
                </c:pt>
                <c:pt idx="182">
                  <c:v>2230</c:v>
                </c:pt>
                <c:pt idx="183">
                  <c:v>2240</c:v>
                </c:pt>
                <c:pt idx="184">
                  <c:v>2250</c:v>
                </c:pt>
                <c:pt idx="185">
                  <c:v>2260</c:v>
                </c:pt>
                <c:pt idx="186">
                  <c:v>2270</c:v>
                </c:pt>
                <c:pt idx="187">
                  <c:v>2280</c:v>
                </c:pt>
                <c:pt idx="188">
                  <c:v>2290</c:v>
                </c:pt>
                <c:pt idx="189">
                  <c:v>2300</c:v>
                </c:pt>
                <c:pt idx="190">
                  <c:v>2310</c:v>
                </c:pt>
                <c:pt idx="191">
                  <c:v>2320</c:v>
                </c:pt>
                <c:pt idx="192">
                  <c:v>2330</c:v>
                </c:pt>
                <c:pt idx="193">
                  <c:v>2340</c:v>
                </c:pt>
                <c:pt idx="194">
                  <c:v>2350</c:v>
                </c:pt>
                <c:pt idx="195">
                  <c:v>2360</c:v>
                </c:pt>
                <c:pt idx="196">
                  <c:v>2370</c:v>
                </c:pt>
                <c:pt idx="197">
                  <c:v>2380</c:v>
                </c:pt>
                <c:pt idx="198">
                  <c:v>2390</c:v>
                </c:pt>
                <c:pt idx="199">
                  <c:v>2400</c:v>
                </c:pt>
                <c:pt idx="200">
                  <c:v>2410</c:v>
                </c:pt>
                <c:pt idx="201">
                  <c:v>2420</c:v>
                </c:pt>
                <c:pt idx="202">
                  <c:v>2430</c:v>
                </c:pt>
                <c:pt idx="203">
                  <c:v>2440</c:v>
                </c:pt>
                <c:pt idx="204">
                  <c:v>2450</c:v>
                </c:pt>
                <c:pt idx="205">
                  <c:v>2460</c:v>
                </c:pt>
                <c:pt idx="206">
                  <c:v>2470</c:v>
                </c:pt>
                <c:pt idx="207">
                  <c:v>2480</c:v>
                </c:pt>
                <c:pt idx="208">
                  <c:v>2490</c:v>
                </c:pt>
                <c:pt idx="209">
                  <c:v>2500</c:v>
                </c:pt>
                <c:pt idx="210">
                  <c:v>2510</c:v>
                </c:pt>
                <c:pt idx="211">
                  <c:v>2520</c:v>
                </c:pt>
                <c:pt idx="212">
                  <c:v>2530</c:v>
                </c:pt>
                <c:pt idx="213">
                  <c:v>2540</c:v>
                </c:pt>
                <c:pt idx="214">
                  <c:v>2550</c:v>
                </c:pt>
                <c:pt idx="215">
                  <c:v>2560</c:v>
                </c:pt>
                <c:pt idx="216">
                  <c:v>2570</c:v>
                </c:pt>
                <c:pt idx="217">
                  <c:v>2580</c:v>
                </c:pt>
                <c:pt idx="218">
                  <c:v>2590</c:v>
                </c:pt>
                <c:pt idx="219">
                  <c:v>2600</c:v>
                </c:pt>
              </c:numCache>
            </c:numRef>
          </c:xVal>
          <c:yVal>
            <c:numRef>
              <c:f>Sheet1!$AQ$17:$AQ$236</c:f>
              <c:numCache>
                <c:formatCode>0.00</c:formatCode>
                <c:ptCount val="220"/>
                <c:pt idx="0">
                  <c:v>14</c:v>
                </c:pt>
                <c:pt idx="1">
                  <c:v>14</c:v>
                </c:pt>
                <c:pt idx="2">
                  <c:v>14</c:v>
                </c:pt>
                <c:pt idx="3">
                  <c:v>14</c:v>
                </c:pt>
                <c:pt idx="4">
                  <c:v>14</c:v>
                </c:pt>
                <c:pt idx="5">
                  <c:v>14</c:v>
                </c:pt>
                <c:pt idx="6">
                  <c:v>14</c:v>
                </c:pt>
                <c:pt idx="7">
                  <c:v>14</c:v>
                </c:pt>
                <c:pt idx="8">
                  <c:v>14</c:v>
                </c:pt>
                <c:pt idx="9">
                  <c:v>14</c:v>
                </c:pt>
                <c:pt idx="10">
                  <c:v>14</c:v>
                </c:pt>
                <c:pt idx="11">
                  <c:v>14</c:v>
                </c:pt>
                <c:pt idx="12">
                  <c:v>14</c:v>
                </c:pt>
                <c:pt idx="13">
                  <c:v>14</c:v>
                </c:pt>
                <c:pt idx="14">
                  <c:v>14</c:v>
                </c:pt>
                <c:pt idx="15">
                  <c:v>14</c:v>
                </c:pt>
                <c:pt idx="16">
                  <c:v>14</c:v>
                </c:pt>
                <c:pt idx="17">
                  <c:v>14</c:v>
                </c:pt>
                <c:pt idx="18">
                  <c:v>14</c:v>
                </c:pt>
                <c:pt idx="19">
                  <c:v>14</c:v>
                </c:pt>
                <c:pt idx="20">
                  <c:v>14</c:v>
                </c:pt>
                <c:pt idx="21">
                  <c:v>14</c:v>
                </c:pt>
                <c:pt idx="22">
                  <c:v>14</c:v>
                </c:pt>
                <c:pt idx="23">
                  <c:v>14</c:v>
                </c:pt>
                <c:pt idx="24">
                  <c:v>14</c:v>
                </c:pt>
                <c:pt idx="25">
                  <c:v>14</c:v>
                </c:pt>
                <c:pt idx="26">
                  <c:v>14</c:v>
                </c:pt>
                <c:pt idx="27">
                  <c:v>14</c:v>
                </c:pt>
                <c:pt idx="28">
                  <c:v>14</c:v>
                </c:pt>
                <c:pt idx="29">
                  <c:v>14</c:v>
                </c:pt>
                <c:pt idx="30">
                  <c:v>14</c:v>
                </c:pt>
                <c:pt idx="31">
                  <c:v>14</c:v>
                </c:pt>
                <c:pt idx="32">
                  <c:v>14</c:v>
                </c:pt>
                <c:pt idx="33">
                  <c:v>14</c:v>
                </c:pt>
                <c:pt idx="34">
                  <c:v>17.440000000000001</c:v>
                </c:pt>
                <c:pt idx="35">
                  <c:v>17.440000000000001</c:v>
                </c:pt>
                <c:pt idx="36">
                  <c:v>17.440000000000001</c:v>
                </c:pt>
                <c:pt idx="37">
                  <c:v>17.440000000000001</c:v>
                </c:pt>
                <c:pt idx="38">
                  <c:v>17.440000000000001</c:v>
                </c:pt>
                <c:pt idx="39">
                  <c:v>17.440000000000001</c:v>
                </c:pt>
                <c:pt idx="40">
                  <c:v>17.440000000000001</c:v>
                </c:pt>
                <c:pt idx="41">
                  <c:v>17.440000000000001</c:v>
                </c:pt>
                <c:pt idx="42">
                  <c:v>17.440000000000001</c:v>
                </c:pt>
                <c:pt idx="43">
                  <c:v>17.440000000000001</c:v>
                </c:pt>
                <c:pt idx="44">
                  <c:v>17.440000000000001</c:v>
                </c:pt>
                <c:pt idx="45">
                  <c:v>17.440000000000001</c:v>
                </c:pt>
                <c:pt idx="46">
                  <c:v>17.440000000000001</c:v>
                </c:pt>
                <c:pt idx="47">
                  <c:v>17.440000000000001</c:v>
                </c:pt>
                <c:pt idx="48">
                  <c:v>17.440000000000001</c:v>
                </c:pt>
                <c:pt idx="49">
                  <c:v>17.440000000000001</c:v>
                </c:pt>
                <c:pt idx="50">
                  <c:v>17.440000000000001</c:v>
                </c:pt>
                <c:pt idx="51">
                  <c:v>17.440000000000001</c:v>
                </c:pt>
                <c:pt idx="52">
                  <c:v>17.440000000000001</c:v>
                </c:pt>
                <c:pt idx="53">
                  <c:v>17.440000000000001</c:v>
                </c:pt>
                <c:pt idx="54">
                  <c:v>17.440000000000001</c:v>
                </c:pt>
                <c:pt idx="55">
                  <c:v>17.440000000000001</c:v>
                </c:pt>
                <c:pt idx="56">
                  <c:v>17.440000000000001</c:v>
                </c:pt>
                <c:pt idx="57">
                  <c:v>17.440000000000001</c:v>
                </c:pt>
                <c:pt idx="58">
                  <c:v>17.440000000000001</c:v>
                </c:pt>
                <c:pt idx="59">
                  <c:v>17.440000000000001</c:v>
                </c:pt>
                <c:pt idx="60">
                  <c:v>17.440000000000001</c:v>
                </c:pt>
                <c:pt idx="61">
                  <c:v>17.440000000000001</c:v>
                </c:pt>
                <c:pt idx="62">
                  <c:v>17.440000000000001</c:v>
                </c:pt>
                <c:pt idx="63">
                  <c:v>17.440000000000001</c:v>
                </c:pt>
                <c:pt idx="64">
                  <c:v>19.809999999999999</c:v>
                </c:pt>
                <c:pt idx="65">
                  <c:v>19.809999999999999</c:v>
                </c:pt>
                <c:pt idx="66">
                  <c:v>19.809999999999999</c:v>
                </c:pt>
                <c:pt idx="67">
                  <c:v>19.809999999999999</c:v>
                </c:pt>
                <c:pt idx="68">
                  <c:v>19.809999999999999</c:v>
                </c:pt>
                <c:pt idx="69">
                  <c:v>19.809999999999999</c:v>
                </c:pt>
                <c:pt idx="70">
                  <c:v>19.809999999999999</c:v>
                </c:pt>
                <c:pt idx="71">
                  <c:v>19.809999999999999</c:v>
                </c:pt>
                <c:pt idx="72">
                  <c:v>19.809999999999999</c:v>
                </c:pt>
                <c:pt idx="73">
                  <c:v>19.809999999999999</c:v>
                </c:pt>
                <c:pt idx="74">
                  <c:v>19.809999999999999</c:v>
                </c:pt>
                <c:pt idx="75">
                  <c:v>19.809999999999999</c:v>
                </c:pt>
                <c:pt idx="76">
                  <c:v>19.809999999999999</c:v>
                </c:pt>
                <c:pt idx="77">
                  <c:v>19.809999999999999</c:v>
                </c:pt>
                <c:pt idx="78">
                  <c:v>19.809999999999999</c:v>
                </c:pt>
                <c:pt idx="79">
                  <c:v>19.809999999999999</c:v>
                </c:pt>
                <c:pt idx="80">
                  <c:v>19.809999999999999</c:v>
                </c:pt>
                <c:pt idx="81">
                  <c:v>19.809999999999999</c:v>
                </c:pt>
                <c:pt idx="82">
                  <c:v>19.809999999999999</c:v>
                </c:pt>
                <c:pt idx="83">
                  <c:v>19.809999999999999</c:v>
                </c:pt>
                <c:pt idx="84">
                  <c:v>19.809999999999999</c:v>
                </c:pt>
                <c:pt idx="85">
                  <c:v>19.809999999999999</c:v>
                </c:pt>
                <c:pt idx="86">
                  <c:v>19.809999999999999</c:v>
                </c:pt>
                <c:pt idx="87">
                  <c:v>19.809999999999999</c:v>
                </c:pt>
                <c:pt idx="88">
                  <c:v>19.809999999999999</c:v>
                </c:pt>
                <c:pt idx="89">
                  <c:v>19.809999999999999</c:v>
                </c:pt>
                <c:pt idx="90">
                  <c:v>19.809999999999999</c:v>
                </c:pt>
                <c:pt idx="91">
                  <c:v>19.809999999999999</c:v>
                </c:pt>
                <c:pt idx="92">
                  <c:v>19.809999999999999</c:v>
                </c:pt>
                <c:pt idx="93">
                  <c:v>19.809999999999999</c:v>
                </c:pt>
                <c:pt idx="94">
                  <c:v>19.809999999999999</c:v>
                </c:pt>
                <c:pt idx="95">
                  <c:v>19.809999999999999</c:v>
                </c:pt>
                <c:pt idx="96">
                  <c:v>19.809999999999999</c:v>
                </c:pt>
                <c:pt idx="97">
                  <c:v>19.809999999999999</c:v>
                </c:pt>
                <c:pt idx="98">
                  <c:v>19.809999999999999</c:v>
                </c:pt>
                <c:pt idx="99">
                  <c:v>19.809999999999999</c:v>
                </c:pt>
                <c:pt idx="100">
                  <c:v>19.809999999999999</c:v>
                </c:pt>
                <c:pt idx="101">
                  <c:v>19.809999999999999</c:v>
                </c:pt>
                <c:pt idx="102">
                  <c:v>19.809999999999999</c:v>
                </c:pt>
                <c:pt idx="103">
                  <c:v>19.809999999999999</c:v>
                </c:pt>
                <c:pt idx="104">
                  <c:v>19.809999999999999</c:v>
                </c:pt>
                <c:pt idx="105">
                  <c:v>19.809999999999999</c:v>
                </c:pt>
                <c:pt idx="106">
                  <c:v>19.809999999999999</c:v>
                </c:pt>
                <c:pt idx="107">
                  <c:v>19.809999999999999</c:v>
                </c:pt>
                <c:pt idx="108">
                  <c:v>20.69</c:v>
                </c:pt>
                <c:pt idx="109">
                  <c:v>20.69</c:v>
                </c:pt>
                <c:pt idx="110">
                  <c:v>20.69</c:v>
                </c:pt>
                <c:pt idx="111">
                  <c:v>20.69</c:v>
                </c:pt>
                <c:pt idx="112">
                  <c:v>20.69</c:v>
                </c:pt>
                <c:pt idx="113">
                  <c:v>20.69</c:v>
                </c:pt>
                <c:pt idx="114">
                  <c:v>20.69</c:v>
                </c:pt>
                <c:pt idx="115">
                  <c:v>20.69</c:v>
                </c:pt>
                <c:pt idx="116">
                  <c:v>20.69</c:v>
                </c:pt>
                <c:pt idx="117">
                  <c:v>20.69</c:v>
                </c:pt>
                <c:pt idx="118">
                  <c:v>20.69</c:v>
                </c:pt>
                <c:pt idx="119">
                  <c:v>20.69</c:v>
                </c:pt>
                <c:pt idx="120">
                  <c:v>20.69</c:v>
                </c:pt>
                <c:pt idx="121">
                  <c:v>20.69</c:v>
                </c:pt>
                <c:pt idx="122">
                  <c:v>20.69</c:v>
                </c:pt>
                <c:pt idx="123">
                  <c:v>20.69</c:v>
                </c:pt>
                <c:pt idx="124">
                  <c:v>20.69</c:v>
                </c:pt>
                <c:pt idx="125">
                  <c:v>20.69</c:v>
                </c:pt>
                <c:pt idx="126">
                  <c:v>20.69</c:v>
                </c:pt>
                <c:pt idx="127">
                  <c:v>20.69</c:v>
                </c:pt>
                <c:pt idx="128">
                  <c:v>20.69</c:v>
                </c:pt>
                <c:pt idx="129">
                  <c:v>20.69</c:v>
                </c:pt>
                <c:pt idx="130">
                  <c:v>20.69</c:v>
                </c:pt>
                <c:pt idx="131">
                  <c:v>20.69</c:v>
                </c:pt>
                <c:pt idx="132">
                  <c:v>20.69</c:v>
                </c:pt>
                <c:pt idx="133">
                  <c:v>20.69</c:v>
                </c:pt>
                <c:pt idx="134">
                  <c:v>20.69</c:v>
                </c:pt>
                <c:pt idx="135">
                  <c:v>20.69</c:v>
                </c:pt>
                <c:pt idx="136">
                  <c:v>20.69</c:v>
                </c:pt>
                <c:pt idx="137">
                  <c:v>20.69</c:v>
                </c:pt>
                <c:pt idx="138">
                  <c:v>20.69</c:v>
                </c:pt>
                <c:pt idx="139">
                  <c:v>20.69</c:v>
                </c:pt>
                <c:pt idx="140">
                  <c:v>20.69</c:v>
                </c:pt>
                <c:pt idx="141">
                  <c:v>20.69</c:v>
                </c:pt>
                <c:pt idx="142">
                  <c:v>20.69</c:v>
                </c:pt>
                <c:pt idx="143">
                  <c:v>20.69</c:v>
                </c:pt>
                <c:pt idx="144">
                  <c:v>20.69</c:v>
                </c:pt>
                <c:pt idx="145">
                  <c:v>20.69</c:v>
                </c:pt>
                <c:pt idx="146">
                  <c:v>20.69</c:v>
                </c:pt>
                <c:pt idx="147">
                  <c:v>20.69</c:v>
                </c:pt>
                <c:pt idx="148">
                  <c:v>20.69</c:v>
                </c:pt>
                <c:pt idx="149">
                  <c:v>20.69</c:v>
                </c:pt>
                <c:pt idx="150">
                  <c:v>20.69</c:v>
                </c:pt>
                <c:pt idx="151">
                  <c:v>20.69</c:v>
                </c:pt>
                <c:pt idx="152">
                  <c:v>20.69</c:v>
                </c:pt>
                <c:pt idx="153">
                  <c:v>20.69</c:v>
                </c:pt>
                <c:pt idx="154">
                  <c:v>20.69</c:v>
                </c:pt>
                <c:pt idx="155">
                  <c:v>20.69</c:v>
                </c:pt>
                <c:pt idx="156">
                  <c:v>20.69</c:v>
                </c:pt>
                <c:pt idx="157">
                  <c:v>20.69</c:v>
                </c:pt>
                <c:pt idx="158">
                  <c:v>20.69</c:v>
                </c:pt>
                <c:pt idx="159">
                  <c:v>20.69</c:v>
                </c:pt>
                <c:pt idx="160">
                  <c:v>20.69</c:v>
                </c:pt>
                <c:pt idx="161">
                  <c:v>20.69</c:v>
                </c:pt>
                <c:pt idx="162">
                  <c:v>20.69</c:v>
                </c:pt>
                <c:pt idx="163">
                  <c:v>20.69</c:v>
                </c:pt>
                <c:pt idx="164">
                  <c:v>20.69</c:v>
                </c:pt>
                <c:pt idx="165">
                  <c:v>20.69</c:v>
                </c:pt>
                <c:pt idx="166">
                  <c:v>20.69</c:v>
                </c:pt>
                <c:pt idx="167">
                  <c:v>20.69</c:v>
                </c:pt>
                <c:pt idx="168">
                  <c:v>20.69</c:v>
                </c:pt>
                <c:pt idx="169">
                  <c:v>20.69</c:v>
                </c:pt>
                <c:pt idx="170">
                  <c:v>20.69</c:v>
                </c:pt>
                <c:pt idx="171">
                  <c:v>20.69</c:v>
                </c:pt>
                <c:pt idx="172">
                  <c:v>20.69</c:v>
                </c:pt>
                <c:pt idx="173">
                  <c:v>20.69</c:v>
                </c:pt>
                <c:pt idx="174">
                  <c:v>20.69</c:v>
                </c:pt>
                <c:pt idx="175">
                  <c:v>20.69</c:v>
                </c:pt>
                <c:pt idx="176">
                  <c:v>20.69</c:v>
                </c:pt>
                <c:pt idx="177">
                  <c:v>20.69</c:v>
                </c:pt>
                <c:pt idx="178">
                  <c:v>20.69</c:v>
                </c:pt>
                <c:pt idx="179">
                  <c:v>20.69</c:v>
                </c:pt>
                <c:pt idx="180">
                  <c:v>20.69</c:v>
                </c:pt>
                <c:pt idx="181">
                  <c:v>20.69</c:v>
                </c:pt>
                <c:pt idx="182">
                  <c:v>20.69</c:v>
                </c:pt>
                <c:pt idx="183">
                  <c:v>20.69</c:v>
                </c:pt>
                <c:pt idx="184">
                  <c:v>20.69</c:v>
                </c:pt>
                <c:pt idx="185">
                  <c:v>20.69</c:v>
                </c:pt>
                <c:pt idx="186">
                  <c:v>20.69</c:v>
                </c:pt>
                <c:pt idx="187">
                  <c:v>20.69</c:v>
                </c:pt>
                <c:pt idx="188">
                  <c:v>20.69</c:v>
                </c:pt>
                <c:pt idx="189">
                  <c:v>20.69</c:v>
                </c:pt>
                <c:pt idx="190">
                  <c:v>20.69</c:v>
                </c:pt>
                <c:pt idx="191">
                  <c:v>20.69</c:v>
                </c:pt>
                <c:pt idx="192">
                  <c:v>20.69</c:v>
                </c:pt>
                <c:pt idx="193">
                  <c:v>20.69</c:v>
                </c:pt>
                <c:pt idx="194">
                  <c:v>20.69</c:v>
                </c:pt>
                <c:pt idx="195">
                  <c:v>20.69</c:v>
                </c:pt>
                <c:pt idx="196">
                  <c:v>20.69</c:v>
                </c:pt>
                <c:pt idx="197">
                  <c:v>20.69</c:v>
                </c:pt>
                <c:pt idx="198">
                  <c:v>20.69</c:v>
                </c:pt>
                <c:pt idx="199">
                  <c:v>20.69</c:v>
                </c:pt>
                <c:pt idx="200">
                  <c:v>20.69</c:v>
                </c:pt>
                <c:pt idx="201">
                  <c:v>20.69</c:v>
                </c:pt>
                <c:pt idx="202">
                  <c:v>20.69</c:v>
                </c:pt>
                <c:pt idx="203">
                  <c:v>20.69</c:v>
                </c:pt>
                <c:pt idx="204">
                  <c:v>20.69</c:v>
                </c:pt>
                <c:pt idx="205">
                  <c:v>20.69</c:v>
                </c:pt>
                <c:pt idx="206">
                  <c:v>20.69</c:v>
                </c:pt>
                <c:pt idx="207">
                  <c:v>20.69</c:v>
                </c:pt>
                <c:pt idx="208">
                  <c:v>20.69</c:v>
                </c:pt>
                <c:pt idx="209">
                  <c:v>20.69</c:v>
                </c:pt>
                <c:pt idx="210">
                  <c:v>20.69</c:v>
                </c:pt>
                <c:pt idx="211">
                  <c:v>20.69</c:v>
                </c:pt>
                <c:pt idx="212">
                  <c:v>20.69</c:v>
                </c:pt>
                <c:pt idx="213">
                  <c:v>20.69</c:v>
                </c:pt>
                <c:pt idx="214">
                  <c:v>20.69</c:v>
                </c:pt>
                <c:pt idx="215">
                  <c:v>20.69</c:v>
                </c:pt>
                <c:pt idx="216">
                  <c:v>20.69</c:v>
                </c:pt>
                <c:pt idx="217">
                  <c:v>20.69</c:v>
                </c:pt>
                <c:pt idx="218">
                  <c:v>20.69</c:v>
                </c:pt>
                <c:pt idx="219">
                  <c:v>20.69</c:v>
                </c:pt>
              </c:numCache>
            </c:numRef>
          </c:yVal>
          <c:smooth val="0"/>
          <c:extLst>
            <c:ext xmlns:c16="http://schemas.microsoft.com/office/drawing/2014/chart" uri="{C3380CC4-5D6E-409C-BE32-E72D297353CC}">
              <c16:uniqueId val="{00000003-AAAD-4237-AD3A-4E1AEA973307}"/>
            </c:ext>
          </c:extLst>
        </c:ser>
        <c:ser>
          <c:idx val="3"/>
          <c:order val="4"/>
          <c:tx>
            <c:v>GSL (proyecto, 2019)</c:v>
          </c:tx>
          <c:spPr>
            <a:ln>
              <a:solidFill>
                <a:srgbClr val="50B214"/>
              </a:solidFill>
            </a:ln>
          </c:spPr>
          <c:marker>
            <c:symbol val="none"/>
          </c:marker>
          <c:xVal>
            <c:numRef>
              <c:f>Sheet1!$AR$7:$AR$236</c:f>
              <c:numCache>
                <c:formatCode>General</c:formatCode>
                <c:ptCount val="23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pt idx="60">
                  <c:v>910</c:v>
                </c:pt>
                <c:pt idx="61">
                  <c:v>920</c:v>
                </c:pt>
                <c:pt idx="62">
                  <c:v>930</c:v>
                </c:pt>
                <c:pt idx="63">
                  <c:v>940</c:v>
                </c:pt>
                <c:pt idx="64">
                  <c:v>950</c:v>
                </c:pt>
                <c:pt idx="65">
                  <c:v>960</c:v>
                </c:pt>
                <c:pt idx="66">
                  <c:v>970</c:v>
                </c:pt>
                <c:pt idx="67">
                  <c:v>980</c:v>
                </c:pt>
                <c:pt idx="68">
                  <c:v>990</c:v>
                </c:pt>
                <c:pt idx="69">
                  <c:v>1000</c:v>
                </c:pt>
                <c:pt idx="70">
                  <c:v>1010</c:v>
                </c:pt>
                <c:pt idx="71">
                  <c:v>1020</c:v>
                </c:pt>
                <c:pt idx="72">
                  <c:v>1030</c:v>
                </c:pt>
                <c:pt idx="73">
                  <c:v>1040</c:v>
                </c:pt>
                <c:pt idx="74">
                  <c:v>1050</c:v>
                </c:pt>
                <c:pt idx="75">
                  <c:v>1060</c:v>
                </c:pt>
                <c:pt idx="76">
                  <c:v>1070</c:v>
                </c:pt>
                <c:pt idx="77">
                  <c:v>1080</c:v>
                </c:pt>
                <c:pt idx="78">
                  <c:v>1090</c:v>
                </c:pt>
                <c:pt idx="79">
                  <c:v>1100</c:v>
                </c:pt>
                <c:pt idx="80">
                  <c:v>1110</c:v>
                </c:pt>
                <c:pt idx="81">
                  <c:v>1120</c:v>
                </c:pt>
                <c:pt idx="82">
                  <c:v>1130</c:v>
                </c:pt>
                <c:pt idx="83">
                  <c:v>1140</c:v>
                </c:pt>
                <c:pt idx="84">
                  <c:v>1150</c:v>
                </c:pt>
                <c:pt idx="85">
                  <c:v>1160</c:v>
                </c:pt>
                <c:pt idx="86">
                  <c:v>1170</c:v>
                </c:pt>
                <c:pt idx="87">
                  <c:v>1180</c:v>
                </c:pt>
                <c:pt idx="88">
                  <c:v>1190</c:v>
                </c:pt>
                <c:pt idx="89">
                  <c:v>1200</c:v>
                </c:pt>
                <c:pt idx="90">
                  <c:v>1210</c:v>
                </c:pt>
                <c:pt idx="91">
                  <c:v>1220</c:v>
                </c:pt>
                <c:pt idx="92">
                  <c:v>1230</c:v>
                </c:pt>
                <c:pt idx="93">
                  <c:v>1240</c:v>
                </c:pt>
                <c:pt idx="94">
                  <c:v>1250</c:v>
                </c:pt>
                <c:pt idx="95">
                  <c:v>1260</c:v>
                </c:pt>
                <c:pt idx="96">
                  <c:v>1270</c:v>
                </c:pt>
                <c:pt idx="97">
                  <c:v>1280</c:v>
                </c:pt>
                <c:pt idx="98">
                  <c:v>1290</c:v>
                </c:pt>
                <c:pt idx="99">
                  <c:v>1300</c:v>
                </c:pt>
                <c:pt idx="100">
                  <c:v>1310</c:v>
                </c:pt>
                <c:pt idx="101">
                  <c:v>1320</c:v>
                </c:pt>
                <c:pt idx="102">
                  <c:v>1330</c:v>
                </c:pt>
                <c:pt idx="103">
                  <c:v>1340</c:v>
                </c:pt>
                <c:pt idx="104">
                  <c:v>1350</c:v>
                </c:pt>
                <c:pt idx="105">
                  <c:v>1360</c:v>
                </c:pt>
                <c:pt idx="106">
                  <c:v>1370</c:v>
                </c:pt>
                <c:pt idx="107">
                  <c:v>1380</c:v>
                </c:pt>
                <c:pt idx="108">
                  <c:v>1390</c:v>
                </c:pt>
                <c:pt idx="109">
                  <c:v>1400</c:v>
                </c:pt>
                <c:pt idx="110">
                  <c:v>1410</c:v>
                </c:pt>
                <c:pt idx="111">
                  <c:v>1420</c:v>
                </c:pt>
                <c:pt idx="112">
                  <c:v>1430</c:v>
                </c:pt>
                <c:pt idx="113">
                  <c:v>1440</c:v>
                </c:pt>
                <c:pt idx="114">
                  <c:v>1450</c:v>
                </c:pt>
                <c:pt idx="115">
                  <c:v>1460</c:v>
                </c:pt>
                <c:pt idx="116">
                  <c:v>1470</c:v>
                </c:pt>
                <c:pt idx="117">
                  <c:v>1480</c:v>
                </c:pt>
                <c:pt idx="118">
                  <c:v>1490</c:v>
                </c:pt>
                <c:pt idx="119">
                  <c:v>1500</c:v>
                </c:pt>
                <c:pt idx="120">
                  <c:v>1510</c:v>
                </c:pt>
                <c:pt idx="121">
                  <c:v>1520</c:v>
                </c:pt>
                <c:pt idx="122">
                  <c:v>1530</c:v>
                </c:pt>
                <c:pt idx="123">
                  <c:v>1540</c:v>
                </c:pt>
                <c:pt idx="124">
                  <c:v>1550</c:v>
                </c:pt>
                <c:pt idx="125">
                  <c:v>1560</c:v>
                </c:pt>
                <c:pt idx="126">
                  <c:v>1570</c:v>
                </c:pt>
                <c:pt idx="127">
                  <c:v>1580</c:v>
                </c:pt>
                <c:pt idx="128">
                  <c:v>1590</c:v>
                </c:pt>
                <c:pt idx="129">
                  <c:v>1600</c:v>
                </c:pt>
                <c:pt idx="130">
                  <c:v>1610</c:v>
                </c:pt>
                <c:pt idx="131">
                  <c:v>1620</c:v>
                </c:pt>
                <c:pt idx="132">
                  <c:v>1630</c:v>
                </c:pt>
                <c:pt idx="133">
                  <c:v>1640</c:v>
                </c:pt>
                <c:pt idx="134">
                  <c:v>1650</c:v>
                </c:pt>
                <c:pt idx="135">
                  <c:v>1660</c:v>
                </c:pt>
                <c:pt idx="136">
                  <c:v>1670</c:v>
                </c:pt>
                <c:pt idx="137">
                  <c:v>1680</c:v>
                </c:pt>
                <c:pt idx="138">
                  <c:v>1690</c:v>
                </c:pt>
                <c:pt idx="139">
                  <c:v>1700</c:v>
                </c:pt>
                <c:pt idx="140">
                  <c:v>1710</c:v>
                </c:pt>
                <c:pt idx="141">
                  <c:v>1720</c:v>
                </c:pt>
                <c:pt idx="142">
                  <c:v>1730</c:v>
                </c:pt>
                <c:pt idx="143">
                  <c:v>1740</c:v>
                </c:pt>
                <c:pt idx="144">
                  <c:v>1750</c:v>
                </c:pt>
                <c:pt idx="145">
                  <c:v>1760</c:v>
                </c:pt>
                <c:pt idx="146">
                  <c:v>1770</c:v>
                </c:pt>
                <c:pt idx="147">
                  <c:v>1780</c:v>
                </c:pt>
                <c:pt idx="148">
                  <c:v>1790</c:v>
                </c:pt>
                <c:pt idx="149">
                  <c:v>1800</c:v>
                </c:pt>
                <c:pt idx="150">
                  <c:v>1810</c:v>
                </c:pt>
                <c:pt idx="151">
                  <c:v>1820</c:v>
                </c:pt>
                <c:pt idx="152">
                  <c:v>1830</c:v>
                </c:pt>
                <c:pt idx="153">
                  <c:v>1840</c:v>
                </c:pt>
                <c:pt idx="154">
                  <c:v>1850</c:v>
                </c:pt>
                <c:pt idx="155">
                  <c:v>1860</c:v>
                </c:pt>
                <c:pt idx="156">
                  <c:v>1870</c:v>
                </c:pt>
                <c:pt idx="157">
                  <c:v>1880</c:v>
                </c:pt>
                <c:pt idx="158">
                  <c:v>1890</c:v>
                </c:pt>
                <c:pt idx="159">
                  <c:v>1900</c:v>
                </c:pt>
                <c:pt idx="160">
                  <c:v>1910</c:v>
                </c:pt>
                <c:pt idx="161">
                  <c:v>1920</c:v>
                </c:pt>
                <c:pt idx="162">
                  <c:v>1930</c:v>
                </c:pt>
                <c:pt idx="163">
                  <c:v>1940</c:v>
                </c:pt>
                <c:pt idx="164">
                  <c:v>1950</c:v>
                </c:pt>
                <c:pt idx="165">
                  <c:v>1960</c:v>
                </c:pt>
                <c:pt idx="166">
                  <c:v>1970</c:v>
                </c:pt>
                <c:pt idx="167">
                  <c:v>1980</c:v>
                </c:pt>
                <c:pt idx="168">
                  <c:v>1990</c:v>
                </c:pt>
                <c:pt idx="169">
                  <c:v>2000</c:v>
                </c:pt>
                <c:pt idx="170">
                  <c:v>2010</c:v>
                </c:pt>
                <c:pt idx="171">
                  <c:v>2020</c:v>
                </c:pt>
                <c:pt idx="172">
                  <c:v>2030</c:v>
                </c:pt>
                <c:pt idx="173">
                  <c:v>2040</c:v>
                </c:pt>
                <c:pt idx="174">
                  <c:v>2050</c:v>
                </c:pt>
                <c:pt idx="175">
                  <c:v>2060</c:v>
                </c:pt>
                <c:pt idx="176">
                  <c:v>2070</c:v>
                </c:pt>
                <c:pt idx="177">
                  <c:v>2080</c:v>
                </c:pt>
                <c:pt idx="178">
                  <c:v>2090</c:v>
                </c:pt>
                <c:pt idx="179">
                  <c:v>2100</c:v>
                </c:pt>
                <c:pt idx="180">
                  <c:v>2110</c:v>
                </c:pt>
                <c:pt idx="181">
                  <c:v>2120</c:v>
                </c:pt>
                <c:pt idx="182">
                  <c:v>2130</c:v>
                </c:pt>
                <c:pt idx="183">
                  <c:v>2140</c:v>
                </c:pt>
                <c:pt idx="184">
                  <c:v>2150</c:v>
                </c:pt>
                <c:pt idx="185">
                  <c:v>2160</c:v>
                </c:pt>
                <c:pt idx="186">
                  <c:v>2170</c:v>
                </c:pt>
                <c:pt idx="187">
                  <c:v>2180</c:v>
                </c:pt>
                <c:pt idx="188">
                  <c:v>2190</c:v>
                </c:pt>
                <c:pt idx="189">
                  <c:v>2200</c:v>
                </c:pt>
                <c:pt idx="190">
                  <c:v>2210</c:v>
                </c:pt>
                <c:pt idx="191">
                  <c:v>2220</c:v>
                </c:pt>
                <c:pt idx="192">
                  <c:v>2230</c:v>
                </c:pt>
                <c:pt idx="193">
                  <c:v>2240</c:v>
                </c:pt>
                <c:pt idx="194">
                  <c:v>2250</c:v>
                </c:pt>
                <c:pt idx="195">
                  <c:v>2260</c:v>
                </c:pt>
                <c:pt idx="196">
                  <c:v>2270</c:v>
                </c:pt>
                <c:pt idx="197">
                  <c:v>2280</c:v>
                </c:pt>
                <c:pt idx="198">
                  <c:v>2290</c:v>
                </c:pt>
                <c:pt idx="199">
                  <c:v>2300</c:v>
                </c:pt>
                <c:pt idx="200">
                  <c:v>2310</c:v>
                </c:pt>
                <c:pt idx="201">
                  <c:v>2320</c:v>
                </c:pt>
                <c:pt idx="202">
                  <c:v>2330</c:v>
                </c:pt>
                <c:pt idx="203">
                  <c:v>2340</c:v>
                </c:pt>
                <c:pt idx="204">
                  <c:v>2350</c:v>
                </c:pt>
                <c:pt idx="205">
                  <c:v>2360</c:v>
                </c:pt>
                <c:pt idx="206">
                  <c:v>2370</c:v>
                </c:pt>
                <c:pt idx="207">
                  <c:v>2380</c:v>
                </c:pt>
                <c:pt idx="208">
                  <c:v>2390</c:v>
                </c:pt>
                <c:pt idx="209">
                  <c:v>2400</c:v>
                </c:pt>
                <c:pt idx="210">
                  <c:v>2410</c:v>
                </c:pt>
                <c:pt idx="211">
                  <c:v>2420</c:v>
                </c:pt>
                <c:pt idx="212">
                  <c:v>2430</c:v>
                </c:pt>
                <c:pt idx="213">
                  <c:v>2440</c:v>
                </c:pt>
                <c:pt idx="214">
                  <c:v>2450</c:v>
                </c:pt>
                <c:pt idx="215">
                  <c:v>2460</c:v>
                </c:pt>
                <c:pt idx="216">
                  <c:v>2470</c:v>
                </c:pt>
                <c:pt idx="217">
                  <c:v>2480</c:v>
                </c:pt>
                <c:pt idx="218">
                  <c:v>2490</c:v>
                </c:pt>
                <c:pt idx="219">
                  <c:v>2500</c:v>
                </c:pt>
                <c:pt idx="220">
                  <c:v>2510</c:v>
                </c:pt>
                <c:pt idx="221">
                  <c:v>2520</c:v>
                </c:pt>
                <c:pt idx="222">
                  <c:v>2530</c:v>
                </c:pt>
                <c:pt idx="223">
                  <c:v>2540</c:v>
                </c:pt>
                <c:pt idx="224">
                  <c:v>2550</c:v>
                </c:pt>
                <c:pt idx="225">
                  <c:v>2560</c:v>
                </c:pt>
                <c:pt idx="226">
                  <c:v>2570</c:v>
                </c:pt>
                <c:pt idx="227">
                  <c:v>2580</c:v>
                </c:pt>
                <c:pt idx="228">
                  <c:v>2590</c:v>
                </c:pt>
                <c:pt idx="229">
                  <c:v>2600</c:v>
                </c:pt>
              </c:numCache>
            </c:numRef>
          </c:xVal>
          <c:yVal>
            <c:numRef>
              <c:f>Sheet1!$AT$7:$AT$236</c:f>
              <c:numCache>
                <c:formatCode>General</c:formatCode>
                <c:ptCount val="230"/>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pt idx="17">
                  <c:v>60</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pt idx="39">
                  <c:v>60</c:v>
                </c:pt>
                <c:pt idx="40">
                  <c:v>60</c:v>
                </c:pt>
                <c:pt idx="41">
                  <c:v>60</c:v>
                </c:pt>
                <c:pt idx="42">
                  <c:v>60</c:v>
                </c:pt>
                <c:pt idx="43">
                  <c:v>60</c:v>
                </c:pt>
                <c:pt idx="44">
                  <c:v>60</c:v>
                </c:pt>
                <c:pt idx="45">
                  <c:v>60</c:v>
                </c:pt>
                <c:pt idx="46">
                  <c:v>60</c:v>
                </c:pt>
                <c:pt idx="47">
                  <c:v>60</c:v>
                </c:pt>
                <c:pt idx="48">
                  <c:v>60</c:v>
                </c:pt>
                <c:pt idx="49">
                  <c:v>60</c:v>
                </c:pt>
                <c:pt idx="50">
                  <c:v>60</c:v>
                </c:pt>
                <c:pt idx="51">
                  <c:v>60</c:v>
                </c:pt>
                <c:pt idx="52">
                  <c:v>60</c:v>
                </c:pt>
                <c:pt idx="53">
                  <c:v>60</c:v>
                </c:pt>
                <c:pt idx="54">
                  <c:v>60</c:v>
                </c:pt>
                <c:pt idx="55">
                  <c:v>60</c:v>
                </c:pt>
                <c:pt idx="56">
                  <c:v>60</c:v>
                </c:pt>
                <c:pt idx="57">
                  <c:v>60</c:v>
                </c:pt>
                <c:pt idx="58">
                  <c:v>60</c:v>
                </c:pt>
                <c:pt idx="59">
                  <c:v>60</c:v>
                </c:pt>
                <c:pt idx="60">
                  <c:v>60</c:v>
                </c:pt>
                <c:pt idx="61">
                  <c:v>60</c:v>
                </c:pt>
                <c:pt idx="62">
                  <c:v>60</c:v>
                </c:pt>
                <c:pt idx="63">
                  <c:v>60</c:v>
                </c:pt>
                <c:pt idx="64">
                  <c:v>60</c:v>
                </c:pt>
                <c:pt idx="65">
                  <c:v>60</c:v>
                </c:pt>
                <c:pt idx="66">
                  <c:v>60</c:v>
                </c:pt>
                <c:pt idx="67">
                  <c:v>60</c:v>
                </c:pt>
                <c:pt idx="68">
                  <c:v>60</c:v>
                </c:pt>
                <c:pt idx="69">
                  <c:v>60</c:v>
                </c:pt>
                <c:pt idx="70">
                  <c:v>60</c:v>
                </c:pt>
                <c:pt idx="71">
                  <c:v>60</c:v>
                </c:pt>
                <c:pt idx="72">
                  <c:v>60</c:v>
                </c:pt>
                <c:pt idx="73">
                  <c:v>60</c:v>
                </c:pt>
                <c:pt idx="74">
                  <c:v>60</c:v>
                </c:pt>
                <c:pt idx="75">
                  <c:v>60</c:v>
                </c:pt>
                <c:pt idx="76">
                  <c:v>60</c:v>
                </c:pt>
                <c:pt idx="77">
                  <c:v>60</c:v>
                </c:pt>
                <c:pt idx="78">
                  <c:v>60</c:v>
                </c:pt>
                <c:pt idx="79">
                  <c:v>60</c:v>
                </c:pt>
                <c:pt idx="80">
                  <c:v>60</c:v>
                </c:pt>
                <c:pt idx="81">
                  <c:v>60</c:v>
                </c:pt>
                <c:pt idx="82">
                  <c:v>60</c:v>
                </c:pt>
                <c:pt idx="83">
                  <c:v>60</c:v>
                </c:pt>
                <c:pt idx="84">
                  <c:v>60</c:v>
                </c:pt>
                <c:pt idx="85">
                  <c:v>60</c:v>
                </c:pt>
                <c:pt idx="86">
                  <c:v>60</c:v>
                </c:pt>
                <c:pt idx="87">
                  <c:v>60</c:v>
                </c:pt>
                <c:pt idx="88">
                  <c:v>60</c:v>
                </c:pt>
                <c:pt idx="89">
                  <c:v>60</c:v>
                </c:pt>
                <c:pt idx="90">
                  <c:v>60</c:v>
                </c:pt>
                <c:pt idx="91">
                  <c:v>60</c:v>
                </c:pt>
                <c:pt idx="92">
                  <c:v>60</c:v>
                </c:pt>
                <c:pt idx="93">
                  <c:v>60</c:v>
                </c:pt>
                <c:pt idx="94">
                  <c:v>60</c:v>
                </c:pt>
                <c:pt idx="95">
                  <c:v>60</c:v>
                </c:pt>
                <c:pt idx="96">
                  <c:v>60</c:v>
                </c:pt>
                <c:pt idx="97">
                  <c:v>60</c:v>
                </c:pt>
                <c:pt idx="98">
                  <c:v>60</c:v>
                </c:pt>
                <c:pt idx="99">
                  <c:v>60</c:v>
                </c:pt>
                <c:pt idx="100">
                  <c:v>60</c:v>
                </c:pt>
                <c:pt idx="101">
                  <c:v>60</c:v>
                </c:pt>
                <c:pt idx="102">
                  <c:v>60</c:v>
                </c:pt>
                <c:pt idx="103">
                  <c:v>60</c:v>
                </c:pt>
                <c:pt idx="104">
                  <c:v>60</c:v>
                </c:pt>
                <c:pt idx="105">
                  <c:v>60</c:v>
                </c:pt>
                <c:pt idx="106">
                  <c:v>60</c:v>
                </c:pt>
                <c:pt idx="107">
                  <c:v>60</c:v>
                </c:pt>
                <c:pt idx="108">
                  <c:v>60</c:v>
                </c:pt>
                <c:pt idx="109">
                  <c:v>60</c:v>
                </c:pt>
                <c:pt idx="110">
                  <c:v>60</c:v>
                </c:pt>
                <c:pt idx="111">
                  <c:v>60</c:v>
                </c:pt>
                <c:pt idx="112">
                  <c:v>60</c:v>
                </c:pt>
                <c:pt idx="113">
                  <c:v>60</c:v>
                </c:pt>
                <c:pt idx="114">
                  <c:v>60</c:v>
                </c:pt>
                <c:pt idx="115">
                  <c:v>60</c:v>
                </c:pt>
                <c:pt idx="116">
                  <c:v>60</c:v>
                </c:pt>
                <c:pt idx="117">
                  <c:v>60</c:v>
                </c:pt>
                <c:pt idx="118">
                  <c:v>60</c:v>
                </c:pt>
                <c:pt idx="119">
                  <c:v>60</c:v>
                </c:pt>
                <c:pt idx="120">
                  <c:v>60</c:v>
                </c:pt>
                <c:pt idx="121">
                  <c:v>60</c:v>
                </c:pt>
                <c:pt idx="122">
                  <c:v>60</c:v>
                </c:pt>
                <c:pt idx="123">
                  <c:v>60</c:v>
                </c:pt>
                <c:pt idx="124">
                  <c:v>60</c:v>
                </c:pt>
                <c:pt idx="125">
                  <c:v>60</c:v>
                </c:pt>
                <c:pt idx="126">
                  <c:v>60</c:v>
                </c:pt>
                <c:pt idx="127">
                  <c:v>60</c:v>
                </c:pt>
                <c:pt idx="128">
                  <c:v>60</c:v>
                </c:pt>
                <c:pt idx="129">
                  <c:v>60</c:v>
                </c:pt>
                <c:pt idx="130">
                  <c:v>60</c:v>
                </c:pt>
                <c:pt idx="131">
                  <c:v>60</c:v>
                </c:pt>
                <c:pt idx="132">
                  <c:v>60</c:v>
                </c:pt>
                <c:pt idx="133">
                  <c:v>60</c:v>
                </c:pt>
                <c:pt idx="134">
                  <c:v>60</c:v>
                </c:pt>
                <c:pt idx="135">
                  <c:v>60</c:v>
                </c:pt>
                <c:pt idx="136">
                  <c:v>60</c:v>
                </c:pt>
                <c:pt idx="137">
                  <c:v>60</c:v>
                </c:pt>
                <c:pt idx="138">
                  <c:v>60</c:v>
                </c:pt>
                <c:pt idx="139">
                  <c:v>60</c:v>
                </c:pt>
                <c:pt idx="140">
                  <c:v>60</c:v>
                </c:pt>
                <c:pt idx="141">
                  <c:v>60</c:v>
                </c:pt>
                <c:pt idx="142">
                  <c:v>60</c:v>
                </c:pt>
                <c:pt idx="143">
                  <c:v>60</c:v>
                </c:pt>
                <c:pt idx="144">
                  <c:v>60</c:v>
                </c:pt>
                <c:pt idx="145">
                  <c:v>60</c:v>
                </c:pt>
                <c:pt idx="146">
                  <c:v>60</c:v>
                </c:pt>
                <c:pt idx="147">
                  <c:v>60</c:v>
                </c:pt>
                <c:pt idx="148">
                  <c:v>60</c:v>
                </c:pt>
                <c:pt idx="149">
                  <c:v>60</c:v>
                </c:pt>
                <c:pt idx="150">
                  <c:v>60</c:v>
                </c:pt>
                <c:pt idx="151">
                  <c:v>60</c:v>
                </c:pt>
                <c:pt idx="152">
                  <c:v>60</c:v>
                </c:pt>
                <c:pt idx="153">
                  <c:v>60</c:v>
                </c:pt>
                <c:pt idx="154">
                  <c:v>60</c:v>
                </c:pt>
                <c:pt idx="155">
                  <c:v>60</c:v>
                </c:pt>
                <c:pt idx="156">
                  <c:v>60</c:v>
                </c:pt>
                <c:pt idx="157">
                  <c:v>60</c:v>
                </c:pt>
                <c:pt idx="158">
                  <c:v>60</c:v>
                </c:pt>
                <c:pt idx="159">
                  <c:v>60</c:v>
                </c:pt>
                <c:pt idx="160">
                  <c:v>60</c:v>
                </c:pt>
                <c:pt idx="161">
                  <c:v>60</c:v>
                </c:pt>
                <c:pt idx="162">
                  <c:v>60</c:v>
                </c:pt>
                <c:pt idx="163">
                  <c:v>60</c:v>
                </c:pt>
                <c:pt idx="164">
                  <c:v>60</c:v>
                </c:pt>
                <c:pt idx="165">
                  <c:v>60</c:v>
                </c:pt>
                <c:pt idx="166">
                  <c:v>60</c:v>
                </c:pt>
                <c:pt idx="167">
                  <c:v>60</c:v>
                </c:pt>
                <c:pt idx="168">
                  <c:v>60</c:v>
                </c:pt>
                <c:pt idx="169">
                  <c:v>60</c:v>
                </c:pt>
                <c:pt idx="170">
                  <c:v>60</c:v>
                </c:pt>
                <c:pt idx="171">
                  <c:v>60</c:v>
                </c:pt>
                <c:pt idx="172">
                  <c:v>60</c:v>
                </c:pt>
                <c:pt idx="173">
                  <c:v>60</c:v>
                </c:pt>
                <c:pt idx="174">
                  <c:v>60</c:v>
                </c:pt>
                <c:pt idx="175">
                  <c:v>60</c:v>
                </c:pt>
                <c:pt idx="176">
                  <c:v>60</c:v>
                </c:pt>
                <c:pt idx="177">
                  <c:v>60</c:v>
                </c:pt>
                <c:pt idx="178">
                  <c:v>60</c:v>
                </c:pt>
                <c:pt idx="179">
                  <c:v>60</c:v>
                </c:pt>
                <c:pt idx="180">
                  <c:v>60</c:v>
                </c:pt>
                <c:pt idx="181">
                  <c:v>60</c:v>
                </c:pt>
                <c:pt idx="182">
                  <c:v>60</c:v>
                </c:pt>
                <c:pt idx="183">
                  <c:v>60</c:v>
                </c:pt>
                <c:pt idx="184">
                  <c:v>60</c:v>
                </c:pt>
                <c:pt idx="185">
                  <c:v>60</c:v>
                </c:pt>
                <c:pt idx="186">
                  <c:v>60</c:v>
                </c:pt>
                <c:pt idx="187">
                  <c:v>60</c:v>
                </c:pt>
                <c:pt idx="188">
                  <c:v>60</c:v>
                </c:pt>
                <c:pt idx="189">
                  <c:v>60</c:v>
                </c:pt>
                <c:pt idx="190">
                  <c:v>60</c:v>
                </c:pt>
                <c:pt idx="191">
                  <c:v>60</c:v>
                </c:pt>
                <c:pt idx="192">
                  <c:v>60</c:v>
                </c:pt>
                <c:pt idx="193">
                  <c:v>60</c:v>
                </c:pt>
                <c:pt idx="194">
                  <c:v>60</c:v>
                </c:pt>
                <c:pt idx="195">
                  <c:v>60</c:v>
                </c:pt>
                <c:pt idx="196">
                  <c:v>60</c:v>
                </c:pt>
                <c:pt idx="197">
                  <c:v>60</c:v>
                </c:pt>
                <c:pt idx="198">
                  <c:v>60</c:v>
                </c:pt>
                <c:pt idx="199">
                  <c:v>60</c:v>
                </c:pt>
                <c:pt idx="200">
                  <c:v>60</c:v>
                </c:pt>
                <c:pt idx="201">
                  <c:v>60</c:v>
                </c:pt>
                <c:pt idx="202">
                  <c:v>60</c:v>
                </c:pt>
                <c:pt idx="203">
                  <c:v>60</c:v>
                </c:pt>
                <c:pt idx="204">
                  <c:v>60</c:v>
                </c:pt>
                <c:pt idx="205">
                  <c:v>60</c:v>
                </c:pt>
                <c:pt idx="206">
                  <c:v>60</c:v>
                </c:pt>
                <c:pt idx="207">
                  <c:v>60</c:v>
                </c:pt>
                <c:pt idx="208">
                  <c:v>60</c:v>
                </c:pt>
                <c:pt idx="209">
                  <c:v>60</c:v>
                </c:pt>
                <c:pt idx="210">
                  <c:v>60</c:v>
                </c:pt>
                <c:pt idx="211">
                  <c:v>60</c:v>
                </c:pt>
                <c:pt idx="212">
                  <c:v>60</c:v>
                </c:pt>
                <c:pt idx="213">
                  <c:v>60</c:v>
                </c:pt>
                <c:pt idx="214">
                  <c:v>60</c:v>
                </c:pt>
                <c:pt idx="215">
                  <c:v>60</c:v>
                </c:pt>
                <c:pt idx="216">
                  <c:v>60</c:v>
                </c:pt>
                <c:pt idx="217">
                  <c:v>60</c:v>
                </c:pt>
                <c:pt idx="218">
                  <c:v>60</c:v>
                </c:pt>
                <c:pt idx="219">
                  <c:v>60</c:v>
                </c:pt>
                <c:pt idx="220">
                  <c:v>60</c:v>
                </c:pt>
                <c:pt idx="221">
                  <c:v>60</c:v>
                </c:pt>
                <c:pt idx="222">
                  <c:v>60</c:v>
                </c:pt>
                <c:pt idx="223">
                  <c:v>60</c:v>
                </c:pt>
                <c:pt idx="224">
                  <c:v>60</c:v>
                </c:pt>
                <c:pt idx="225">
                  <c:v>60</c:v>
                </c:pt>
                <c:pt idx="226">
                  <c:v>60</c:v>
                </c:pt>
                <c:pt idx="227">
                  <c:v>60</c:v>
                </c:pt>
                <c:pt idx="228">
                  <c:v>60</c:v>
                </c:pt>
                <c:pt idx="229">
                  <c:v>60</c:v>
                </c:pt>
              </c:numCache>
            </c:numRef>
          </c:yVal>
          <c:smooth val="0"/>
          <c:extLst>
            <c:ext xmlns:c16="http://schemas.microsoft.com/office/drawing/2014/chart" uri="{C3380CC4-5D6E-409C-BE32-E72D297353CC}">
              <c16:uniqueId val="{00000004-AAAD-4237-AD3A-4E1AEA973307}"/>
            </c:ext>
          </c:extLst>
        </c:ser>
        <c:dLbls>
          <c:showLegendKey val="0"/>
          <c:showVal val="0"/>
          <c:showCatName val="0"/>
          <c:showSerName val="0"/>
          <c:showPercent val="0"/>
          <c:showBubbleSize val="0"/>
        </c:dLbls>
        <c:axId val="56672832"/>
        <c:axId val="56673408"/>
      </c:scatterChart>
      <c:valAx>
        <c:axId val="56672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73408"/>
        <c:crosses val="autoZero"/>
        <c:crossBetween val="midCat"/>
      </c:valAx>
      <c:valAx>
        <c:axId val="56673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lm/W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72832"/>
        <c:crosses val="autoZero"/>
        <c:crossBetween val="midCat"/>
      </c:valAx>
      <c:spPr>
        <a:noFill/>
        <a:ln>
          <a:noFill/>
        </a:ln>
        <a:effectLst/>
      </c:spPr>
    </c:plotArea>
    <c:legend>
      <c:legendPos val="r"/>
      <c:layout>
        <c:manualLayout>
          <c:xMode val="edge"/>
          <c:yMode val="edge"/>
          <c:x val="0.65822784810126578"/>
          <c:y val="0.19473374894563725"/>
          <c:w val="0.33086496736766174"/>
          <c:h val="0.54305729292346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UE, EE.UU.,</a:t>
            </a:r>
            <a:r>
              <a:rPr lang="en-GB" baseline="0"/>
              <a:t> México (selección)</a:t>
            </a:r>
            <a:endParaRPr lang="en-GB"/>
          </a:p>
          <a:p>
            <a:pPr>
              <a:defRPr sz="1400" b="0" i="0" u="none" strike="noStrike" kern="1200" spc="0" baseline="0">
                <a:solidFill>
                  <a:schemeClr val="tx1">
                    <a:lumMod val="65000"/>
                    <a:lumOff val="35000"/>
                  </a:schemeClr>
                </a:solidFill>
                <a:latin typeface="+mn-lt"/>
                <a:ea typeface="+mn-ea"/>
                <a:cs typeface="+mn-cs"/>
              </a:defRPr>
            </a:pPr>
            <a:r>
              <a:rPr lang="en-GB"/>
              <a:t>Eficacia</a:t>
            </a:r>
            <a:r>
              <a:rPr lang="en-GB" baseline="0"/>
              <a:t> luminosa</a:t>
            </a:r>
            <a:endParaRPr lang="en-GB"/>
          </a:p>
        </c:rich>
      </c:tx>
      <c:overlay val="0"/>
      <c:spPr>
        <a:noFill/>
        <a:ln>
          <a:noFill/>
        </a:ln>
        <a:effectLst/>
      </c:spPr>
    </c:title>
    <c:autoTitleDeleted val="0"/>
    <c:plotArea>
      <c:layout/>
      <c:scatterChart>
        <c:scatterStyle val="lineMarker"/>
        <c:varyColors val="0"/>
        <c:ser>
          <c:idx val="23"/>
          <c:order val="0"/>
          <c:tx>
            <c:v>MX LFL T5 (2012)</c:v>
          </c:tx>
          <c:spPr>
            <a:ln w="19050" cap="rnd">
              <a:solidFill>
                <a:srgbClr val="A7DC72"/>
              </a:solidFill>
              <a:prstDash val="dash"/>
              <a:round/>
            </a:ln>
            <a:effectLst/>
          </c:spPr>
          <c:marker>
            <c:symbol val="none"/>
          </c:marker>
          <c:xVal>
            <c:numRef>
              <c:f>'[Data-graficos 11 12 2017-v21.02.18.xlsx]Sheet1'!$AU$7:$AU$236</c:f>
              <c:numCache>
                <c:formatCode>General</c:formatCode>
                <c:ptCount val="23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pt idx="60">
                  <c:v>910</c:v>
                </c:pt>
                <c:pt idx="61">
                  <c:v>920</c:v>
                </c:pt>
                <c:pt idx="62">
                  <c:v>930</c:v>
                </c:pt>
                <c:pt idx="63">
                  <c:v>940</c:v>
                </c:pt>
                <c:pt idx="64">
                  <c:v>950</c:v>
                </c:pt>
                <c:pt idx="65">
                  <c:v>960</c:v>
                </c:pt>
                <c:pt idx="66">
                  <c:v>970</c:v>
                </c:pt>
                <c:pt idx="67">
                  <c:v>980</c:v>
                </c:pt>
                <c:pt idx="68">
                  <c:v>990</c:v>
                </c:pt>
                <c:pt idx="69">
                  <c:v>1000</c:v>
                </c:pt>
                <c:pt idx="70">
                  <c:v>1010</c:v>
                </c:pt>
                <c:pt idx="71">
                  <c:v>1020</c:v>
                </c:pt>
                <c:pt idx="72">
                  <c:v>1030</c:v>
                </c:pt>
                <c:pt idx="73">
                  <c:v>1040</c:v>
                </c:pt>
                <c:pt idx="74">
                  <c:v>1050</c:v>
                </c:pt>
                <c:pt idx="75">
                  <c:v>1060</c:v>
                </c:pt>
                <c:pt idx="76">
                  <c:v>1070</c:v>
                </c:pt>
                <c:pt idx="77">
                  <c:v>1080</c:v>
                </c:pt>
                <c:pt idx="78">
                  <c:v>1090</c:v>
                </c:pt>
                <c:pt idx="79">
                  <c:v>1100</c:v>
                </c:pt>
                <c:pt idx="80">
                  <c:v>1110</c:v>
                </c:pt>
                <c:pt idx="81">
                  <c:v>1120</c:v>
                </c:pt>
                <c:pt idx="82">
                  <c:v>1130</c:v>
                </c:pt>
                <c:pt idx="83">
                  <c:v>1140</c:v>
                </c:pt>
                <c:pt idx="84">
                  <c:v>1150</c:v>
                </c:pt>
                <c:pt idx="85">
                  <c:v>1160</c:v>
                </c:pt>
                <c:pt idx="86">
                  <c:v>1170</c:v>
                </c:pt>
                <c:pt idx="87">
                  <c:v>1180</c:v>
                </c:pt>
                <c:pt idx="88">
                  <c:v>1190</c:v>
                </c:pt>
                <c:pt idx="89">
                  <c:v>1200</c:v>
                </c:pt>
                <c:pt idx="90">
                  <c:v>1210</c:v>
                </c:pt>
                <c:pt idx="91">
                  <c:v>1220</c:v>
                </c:pt>
                <c:pt idx="92">
                  <c:v>1230</c:v>
                </c:pt>
                <c:pt idx="93">
                  <c:v>1240</c:v>
                </c:pt>
                <c:pt idx="94">
                  <c:v>1250</c:v>
                </c:pt>
                <c:pt idx="95">
                  <c:v>1260</c:v>
                </c:pt>
                <c:pt idx="96">
                  <c:v>1270</c:v>
                </c:pt>
                <c:pt idx="97">
                  <c:v>1280</c:v>
                </c:pt>
                <c:pt idx="98">
                  <c:v>1290</c:v>
                </c:pt>
                <c:pt idx="99">
                  <c:v>1300</c:v>
                </c:pt>
                <c:pt idx="100">
                  <c:v>1310</c:v>
                </c:pt>
                <c:pt idx="101">
                  <c:v>1320</c:v>
                </c:pt>
                <c:pt idx="102">
                  <c:v>1330</c:v>
                </c:pt>
                <c:pt idx="103">
                  <c:v>1340</c:v>
                </c:pt>
                <c:pt idx="104">
                  <c:v>1350</c:v>
                </c:pt>
                <c:pt idx="105">
                  <c:v>1360</c:v>
                </c:pt>
                <c:pt idx="106">
                  <c:v>1370</c:v>
                </c:pt>
                <c:pt idx="107">
                  <c:v>1380</c:v>
                </c:pt>
                <c:pt idx="108">
                  <c:v>1390</c:v>
                </c:pt>
                <c:pt idx="109">
                  <c:v>1400</c:v>
                </c:pt>
                <c:pt idx="110">
                  <c:v>1410</c:v>
                </c:pt>
                <c:pt idx="111">
                  <c:v>1420</c:v>
                </c:pt>
                <c:pt idx="112">
                  <c:v>1430</c:v>
                </c:pt>
                <c:pt idx="113">
                  <c:v>1440</c:v>
                </c:pt>
                <c:pt idx="114">
                  <c:v>1450</c:v>
                </c:pt>
                <c:pt idx="115">
                  <c:v>1460</c:v>
                </c:pt>
                <c:pt idx="116">
                  <c:v>1470</c:v>
                </c:pt>
                <c:pt idx="117">
                  <c:v>1480</c:v>
                </c:pt>
                <c:pt idx="118">
                  <c:v>1490</c:v>
                </c:pt>
                <c:pt idx="119">
                  <c:v>1500</c:v>
                </c:pt>
                <c:pt idx="120">
                  <c:v>1510</c:v>
                </c:pt>
                <c:pt idx="121">
                  <c:v>1520</c:v>
                </c:pt>
                <c:pt idx="122">
                  <c:v>1530</c:v>
                </c:pt>
                <c:pt idx="123">
                  <c:v>1540</c:v>
                </c:pt>
                <c:pt idx="124">
                  <c:v>1550</c:v>
                </c:pt>
                <c:pt idx="125">
                  <c:v>1560</c:v>
                </c:pt>
                <c:pt idx="126">
                  <c:v>1570</c:v>
                </c:pt>
                <c:pt idx="127">
                  <c:v>1580</c:v>
                </c:pt>
                <c:pt idx="128">
                  <c:v>1590</c:v>
                </c:pt>
                <c:pt idx="129">
                  <c:v>1600</c:v>
                </c:pt>
                <c:pt idx="130">
                  <c:v>1610</c:v>
                </c:pt>
                <c:pt idx="131">
                  <c:v>1620</c:v>
                </c:pt>
                <c:pt idx="132">
                  <c:v>1630</c:v>
                </c:pt>
                <c:pt idx="133">
                  <c:v>1640</c:v>
                </c:pt>
                <c:pt idx="134">
                  <c:v>1650</c:v>
                </c:pt>
                <c:pt idx="135">
                  <c:v>1660</c:v>
                </c:pt>
                <c:pt idx="136">
                  <c:v>1670</c:v>
                </c:pt>
                <c:pt idx="137">
                  <c:v>1680</c:v>
                </c:pt>
                <c:pt idx="138">
                  <c:v>1690</c:v>
                </c:pt>
                <c:pt idx="139">
                  <c:v>1700</c:v>
                </c:pt>
                <c:pt idx="140">
                  <c:v>1710</c:v>
                </c:pt>
                <c:pt idx="141">
                  <c:v>1720</c:v>
                </c:pt>
                <c:pt idx="142">
                  <c:v>1730</c:v>
                </c:pt>
                <c:pt idx="143">
                  <c:v>1740</c:v>
                </c:pt>
                <c:pt idx="144">
                  <c:v>1750</c:v>
                </c:pt>
                <c:pt idx="145">
                  <c:v>1760</c:v>
                </c:pt>
                <c:pt idx="146">
                  <c:v>1770</c:v>
                </c:pt>
                <c:pt idx="147">
                  <c:v>1780</c:v>
                </c:pt>
                <c:pt idx="148">
                  <c:v>1790</c:v>
                </c:pt>
                <c:pt idx="149">
                  <c:v>1800</c:v>
                </c:pt>
                <c:pt idx="150">
                  <c:v>1810</c:v>
                </c:pt>
                <c:pt idx="151">
                  <c:v>1820</c:v>
                </c:pt>
                <c:pt idx="152">
                  <c:v>1830</c:v>
                </c:pt>
                <c:pt idx="153">
                  <c:v>1840</c:v>
                </c:pt>
                <c:pt idx="154">
                  <c:v>1850</c:v>
                </c:pt>
                <c:pt idx="155">
                  <c:v>1860</c:v>
                </c:pt>
                <c:pt idx="156">
                  <c:v>1870</c:v>
                </c:pt>
                <c:pt idx="157">
                  <c:v>1880</c:v>
                </c:pt>
                <c:pt idx="158">
                  <c:v>1890</c:v>
                </c:pt>
                <c:pt idx="159">
                  <c:v>1900</c:v>
                </c:pt>
                <c:pt idx="160">
                  <c:v>1910</c:v>
                </c:pt>
                <c:pt idx="161">
                  <c:v>1920</c:v>
                </c:pt>
                <c:pt idx="162">
                  <c:v>1930</c:v>
                </c:pt>
                <c:pt idx="163">
                  <c:v>1940</c:v>
                </c:pt>
                <c:pt idx="164">
                  <c:v>1950</c:v>
                </c:pt>
                <c:pt idx="165">
                  <c:v>1960</c:v>
                </c:pt>
                <c:pt idx="166">
                  <c:v>1970</c:v>
                </c:pt>
                <c:pt idx="167">
                  <c:v>1980</c:v>
                </c:pt>
                <c:pt idx="168">
                  <c:v>1990</c:v>
                </c:pt>
                <c:pt idx="169">
                  <c:v>2000</c:v>
                </c:pt>
                <c:pt idx="170">
                  <c:v>2010</c:v>
                </c:pt>
                <c:pt idx="171">
                  <c:v>2020</c:v>
                </c:pt>
                <c:pt idx="172">
                  <c:v>2030</c:v>
                </c:pt>
                <c:pt idx="173">
                  <c:v>2040</c:v>
                </c:pt>
                <c:pt idx="174">
                  <c:v>2050</c:v>
                </c:pt>
                <c:pt idx="175">
                  <c:v>2060</c:v>
                </c:pt>
                <c:pt idx="176">
                  <c:v>2070</c:v>
                </c:pt>
                <c:pt idx="177">
                  <c:v>2080</c:v>
                </c:pt>
                <c:pt idx="178">
                  <c:v>2090</c:v>
                </c:pt>
                <c:pt idx="179">
                  <c:v>2100</c:v>
                </c:pt>
                <c:pt idx="180">
                  <c:v>2110</c:v>
                </c:pt>
                <c:pt idx="181">
                  <c:v>2120</c:v>
                </c:pt>
                <c:pt idx="182">
                  <c:v>2130</c:v>
                </c:pt>
                <c:pt idx="183">
                  <c:v>2140</c:v>
                </c:pt>
                <c:pt idx="184">
                  <c:v>2150</c:v>
                </c:pt>
                <c:pt idx="185">
                  <c:v>2160</c:v>
                </c:pt>
                <c:pt idx="186">
                  <c:v>2170</c:v>
                </c:pt>
                <c:pt idx="187">
                  <c:v>2180</c:v>
                </c:pt>
                <c:pt idx="188">
                  <c:v>2190</c:v>
                </c:pt>
                <c:pt idx="189">
                  <c:v>2200</c:v>
                </c:pt>
                <c:pt idx="190">
                  <c:v>2210</c:v>
                </c:pt>
                <c:pt idx="191">
                  <c:v>2220</c:v>
                </c:pt>
                <c:pt idx="192">
                  <c:v>2230</c:v>
                </c:pt>
                <c:pt idx="193">
                  <c:v>2240</c:v>
                </c:pt>
                <c:pt idx="194">
                  <c:v>2250</c:v>
                </c:pt>
                <c:pt idx="195">
                  <c:v>2260</c:v>
                </c:pt>
                <c:pt idx="196">
                  <c:v>2270</c:v>
                </c:pt>
                <c:pt idx="197">
                  <c:v>2280</c:v>
                </c:pt>
                <c:pt idx="198">
                  <c:v>2290</c:v>
                </c:pt>
                <c:pt idx="199">
                  <c:v>2300</c:v>
                </c:pt>
                <c:pt idx="200">
                  <c:v>2310</c:v>
                </c:pt>
                <c:pt idx="201">
                  <c:v>2320</c:v>
                </c:pt>
                <c:pt idx="202">
                  <c:v>2330</c:v>
                </c:pt>
                <c:pt idx="203">
                  <c:v>2340</c:v>
                </c:pt>
                <c:pt idx="204">
                  <c:v>2350</c:v>
                </c:pt>
                <c:pt idx="205">
                  <c:v>2360</c:v>
                </c:pt>
                <c:pt idx="206">
                  <c:v>2370</c:v>
                </c:pt>
                <c:pt idx="207">
                  <c:v>2380</c:v>
                </c:pt>
                <c:pt idx="208">
                  <c:v>2390</c:v>
                </c:pt>
                <c:pt idx="209">
                  <c:v>2400</c:v>
                </c:pt>
                <c:pt idx="210">
                  <c:v>2410</c:v>
                </c:pt>
                <c:pt idx="211">
                  <c:v>2420</c:v>
                </c:pt>
                <c:pt idx="212">
                  <c:v>2430</c:v>
                </c:pt>
                <c:pt idx="213">
                  <c:v>2440</c:v>
                </c:pt>
                <c:pt idx="214">
                  <c:v>2450</c:v>
                </c:pt>
                <c:pt idx="215">
                  <c:v>2460</c:v>
                </c:pt>
                <c:pt idx="216">
                  <c:v>2470</c:v>
                </c:pt>
                <c:pt idx="217">
                  <c:v>2480</c:v>
                </c:pt>
                <c:pt idx="218">
                  <c:v>2490</c:v>
                </c:pt>
                <c:pt idx="219">
                  <c:v>2500</c:v>
                </c:pt>
                <c:pt idx="220">
                  <c:v>2510</c:v>
                </c:pt>
                <c:pt idx="221">
                  <c:v>2520</c:v>
                </c:pt>
                <c:pt idx="222">
                  <c:v>2530</c:v>
                </c:pt>
                <c:pt idx="223">
                  <c:v>2540</c:v>
                </c:pt>
                <c:pt idx="224">
                  <c:v>2550</c:v>
                </c:pt>
                <c:pt idx="225">
                  <c:v>2560</c:v>
                </c:pt>
                <c:pt idx="226">
                  <c:v>2570</c:v>
                </c:pt>
                <c:pt idx="227">
                  <c:v>2580</c:v>
                </c:pt>
                <c:pt idx="228">
                  <c:v>2590</c:v>
                </c:pt>
                <c:pt idx="229">
                  <c:v>2600</c:v>
                </c:pt>
              </c:numCache>
            </c:numRef>
          </c:xVal>
          <c:yVal>
            <c:numRef>
              <c:f>'[Data-graficos 11 12 2017-v21.02.18.xlsx]Sheet1'!$AW$7:$AW$236</c:f>
              <c:numCache>
                <c:formatCode>General</c:formatCode>
                <c:ptCount val="230"/>
                <c:pt idx="0">
                  <c:v>90</c:v>
                </c:pt>
                <c:pt idx="1">
                  <c:v>90</c:v>
                </c:pt>
                <c:pt idx="2">
                  <c:v>90</c:v>
                </c:pt>
                <c:pt idx="3">
                  <c:v>90</c:v>
                </c:pt>
                <c:pt idx="4">
                  <c:v>90</c:v>
                </c:pt>
                <c:pt idx="5">
                  <c:v>90</c:v>
                </c:pt>
                <c:pt idx="6">
                  <c:v>90</c:v>
                </c:pt>
                <c:pt idx="7">
                  <c:v>90</c:v>
                </c:pt>
                <c:pt idx="8">
                  <c:v>90</c:v>
                </c:pt>
                <c:pt idx="9">
                  <c:v>90</c:v>
                </c:pt>
                <c:pt idx="10">
                  <c:v>90</c:v>
                </c:pt>
                <c:pt idx="11">
                  <c:v>90</c:v>
                </c:pt>
                <c:pt idx="12">
                  <c:v>90</c:v>
                </c:pt>
                <c:pt idx="13">
                  <c:v>90</c:v>
                </c:pt>
                <c:pt idx="14">
                  <c:v>90</c:v>
                </c:pt>
                <c:pt idx="15">
                  <c:v>90</c:v>
                </c:pt>
                <c:pt idx="16">
                  <c:v>90</c:v>
                </c:pt>
                <c:pt idx="17">
                  <c:v>90</c:v>
                </c:pt>
                <c:pt idx="18">
                  <c:v>90</c:v>
                </c:pt>
                <c:pt idx="19">
                  <c:v>90</c:v>
                </c:pt>
                <c:pt idx="20">
                  <c:v>90</c:v>
                </c:pt>
                <c:pt idx="21">
                  <c:v>90</c:v>
                </c:pt>
                <c:pt idx="22">
                  <c:v>90</c:v>
                </c:pt>
                <c:pt idx="23">
                  <c:v>90</c:v>
                </c:pt>
                <c:pt idx="24">
                  <c:v>90</c:v>
                </c:pt>
                <c:pt idx="25">
                  <c:v>90</c:v>
                </c:pt>
                <c:pt idx="26">
                  <c:v>90</c:v>
                </c:pt>
                <c:pt idx="27">
                  <c:v>90</c:v>
                </c:pt>
                <c:pt idx="28">
                  <c:v>90</c:v>
                </c:pt>
                <c:pt idx="29">
                  <c:v>90</c:v>
                </c:pt>
                <c:pt idx="30">
                  <c:v>90</c:v>
                </c:pt>
                <c:pt idx="31">
                  <c:v>90</c:v>
                </c:pt>
                <c:pt idx="32">
                  <c:v>90</c:v>
                </c:pt>
                <c:pt idx="33">
                  <c:v>90</c:v>
                </c:pt>
                <c:pt idx="34">
                  <c:v>90</c:v>
                </c:pt>
                <c:pt idx="35">
                  <c:v>90</c:v>
                </c:pt>
                <c:pt idx="36">
                  <c:v>90</c:v>
                </c:pt>
                <c:pt idx="37">
                  <c:v>90</c:v>
                </c:pt>
                <c:pt idx="38">
                  <c:v>90</c:v>
                </c:pt>
                <c:pt idx="39">
                  <c:v>90</c:v>
                </c:pt>
                <c:pt idx="40">
                  <c:v>90</c:v>
                </c:pt>
                <c:pt idx="41">
                  <c:v>90</c:v>
                </c:pt>
                <c:pt idx="42">
                  <c:v>90</c:v>
                </c:pt>
                <c:pt idx="43">
                  <c:v>90</c:v>
                </c:pt>
                <c:pt idx="44">
                  <c:v>90</c:v>
                </c:pt>
                <c:pt idx="45">
                  <c:v>90</c:v>
                </c:pt>
                <c:pt idx="46">
                  <c:v>90</c:v>
                </c:pt>
                <c:pt idx="47">
                  <c:v>90</c:v>
                </c:pt>
                <c:pt idx="48">
                  <c:v>90</c:v>
                </c:pt>
                <c:pt idx="49">
                  <c:v>90</c:v>
                </c:pt>
                <c:pt idx="50">
                  <c:v>90</c:v>
                </c:pt>
                <c:pt idx="51">
                  <c:v>90</c:v>
                </c:pt>
                <c:pt idx="52">
                  <c:v>90</c:v>
                </c:pt>
                <c:pt idx="53">
                  <c:v>90</c:v>
                </c:pt>
                <c:pt idx="54">
                  <c:v>90</c:v>
                </c:pt>
                <c:pt idx="55">
                  <c:v>90</c:v>
                </c:pt>
                <c:pt idx="56">
                  <c:v>90</c:v>
                </c:pt>
                <c:pt idx="57">
                  <c:v>90</c:v>
                </c:pt>
                <c:pt idx="58">
                  <c:v>90</c:v>
                </c:pt>
                <c:pt idx="59">
                  <c:v>90</c:v>
                </c:pt>
                <c:pt idx="60">
                  <c:v>90</c:v>
                </c:pt>
                <c:pt idx="61">
                  <c:v>90</c:v>
                </c:pt>
                <c:pt idx="62">
                  <c:v>90</c:v>
                </c:pt>
                <c:pt idx="63">
                  <c:v>90</c:v>
                </c:pt>
                <c:pt idx="64">
                  <c:v>90</c:v>
                </c:pt>
                <c:pt idx="65">
                  <c:v>90</c:v>
                </c:pt>
                <c:pt idx="66">
                  <c:v>90</c:v>
                </c:pt>
                <c:pt idx="67">
                  <c:v>90</c:v>
                </c:pt>
                <c:pt idx="68">
                  <c:v>90</c:v>
                </c:pt>
                <c:pt idx="69">
                  <c:v>90</c:v>
                </c:pt>
                <c:pt idx="70">
                  <c:v>90</c:v>
                </c:pt>
                <c:pt idx="71">
                  <c:v>90</c:v>
                </c:pt>
                <c:pt idx="72">
                  <c:v>90</c:v>
                </c:pt>
                <c:pt idx="73">
                  <c:v>90</c:v>
                </c:pt>
                <c:pt idx="74">
                  <c:v>90</c:v>
                </c:pt>
                <c:pt idx="75">
                  <c:v>90</c:v>
                </c:pt>
                <c:pt idx="76">
                  <c:v>90</c:v>
                </c:pt>
                <c:pt idx="77">
                  <c:v>90</c:v>
                </c:pt>
                <c:pt idx="78">
                  <c:v>90</c:v>
                </c:pt>
                <c:pt idx="79">
                  <c:v>90</c:v>
                </c:pt>
                <c:pt idx="80">
                  <c:v>90</c:v>
                </c:pt>
                <c:pt idx="81">
                  <c:v>90</c:v>
                </c:pt>
                <c:pt idx="82">
                  <c:v>90</c:v>
                </c:pt>
                <c:pt idx="83">
                  <c:v>90</c:v>
                </c:pt>
                <c:pt idx="84">
                  <c:v>90</c:v>
                </c:pt>
                <c:pt idx="85">
                  <c:v>90</c:v>
                </c:pt>
                <c:pt idx="86">
                  <c:v>90</c:v>
                </c:pt>
                <c:pt idx="87">
                  <c:v>90</c:v>
                </c:pt>
                <c:pt idx="88">
                  <c:v>90</c:v>
                </c:pt>
                <c:pt idx="89">
                  <c:v>90</c:v>
                </c:pt>
                <c:pt idx="90">
                  <c:v>90</c:v>
                </c:pt>
                <c:pt idx="91">
                  <c:v>90</c:v>
                </c:pt>
                <c:pt idx="92">
                  <c:v>90</c:v>
                </c:pt>
                <c:pt idx="93">
                  <c:v>90</c:v>
                </c:pt>
                <c:pt idx="94">
                  <c:v>90</c:v>
                </c:pt>
                <c:pt idx="95">
                  <c:v>90</c:v>
                </c:pt>
                <c:pt idx="96">
                  <c:v>90</c:v>
                </c:pt>
                <c:pt idx="97">
                  <c:v>90</c:v>
                </c:pt>
                <c:pt idx="98">
                  <c:v>90</c:v>
                </c:pt>
                <c:pt idx="99">
                  <c:v>90</c:v>
                </c:pt>
                <c:pt idx="100">
                  <c:v>90</c:v>
                </c:pt>
                <c:pt idx="101">
                  <c:v>90</c:v>
                </c:pt>
                <c:pt idx="102">
                  <c:v>90</c:v>
                </c:pt>
                <c:pt idx="103">
                  <c:v>90</c:v>
                </c:pt>
                <c:pt idx="104">
                  <c:v>90</c:v>
                </c:pt>
                <c:pt idx="105">
                  <c:v>90</c:v>
                </c:pt>
                <c:pt idx="106">
                  <c:v>90</c:v>
                </c:pt>
                <c:pt idx="107">
                  <c:v>90</c:v>
                </c:pt>
                <c:pt idx="108">
                  <c:v>90</c:v>
                </c:pt>
                <c:pt idx="109">
                  <c:v>90</c:v>
                </c:pt>
                <c:pt idx="110">
                  <c:v>90</c:v>
                </c:pt>
                <c:pt idx="111">
                  <c:v>90</c:v>
                </c:pt>
                <c:pt idx="112">
                  <c:v>90</c:v>
                </c:pt>
                <c:pt idx="113">
                  <c:v>90</c:v>
                </c:pt>
                <c:pt idx="114">
                  <c:v>90</c:v>
                </c:pt>
                <c:pt idx="115">
                  <c:v>90</c:v>
                </c:pt>
                <c:pt idx="116">
                  <c:v>90</c:v>
                </c:pt>
                <c:pt idx="117">
                  <c:v>90</c:v>
                </c:pt>
                <c:pt idx="118">
                  <c:v>90</c:v>
                </c:pt>
                <c:pt idx="119">
                  <c:v>90</c:v>
                </c:pt>
                <c:pt idx="120">
                  <c:v>90</c:v>
                </c:pt>
                <c:pt idx="121">
                  <c:v>90</c:v>
                </c:pt>
                <c:pt idx="122">
                  <c:v>90</c:v>
                </c:pt>
                <c:pt idx="123">
                  <c:v>90</c:v>
                </c:pt>
                <c:pt idx="124">
                  <c:v>90</c:v>
                </c:pt>
                <c:pt idx="125">
                  <c:v>90</c:v>
                </c:pt>
                <c:pt idx="126">
                  <c:v>90</c:v>
                </c:pt>
                <c:pt idx="127">
                  <c:v>90</c:v>
                </c:pt>
                <c:pt idx="128">
                  <c:v>90</c:v>
                </c:pt>
                <c:pt idx="129">
                  <c:v>90</c:v>
                </c:pt>
                <c:pt idx="130">
                  <c:v>90</c:v>
                </c:pt>
                <c:pt idx="131">
                  <c:v>90</c:v>
                </c:pt>
                <c:pt idx="132">
                  <c:v>90</c:v>
                </c:pt>
                <c:pt idx="133">
                  <c:v>90</c:v>
                </c:pt>
                <c:pt idx="134">
                  <c:v>90</c:v>
                </c:pt>
                <c:pt idx="135">
                  <c:v>90</c:v>
                </c:pt>
                <c:pt idx="136">
                  <c:v>90</c:v>
                </c:pt>
                <c:pt idx="137">
                  <c:v>90</c:v>
                </c:pt>
                <c:pt idx="138">
                  <c:v>90</c:v>
                </c:pt>
                <c:pt idx="139">
                  <c:v>90</c:v>
                </c:pt>
                <c:pt idx="140">
                  <c:v>90</c:v>
                </c:pt>
                <c:pt idx="141">
                  <c:v>90</c:v>
                </c:pt>
                <c:pt idx="142">
                  <c:v>90</c:v>
                </c:pt>
                <c:pt idx="143">
                  <c:v>90</c:v>
                </c:pt>
                <c:pt idx="144">
                  <c:v>90</c:v>
                </c:pt>
                <c:pt idx="145">
                  <c:v>90</c:v>
                </c:pt>
                <c:pt idx="146">
                  <c:v>90</c:v>
                </c:pt>
                <c:pt idx="147">
                  <c:v>90</c:v>
                </c:pt>
                <c:pt idx="148">
                  <c:v>90</c:v>
                </c:pt>
                <c:pt idx="149">
                  <c:v>90</c:v>
                </c:pt>
                <c:pt idx="150">
                  <c:v>90</c:v>
                </c:pt>
                <c:pt idx="151">
                  <c:v>90</c:v>
                </c:pt>
                <c:pt idx="152">
                  <c:v>90</c:v>
                </c:pt>
                <c:pt idx="153">
                  <c:v>90</c:v>
                </c:pt>
                <c:pt idx="154">
                  <c:v>90</c:v>
                </c:pt>
                <c:pt idx="155">
                  <c:v>90</c:v>
                </c:pt>
                <c:pt idx="156">
                  <c:v>90</c:v>
                </c:pt>
                <c:pt idx="157">
                  <c:v>90</c:v>
                </c:pt>
                <c:pt idx="158">
                  <c:v>90</c:v>
                </c:pt>
                <c:pt idx="159">
                  <c:v>90</c:v>
                </c:pt>
                <c:pt idx="160">
                  <c:v>90</c:v>
                </c:pt>
                <c:pt idx="161">
                  <c:v>90</c:v>
                </c:pt>
                <c:pt idx="162">
                  <c:v>90</c:v>
                </c:pt>
                <c:pt idx="163">
                  <c:v>90</c:v>
                </c:pt>
                <c:pt idx="164">
                  <c:v>90</c:v>
                </c:pt>
                <c:pt idx="165">
                  <c:v>90</c:v>
                </c:pt>
                <c:pt idx="166">
                  <c:v>90</c:v>
                </c:pt>
                <c:pt idx="167">
                  <c:v>90</c:v>
                </c:pt>
                <c:pt idx="168">
                  <c:v>90</c:v>
                </c:pt>
                <c:pt idx="169">
                  <c:v>90</c:v>
                </c:pt>
                <c:pt idx="170">
                  <c:v>90</c:v>
                </c:pt>
                <c:pt idx="171">
                  <c:v>90</c:v>
                </c:pt>
                <c:pt idx="172">
                  <c:v>90</c:v>
                </c:pt>
                <c:pt idx="173">
                  <c:v>90</c:v>
                </c:pt>
                <c:pt idx="174">
                  <c:v>90</c:v>
                </c:pt>
                <c:pt idx="175">
                  <c:v>90</c:v>
                </c:pt>
                <c:pt idx="176">
                  <c:v>90</c:v>
                </c:pt>
                <c:pt idx="177">
                  <c:v>90</c:v>
                </c:pt>
                <c:pt idx="178">
                  <c:v>90</c:v>
                </c:pt>
                <c:pt idx="179">
                  <c:v>90</c:v>
                </c:pt>
                <c:pt idx="180">
                  <c:v>90</c:v>
                </c:pt>
                <c:pt idx="181">
                  <c:v>90</c:v>
                </c:pt>
                <c:pt idx="182">
                  <c:v>90</c:v>
                </c:pt>
                <c:pt idx="183">
                  <c:v>90</c:v>
                </c:pt>
                <c:pt idx="184">
                  <c:v>90</c:v>
                </c:pt>
                <c:pt idx="185">
                  <c:v>90</c:v>
                </c:pt>
                <c:pt idx="186">
                  <c:v>90</c:v>
                </c:pt>
                <c:pt idx="187">
                  <c:v>90</c:v>
                </c:pt>
                <c:pt idx="188">
                  <c:v>90</c:v>
                </c:pt>
                <c:pt idx="189">
                  <c:v>90</c:v>
                </c:pt>
                <c:pt idx="190">
                  <c:v>90</c:v>
                </c:pt>
                <c:pt idx="191">
                  <c:v>90</c:v>
                </c:pt>
                <c:pt idx="192">
                  <c:v>90</c:v>
                </c:pt>
                <c:pt idx="193">
                  <c:v>90</c:v>
                </c:pt>
                <c:pt idx="194">
                  <c:v>90</c:v>
                </c:pt>
                <c:pt idx="195">
                  <c:v>90</c:v>
                </c:pt>
                <c:pt idx="196">
                  <c:v>90</c:v>
                </c:pt>
                <c:pt idx="197">
                  <c:v>90</c:v>
                </c:pt>
                <c:pt idx="198">
                  <c:v>90</c:v>
                </c:pt>
                <c:pt idx="199">
                  <c:v>90</c:v>
                </c:pt>
                <c:pt idx="200">
                  <c:v>90</c:v>
                </c:pt>
                <c:pt idx="201">
                  <c:v>90</c:v>
                </c:pt>
                <c:pt idx="202">
                  <c:v>90</c:v>
                </c:pt>
                <c:pt idx="203">
                  <c:v>90</c:v>
                </c:pt>
                <c:pt idx="204">
                  <c:v>90</c:v>
                </c:pt>
                <c:pt idx="205">
                  <c:v>90</c:v>
                </c:pt>
                <c:pt idx="206">
                  <c:v>90</c:v>
                </c:pt>
                <c:pt idx="207">
                  <c:v>90</c:v>
                </c:pt>
                <c:pt idx="208">
                  <c:v>90</c:v>
                </c:pt>
                <c:pt idx="209">
                  <c:v>90</c:v>
                </c:pt>
                <c:pt idx="210">
                  <c:v>90</c:v>
                </c:pt>
                <c:pt idx="211">
                  <c:v>90</c:v>
                </c:pt>
                <c:pt idx="212">
                  <c:v>90</c:v>
                </c:pt>
                <c:pt idx="213">
                  <c:v>90</c:v>
                </c:pt>
                <c:pt idx="214">
                  <c:v>90</c:v>
                </c:pt>
                <c:pt idx="215">
                  <c:v>90</c:v>
                </c:pt>
                <c:pt idx="216">
                  <c:v>90</c:v>
                </c:pt>
                <c:pt idx="217">
                  <c:v>90</c:v>
                </c:pt>
                <c:pt idx="218">
                  <c:v>90</c:v>
                </c:pt>
                <c:pt idx="219">
                  <c:v>90</c:v>
                </c:pt>
                <c:pt idx="220">
                  <c:v>90</c:v>
                </c:pt>
                <c:pt idx="221">
                  <c:v>90</c:v>
                </c:pt>
                <c:pt idx="222">
                  <c:v>90</c:v>
                </c:pt>
                <c:pt idx="223">
                  <c:v>90</c:v>
                </c:pt>
                <c:pt idx="224">
                  <c:v>90</c:v>
                </c:pt>
                <c:pt idx="225">
                  <c:v>90</c:v>
                </c:pt>
                <c:pt idx="226">
                  <c:v>90</c:v>
                </c:pt>
                <c:pt idx="227">
                  <c:v>90</c:v>
                </c:pt>
                <c:pt idx="228">
                  <c:v>90</c:v>
                </c:pt>
                <c:pt idx="229">
                  <c:v>90</c:v>
                </c:pt>
              </c:numCache>
            </c:numRef>
          </c:yVal>
          <c:smooth val="1"/>
          <c:extLst>
            <c:ext xmlns:c16="http://schemas.microsoft.com/office/drawing/2014/chart" uri="{C3380CC4-5D6E-409C-BE32-E72D297353CC}">
              <c16:uniqueId val="{00000000-D254-4D4E-B290-50517E212225}"/>
            </c:ext>
          </c:extLst>
        </c:ser>
        <c:ser>
          <c:idx val="0"/>
          <c:order val="1"/>
          <c:tx>
            <c:v>MX LED Integrada</c:v>
          </c:tx>
          <c:spPr>
            <a:ln w="19050" cap="rnd">
              <a:solidFill>
                <a:srgbClr val="0ABE1F"/>
              </a:solidFill>
              <a:prstDash val="sysDot"/>
              <a:round/>
            </a:ln>
            <a:effectLst/>
          </c:spPr>
          <c:marker>
            <c:symbol val="none"/>
          </c:marker>
          <c:xVal>
            <c:numRef>
              <c:f>'[Data-graficos 11 12 2017-v21.02.18.xlsx]Sheet1'!$BA$7:$BA$236</c:f>
              <c:numCache>
                <c:formatCode>General</c:formatCode>
                <c:ptCount val="23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pt idx="60">
                  <c:v>910</c:v>
                </c:pt>
                <c:pt idx="61">
                  <c:v>920</c:v>
                </c:pt>
                <c:pt idx="62">
                  <c:v>930</c:v>
                </c:pt>
                <c:pt idx="63">
                  <c:v>940</c:v>
                </c:pt>
                <c:pt idx="64">
                  <c:v>950</c:v>
                </c:pt>
                <c:pt idx="65">
                  <c:v>960</c:v>
                </c:pt>
                <c:pt idx="66">
                  <c:v>970</c:v>
                </c:pt>
                <c:pt idx="67">
                  <c:v>980</c:v>
                </c:pt>
                <c:pt idx="68">
                  <c:v>990</c:v>
                </c:pt>
                <c:pt idx="69">
                  <c:v>1000</c:v>
                </c:pt>
                <c:pt idx="70">
                  <c:v>1010</c:v>
                </c:pt>
                <c:pt idx="71">
                  <c:v>1020</c:v>
                </c:pt>
                <c:pt idx="72">
                  <c:v>1030</c:v>
                </c:pt>
                <c:pt idx="73">
                  <c:v>1040</c:v>
                </c:pt>
                <c:pt idx="74">
                  <c:v>1050</c:v>
                </c:pt>
                <c:pt idx="75">
                  <c:v>1060</c:v>
                </c:pt>
                <c:pt idx="76">
                  <c:v>1070</c:v>
                </c:pt>
                <c:pt idx="77">
                  <c:v>1080</c:v>
                </c:pt>
                <c:pt idx="78">
                  <c:v>1090</c:v>
                </c:pt>
                <c:pt idx="79">
                  <c:v>1100</c:v>
                </c:pt>
                <c:pt idx="80">
                  <c:v>1110</c:v>
                </c:pt>
                <c:pt idx="81">
                  <c:v>1120</c:v>
                </c:pt>
                <c:pt idx="82">
                  <c:v>1130</c:v>
                </c:pt>
                <c:pt idx="83">
                  <c:v>1140</c:v>
                </c:pt>
                <c:pt idx="84">
                  <c:v>1150</c:v>
                </c:pt>
                <c:pt idx="85">
                  <c:v>1160</c:v>
                </c:pt>
                <c:pt idx="86">
                  <c:v>1170</c:v>
                </c:pt>
                <c:pt idx="87">
                  <c:v>1180</c:v>
                </c:pt>
                <c:pt idx="88">
                  <c:v>1190</c:v>
                </c:pt>
                <c:pt idx="89">
                  <c:v>1200</c:v>
                </c:pt>
                <c:pt idx="90">
                  <c:v>1210</c:v>
                </c:pt>
                <c:pt idx="91">
                  <c:v>1220</c:v>
                </c:pt>
                <c:pt idx="92">
                  <c:v>1230</c:v>
                </c:pt>
                <c:pt idx="93">
                  <c:v>1240</c:v>
                </c:pt>
                <c:pt idx="94">
                  <c:v>1250</c:v>
                </c:pt>
                <c:pt idx="95">
                  <c:v>1260</c:v>
                </c:pt>
                <c:pt idx="96">
                  <c:v>1270</c:v>
                </c:pt>
                <c:pt idx="97">
                  <c:v>1280</c:v>
                </c:pt>
                <c:pt idx="98">
                  <c:v>1290</c:v>
                </c:pt>
                <c:pt idx="99">
                  <c:v>1300</c:v>
                </c:pt>
                <c:pt idx="100">
                  <c:v>1310</c:v>
                </c:pt>
                <c:pt idx="101">
                  <c:v>1320</c:v>
                </c:pt>
                <c:pt idx="102">
                  <c:v>1330</c:v>
                </c:pt>
                <c:pt idx="103">
                  <c:v>1340</c:v>
                </c:pt>
                <c:pt idx="104">
                  <c:v>1350</c:v>
                </c:pt>
                <c:pt idx="105">
                  <c:v>1360</c:v>
                </c:pt>
                <c:pt idx="106">
                  <c:v>1370</c:v>
                </c:pt>
                <c:pt idx="107">
                  <c:v>1380</c:v>
                </c:pt>
                <c:pt idx="108">
                  <c:v>1390</c:v>
                </c:pt>
                <c:pt idx="109">
                  <c:v>1400</c:v>
                </c:pt>
                <c:pt idx="110">
                  <c:v>1410</c:v>
                </c:pt>
                <c:pt idx="111">
                  <c:v>1420</c:v>
                </c:pt>
                <c:pt idx="112">
                  <c:v>1430</c:v>
                </c:pt>
                <c:pt idx="113">
                  <c:v>1440</c:v>
                </c:pt>
                <c:pt idx="114">
                  <c:v>1450</c:v>
                </c:pt>
                <c:pt idx="115">
                  <c:v>1460</c:v>
                </c:pt>
                <c:pt idx="116">
                  <c:v>1470</c:v>
                </c:pt>
                <c:pt idx="117">
                  <c:v>1480</c:v>
                </c:pt>
                <c:pt idx="118">
                  <c:v>1490</c:v>
                </c:pt>
                <c:pt idx="119">
                  <c:v>1500</c:v>
                </c:pt>
                <c:pt idx="120">
                  <c:v>1510</c:v>
                </c:pt>
                <c:pt idx="121">
                  <c:v>1520</c:v>
                </c:pt>
                <c:pt idx="122">
                  <c:v>1530</c:v>
                </c:pt>
                <c:pt idx="123">
                  <c:v>1540</c:v>
                </c:pt>
                <c:pt idx="124">
                  <c:v>1550</c:v>
                </c:pt>
                <c:pt idx="125">
                  <c:v>1560</c:v>
                </c:pt>
                <c:pt idx="126">
                  <c:v>1570</c:v>
                </c:pt>
                <c:pt idx="127">
                  <c:v>1580</c:v>
                </c:pt>
                <c:pt idx="128">
                  <c:v>1590</c:v>
                </c:pt>
                <c:pt idx="129">
                  <c:v>1600</c:v>
                </c:pt>
                <c:pt idx="130">
                  <c:v>1610</c:v>
                </c:pt>
                <c:pt idx="131">
                  <c:v>1620</c:v>
                </c:pt>
                <c:pt idx="132">
                  <c:v>1630</c:v>
                </c:pt>
                <c:pt idx="133">
                  <c:v>1640</c:v>
                </c:pt>
                <c:pt idx="134">
                  <c:v>1650</c:v>
                </c:pt>
                <c:pt idx="135">
                  <c:v>1660</c:v>
                </c:pt>
                <c:pt idx="136">
                  <c:v>1670</c:v>
                </c:pt>
                <c:pt idx="137">
                  <c:v>1680</c:v>
                </c:pt>
                <c:pt idx="138">
                  <c:v>1690</c:v>
                </c:pt>
                <c:pt idx="139">
                  <c:v>1700</c:v>
                </c:pt>
                <c:pt idx="140">
                  <c:v>1710</c:v>
                </c:pt>
                <c:pt idx="141">
                  <c:v>1720</c:v>
                </c:pt>
                <c:pt idx="142">
                  <c:v>1730</c:v>
                </c:pt>
                <c:pt idx="143">
                  <c:v>1740</c:v>
                </c:pt>
                <c:pt idx="144">
                  <c:v>1750</c:v>
                </c:pt>
                <c:pt idx="145">
                  <c:v>1760</c:v>
                </c:pt>
                <c:pt idx="146">
                  <c:v>1770</c:v>
                </c:pt>
                <c:pt idx="147">
                  <c:v>1780</c:v>
                </c:pt>
                <c:pt idx="148">
                  <c:v>1790</c:v>
                </c:pt>
                <c:pt idx="149">
                  <c:v>1800</c:v>
                </c:pt>
                <c:pt idx="150">
                  <c:v>1810</c:v>
                </c:pt>
                <c:pt idx="151">
                  <c:v>1820</c:v>
                </c:pt>
                <c:pt idx="152">
                  <c:v>1830</c:v>
                </c:pt>
                <c:pt idx="153">
                  <c:v>1840</c:v>
                </c:pt>
                <c:pt idx="154">
                  <c:v>1850</c:v>
                </c:pt>
                <c:pt idx="155">
                  <c:v>1860</c:v>
                </c:pt>
                <c:pt idx="156">
                  <c:v>1870</c:v>
                </c:pt>
                <c:pt idx="157">
                  <c:v>1880</c:v>
                </c:pt>
                <c:pt idx="158">
                  <c:v>1890</c:v>
                </c:pt>
                <c:pt idx="159">
                  <c:v>1900</c:v>
                </c:pt>
                <c:pt idx="160">
                  <c:v>1910</c:v>
                </c:pt>
                <c:pt idx="161">
                  <c:v>1920</c:v>
                </c:pt>
                <c:pt idx="162">
                  <c:v>1930</c:v>
                </c:pt>
                <c:pt idx="163">
                  <c:v>1940</c:v>
                </c:pt>
                <c:pt idx="164">
                  <c:v>1950</c:v>
                </c:pt>
                <c:pt idx="165">
                  <c:v>1960</c:v>
                </c:pt>
                <c:pt idx="166">
                  <c:v>1970</c:v>
                </c:pt>
                <c:pt idx="167">
                  <c:v>1980</c:v>
                </c:pt>
                <c:pt idx="168">
                  <c:v>1990</c:v>
                </c:pt>
                <c:pt idx="169">
                  <c:v>2000</c:v>
                </c:pt>
                <c:pt idx="170">
                  <c:v>2010</c:v>
                </c:pt>
                <c:pt idx="171">
                  <c:v>2020</c:v>
                </c:pt>
                <c:pt idx="172">
                  <c:v>2030</c:v>
                </c:pt>
                <c:pt idx="173">
                  <c:v>2040</c:v>
                </c:pt>
                <c:pt idx="174">
                  <c:v>2050</c:v>
                </c:pt>
                <c:pt idx="175">
                  <c:v>2060</c:v>
                </c:pt>
                <c:pt idx="176">
                  <c:v>2070</c:v>
                </c:pt>
                <c:pt idx="177">
                  <c:v>2080</c:v>
                </c:pt>
                <c:pt idx="178">
                  <c:v>2090</c:v>
                </c:pt>
                <c:pt idx="179">
                  <c:v>2100</c:v>
                </c:pt>
                <c:pt idx="180">
                  <c:v>2110</c:v>
                </c:pt>
                <c:pt idx="181">
                  <c:v>2120</c:v>
                </c:pt>
                <c:pt idx="182">
                  <c:v>2130</c:v>
                </c:pt>
                <c:pt idx="183">
                  <c:v>2140</c:v>
                </c:pt>
                <c:pt idx="184">
                  <c:v>2150</c:v>
                </c:pt>
                <c:pt idx="185">
                  <c:v>2160</c:v>
                </c:pt>
                <c:pt idx="186">
                  <c:v>2170</c:v>
                </c:pt>
                <c:pt idx="187">
                  <c:v>2180</c:v>
                </c:pt>
                <c:pt idx="188">
                  <c:v>2190</c:v>
                </c:pt>
                <c:pt idx="189">
                  <c:v>2200</c:v>
                </c:pt>
                <c:pt idx="190">
                  <c:v>2210</c:v>
                </c:pt>
                <c:pt idx="191">
                  <c:v>2220</c:v>
                </c:pt>
                <c:pt idx="192">
                  <c:v>2230</c:v>
                </c:pt>
                <c:pt idx="193">
                  <c:v>2240</c:v>
                </c:pt>
                <c:pt idx="194">
                  <c:v>2250</c:v>
                </c:pt>
                <c:pt idx="195">
                  <c:v>2260</c:v>
                </c:pt>
                <c:pt idx="196">
                  <c:v>2270</c:v>
                </c:pt>
                <c:pt idx="197">
                  <c:v>2280</c:v>
                </c:pt>
                <c:pt idx="198">
                  <c:v>2290</c:v>
                </c:pt>
                <c:pt idx="199">
                  <c:v>2300</c:v>
                </c:pt>
                <c:pt idx="200">
                  <c:v>2310</c:v>
                </c:pt>
                <c:pt idx="201">
                  <c:v>2320</c:v>
                </c:pt>
                <c:pt idx="202">
                  <c:v>2330</c:v>
                </c:pt>
                <c:pt idx="203">
                  <c:v>2340</c:v>
                </c:pt>
                <c:pt idx="204">
                  <c:v>2350</c:v>
                </c:pt>
                <c:pt idx="205">
                  <c:v>2360</c:v>
                </c:pt>
                <c:pt idx="206">
                  <c:v>2370</c:v>
                </c:pt>
                <c:pt idx="207">
                  <c:v>2380</c:v>
                </c:pt>
                <c:pt idx="208">
                  <c:v>2390</c:v>
                </c:pt>
                <c:pt idx="209">
                  <c:v>2400</c:v>
                </c:pt>
                <c:pt idx="210">
                  <c:v>2410</c:v>
                </c:pt>
                <c:pt idx="211">
                  <c:v>2420</c:v>
                </c:pt>
                <c:pt idx="212">
                  <c:v>2430</c:v>
                </c:pt>
                <c:pt idx="213">
                  <c:v>2440</c:v>
                </c:pt>
                <c:pt idx="214">
                  <c:v>2450</c:v>
                </c:pt>
                <c:pt idx="215">
                  <c:v>2460</c:v>
                </c:pt>
                <c:pt idx="216">
                  <c:v>2470</c:v>
                </c:pt>
                <c:pt idx="217">
                  <c:v>2480</c:v>
                </c:pt>
                <c:pt idx="218">
                  <c:v>2490</c:v>
                </c:pt>
                <c:pt idx="219">
                  <c:v>2500</c:v>
                </c:pt>
                <c:pt idx="220">
                  <c:v>2510</c:v>
                </c:pt>
                <c:pt idx="221">
                  <c:v>2520</c:v>
                </c:pt>
                <c:pt idx="222">
                  <c:v>2530</c:v>
                </c:pt>
                <c:pt idx="223">
                  <c:v>2540</c:v>
                </c:pt>
                <c:pt idx="224">
                  <c:v>2550</c:v>
                </c:pt>
                <c:pt idx="225">
                  <c:v>2560</c:v>
                </c:pt>
                <c:pt idx="226">
                  <c:v>2570</c:v>
                </c:pt>
                <c:pt idx="227">
                  <c:v>2580</c:v>
                </c:pt>
                <c:pt idx="228">
                  <c:v>2590</c:v>
                </c:pt>
                <c:pt idx="229">
                  <c:v>2600</c:v>
                </c:pt>
              </c:numCache>
            </c:numRef>
          </c:xVal>
          <c:yVal>
            <c:numRef>
              <c:f>'[Data-graficos 11 12 2017-v21.02.18.xlsx]Sheet1'!$BC$7:$BC$236</c:f>
              <c:numCache>
                <c:formatCode>General</c:formatCode>
                <c:ptCount val="230"/>
                <c:pt idx="0">
                  <c:v>55</c:v>
                </c:pt>
                <c:pt idx="1">
                  <c:v>55</c:v>
                </c:pt>
                <c:pt idx="2">
                  <c:v>65</c:v>
                </c:pt>
                <c:pt idx="3">
                  <c:v>65</c:v>
                </c:pt>
                <c:pt idx="4">
                  <c:v>65</c:v>
                </c:pt>
                <c:pt idx="5">
                  <c:v>65</c:v>
                </c:pt>
                <c:pt idx="6">
                  <c:v>65</c:v>
                </c:pt>
                <c:pt idx="7">
                  <c:v>65</c:v>
                </c:pt>
                <c:pt idx="8">
                  <c:v>65</c:v>
                </c:pt>
                <c:pt idx="9">
                  <c:v>65</c:v>
                </c:pt>
                <c:pt idx="10">
                  <c:v>65</c:v>
                </c:pt>
                <c:pt idx="11">
                  <c:v>65</c:v>
                </c:pt>
                <c:pt idx="12">
                  <c:v>65</c:v>
                </c:pt>
                <c:pt idx="13">
                  <c:v>65</c:v>
                </c:pt>
                <c:pt idx="14">
                  <c:v>65</c:v>
                </c:pt>
                <c:pt idx="15">
                  <c:v>65</c:v>
                </c:pt>
                <c:pt idx="16">
                  <c:v>65</c:v>
                </c:pt>
                <c:pt idx="17">
                  <c:v>65</c:v>
                </c:pt>
                <c:pt idx="18">
                  <c:v>65</c:v>
                </c:pt>
                <c:pt idx="19">
                  <c:v>65</c:v>
                </c:pt>
                <c:pt idx="20">
                  <c:v>65</c:v>
                </c:pt>
                <c:pt idx="21">
                  <c:v>65</c:v>
                </c:pt>
                <c:pt idx="22">
                  <c:v>65</c:v>
                </c:pt>
                <c:pt idx="23">
                  <c:v>65</c:v>
                </c:pt>
                <c:pt idx="24">
                  <c:v>65</c:v>
                </c:pt>
                <c:pt idx="25">
                  <c:v>65</c:v>
                </c:pt>
                <c:pt idx="26">
                  <c:v>65</c:v>
                </c:pt>
                <c:pt idx="27">
                  <c:v>65</c:v>
                </c:pt>
                <c:pt idx="28">
                  <c:v>65</c:v>
                </c:pt>
                <c:pt idx="29">
                  <c:v>65</c:v>
                </c:pt>
                <c:pt idx="30">
                  <c:v>65</c:v>
                </c:pt>
                <c:pt idx="31">
                  <c:v>65</c:v>
                </c:pt>
                <c:pt idx="32">
                  <c:v>65</c:v>
                </c:pt>
                <c:pt idx="33">
                  <c:v>65</c:v>
                </c:pt>
                <c:pt idx="34">
                  <c:v>65</c:v>
                </c:pt>
                <c:pt idx="35">
                  <c:v>65</c:v>
                </c:pt>
                <c:pt idx="36">
                  <c:v>65</c:v>
                </c:pt>
                <c:pt idx="37">
                  <c:v>65</c:v>
                </c:pt>
                <c:pt idx="38">
                  <c:v>65</c:v>
                </c:pt>
                <c:pt idx="39">
                  <c:v>65</c:v>
                </c:pt>
                <c:pt idx="40">
                  <c:v>65</c:v>
                </c:pt>
                <c:pt idx="41">
                  <c:v>65</c:v>
                </c:pt>
                <c:pt idx="42">
                  <c:v>65</c:v>
                </c:pt>
                <c:pt idx="43">
                  <c:v>65</c:v>
                </c:pt>
                <c:pt idx="44">
                  <c:v>65</c:v>
                </c:pt>
                <c:pt idx="45">
                  <c:v>65</c:v>
                </c:pt>
                <c:pt idx="46">
                  <c:v>65</c:v>
                </c:pt>
                <c:pt idx="47">
                  <c:v>65</c:v>
                </c:pt>
                <c:pt idx="48">
                  <c:v>65</c:v>
                </c:pt>
                <c:pt idx="49">
                  <c:v>65</c:v>
                </c:pt>
                <c:pt idx="50">
                  <c:v>70</c:v>
                </c:pt>
                <c:pt idx="51">
                  <c:v>70</c:v>
                </c:pt>
                <c:pt idx="52">
                  <c:v>70</c:v>
                </c:pt>
                <c:pt idx="53">
                  <c:v>70</c:v>
                </c:pt>
                <c:pt idx="54">
                  <c:v>70</c:v>
                </c:pt>
                <c:pt idx="55">
                  <c:v>70</c:v>
                </c:pt>
                <c:pt idx="56">
                  <c:v>70</c:v>
                </c:pt>
                <c:pt idx="57">
                  <c:v>70</c:v>
                </c:pt>
                <c:pt idx="58">
                  <c:v>70</c:v>
                </c:pt>
                <c:pt idx="59">
                  <c:v>70</c:v>
                </c:pt>
                <c:pt idx="60">
                  <c:v>70</c:v>
                </c:pt>
                <c:pt idx="61">
                  <c:v>70</c:v>
                </c:pt>
                <c:pt idx="62">
                  <c:v>70</c:v>
                </c:pt>
                <c:pt idx="63">
                  <c:v>70</c:v>
                </c:pt>
                <c:pt idx="64">
                  <c:v>70</c:v>
                </c:pt>
                <c:pt idx="65">
                  <c:v>70</c:v>
                </c:pt>
                <c:pt idx="66">
                  <c:v>70</c:v>
                </c:pt>
                <c:pt idx="67">
                  <c:v>70</c:v>
                </c:pt>
                <c:pt idx="68">
                  <c:v>70</c:v>
                </c:pt>
                <c:pt idx="69">
                  <c:v>70</c:v>
                </c:pt>
                <c:pt idx="70">
                  <c:v>70</c:v>
                </c:pt>
                <c:pt idx="71">
                  <c:v>70</c:v>
                </c:pt>
                <c:pt idx="72">
                  <c:v>70</c:v>
                </c:pt>
                <c:pt idx="73">
                  <c:v>70</c:v>
                </c:pt>
                <c:pt idx="74">
                  <c:v>70</c:v>
                </c:pt>
                <c:pt idx="75">
                  <c:v>70</c:v>
                </c:pt>
                <c:pt idx="76">
                  <c:v>70</c:v>
                </c:pt>
                <c:pt idx="77">
                  <c:v>70</c:v>
                </c:pt>
                <c:pt idx="78">
                  <c:v>70</c:v>
                </c:pt>
                <c:pt idx="79">
                  <c:v>70</c:v>
                </c:pt>
                <c:pt idx="80">
                  <c:v>70</c:v>
                </c:pt>
                <c:pt idx="81">
                  <c:v>70</c:v>
                </c:pt>
                <c:pt idx="82">
                  <c:v>70</c:v>
                </c:pt>
                <c:pt idx="83">
                  <c:v>70</c:v>
                </c:pt>
                <c:pt idx="84">
                  <c:v>70</c:v>
                </c:pt>
                <c:pt idx="85">
                  <c:v>70</c:v>
                </c:pt>
                <c:pt idx="86">
                  <c:v>70</c:v>
                </c:pt>
                <c:pt idx="87">
                  <c:v>70</c:v>
                </c:pt>
                <c:pt idx="88">
                  <c:v>70</c:v>
                </c:pt>
                <c:pt idx="89">
                  <c:v>70</c:v>
                </c:pt>
                <c:pt idx="90">
                  <c:v>70</c:v>
                </c:pt>
                <c:pt idx="91">
                  <c:v>70</c:v>
                </c:pt>
                <c:pt idx="92">
                  <c:v>70</c:v>
                </c:pt>
                <c:pt idx="93">
                  <c:v>70</c:v>
                </c:pt>
                <c:pt idx="94">
                  <c:v>70</c:v>
                </c:pt>
                <c:pt idx="95">
                  <c:v>70</c:v>
                </c:pt>
                <c:pt idx="96">
                  <c:v>70</c:v>
                </c:pt>
                <c:pt idx="97">
                  <c:v>70</c:v>
                </c:pt>
                <c:pt idx="98">
                  <c:v>70</c:v>
                </c:pt>
                <c:pt idx="99">
                  <c:v>70</c:v>
                </c:pt>
                <c:pt idx="100">
                  <c:v>70</c:v>
                </c:pt>
                <c:pt idx="101">
                  <c:v>70</c:v>
                </c:pt>
                <c:pt idx="102">
                  <c:v>70</c:v>
                </c:pt>
                <c:pt idx="103">
                  <c:v>70</c:v>
                </c:pt>
                <c:pt idx="104">
                  <c:v>70</c:v>
                </c:pt>
                <c:pt idx="105">
                  <c:v>70</c:v>
                </c:pt>
                <c:pt idx="106">
                  <c:v>70</c:v>
                </c:pt>
                <c:pt idx="107">
                  <c:v>70</c:v>
                </c:pt>
                <c:pt idx="108">
                  <c:v>70</c:v>
                </c:pt>
                <c:pt idx="109">
                  <c:v>70</c:v>
                </c:pt>
                <c:pt idx="110">
                  <c:v>70</c:v>
                </c:pt>
                <c:pt idx="111">
                  <c:v>70</c:v>
                </c:pt>
                <c:pt idx="112">
                  <c:v>70</c:v>
                </c:pt>
                <c:pt idx="113">
                  <c:v>70</c:v>
                </c:pt>
                <c:pt idx="114">
                  <c:v>70</c:v>
                </c:pt>
                <c:pt idx="115">
                  <c:v>70</c:v>
                </c:pt>
                <c:pt idx="116">
                  <c:v>70</c:v>
                </c:pt>
                <c:pt idx="117">
                  <c:v>70</c:v>
                </c:pt>
                <c:pt idx="118">
                  <c:v>70</c:v>
                </c:pt>
                <c:pt idx="119">
                  <c:v>70</c:v>
                </c:pt>
                <c:pt idx="120">
                  <c:v>70</c:v>
                </c:pt>
                <c:pt idx="121">
                  <c:v>70</c:v>
                </c:pt>
                <c:pt idx="122">
                  <c:v>70</c:v>
                </c:pt>
                <c:pt idx="123">
                  <c:v>70</c:v>
                </c:pt>
                <c:pt idx="124">
                  <c:v>70</c:v>
                </c:pt>
                <c:pt idx="125">
                  <c:v>70</c:v>
                </c:pt>
                <c:pt idx="126">
                  <c:v>70</c:v>
                </c:pt>
                <c:pt idx="127">
                  <c:v>70</c:v>
                </c:pt>
                <c:pt idx="128">
                  <c:v>70</c:v>
                </c:pt>
                <c:pt idx="129">
                  <c:v>70</c:v>
                </c:pt>
                <c:pt idx="130">
                  <c:v>70</c:v>
                </c:pt>
                <c:pt idx="131">
                  <c:v>70</c:v>
                </c:pt>
                <c:pt idx="132">
                  <c:v>70</c:v>
                </c:pt>
                <c:pt idx="133">
                  <c:v>70</c:v>
                </c:pt>
                <c:pt idx="134">
                  <c:v>70</c:v>
                </c:pt>
                <c:pt idx="135">
                  <c:v>70</c:v>
                </c:pt>
                <c:pt idx="136">
                  <c:v>70</c:v>
                </c:pt>
                <c:pt idx="137">
                  <c:v>70</c:v>
                </c:pt>
                <c:pt idx="138">
                  <c:v>70</c:v>
                </c:pt>
                <c:pt idx="139">
                  <c:v>70</c:v>
                </c:pt>
                <c:pt idx="140">
                  <c:v>70</c:v>
                </c:pt>
                <c:pt idx="141">
                  <c:v>70</c:v>
                </c:pt>
                <c:pt idx="142">
                  <c:v>70</c:v>
                </c:pt>
                <c:pt idx="143">
                  <c:v>70</c:v>
                </c:pt>
                <c:pt idx="144">
                  <c:v>70</c:v>
                </c:pt>
                <c:pt idx="145">
                  <c:v>70</c:v>
                </c:pt>
                <c:pt idx="146">
                  <c:v>70</c:v>
                </c:pt>
                <c:pt idx="147">
                  <c:v>70</c:v>
                </c:pt>
                <c:pt idx="148">
                  <c:v>70</c:v>
                </c:pt>
                <c:pt idx="149">
                  <c:v>70</c:v>
                </c:pt>
                <c:pt idx="150">
                  <c:v>70</c:v>
                </c:pt>
                <c:pt idx="151">
                  <c:v>70</c:v>
                </c:pt>
                <c:pt idx="152">
                  <c:v>70</c:v>
                </c:pt>
                <c:pt idx="153">
                  <c:v>70</c:v>
                </c:pt>
                <c:pt idx="154">
                  <c:v>70</c:v>
                </c:pt>
                <c:pt idx="155">
                  <c:v>70</c:v>
                </c:pt>
                <c:pt idx="156">
                  <c:v>70</c:v>
                </c:pt>
                <c:pt idx="157">
                  <c:v>70</c:v>
                </c:pt>
                <c:pt idx="158">
                  <c:v>70</c:v>
                </c:pt>
                <c:pt idx="159">
                  <c:v>70</c:v>
                </c:pt>
                <c:pt idx="160">
                  <c:v>70</c:v>
                </c:pt>
                <c:pt idx="161">
                  <c:v>70</c:v>
                </c:pt>
                <c:pt idx="162">
                  <c:v>70</c:v>
                </c:pt>
                <c:pt idx="163">
                  <c:v>70</c:v>
                </c:pt>
                <c:pt idx="164">
                  <c:v>70</c:v>
                </c:pt>
                <c:pt idx="165">
                  <c:v>70</c:v>
                </c:pt>
                <c:pt idx="166">
                  <c:v>70</c:v>
                </c:pt>
                <c:pt idx="167">
                  <c:v>70</c:v>
                </c:pt>
                <c:pt idx="168">
                  <c:v>70</c:v>
                </c:pt>
                <c:pt idx="169">
                  <c:v>70</c:v>
                </c:pt>
                <c:pt idx="170">
                  <c:v>70</c:v>
                </c:pt>
                <c:pt idx="171">
                  <c:v>70</c:v>
                </c:pt>
                <c:pt idx="172">
                  <c:v>70</c:v>
                </c:pt>
                <c:pt idx="173">
                  <c:v>70</c:v>
                </c:pt>
                <c:pt idx="174">
                  <c:v>70</c:v>
                </c:pt>
                <c:pt idx="175">
                  <c:v>70</c:v>
                </c:pt>
                <c:pt idx="176">
                  <c:v>70</c:v>
                </c:pt>
                <c:pt idx="177">
                  <c:v>70</c:v>
                </c:pt>
                <c:pt idx="178">
                  <c:v>70</c:v>
                </c:pt>
                <c:pt idx="179">
                  <c:v>70</c:v>
                </c:pt>
                <c:pt idx="180">
                  <c:v>70</c:v>
                </c:pt>
                <c:pt idx="181">
                  <c:v>70</c:v>
                </c:pt>
                <c:pt idx="182">
                  <c:v>70</c:v>
                </c:pt>
                <c:pt idx="183">
                  <c:v>70</c:v>
                </c:pt>
                <c:pt idx="184">
                  <c:v>70</c:v>
                </c:pt>
                <c:pt idx="185">
                  <c:v>70</c:v>
                </c:pt>
                <c:pt idx="186">
                  <c:v>70</c:v>
                </c:pt>
                <c:pt idx="187">
                  <c:v>70</c:v>
                </c:pt>
                <c:pt idx="188">
                  <c:v>70</c:v>
                </c:pt>
                <c:pt idx="189">
                  <c:v>70</c:v>
                </c:pt>
                <c:pt idx="190">
                  <c:v>70</c:v>
                </c:pt>
                <c:pt idx="191">
                  <c:v>70</c:v>
                </c:pt>
                <c:pt idx="192">
                  <c:v>70</c:v>
                </c:pt>
                <c:pt idx="193">
                  <c:v>70</c:v>
                </c:pt>
                <c:pt idx="194">
                  <c:v>70</c:v>
                </c:pt>
                <c:pt idx="195">
                  <c:v>70</c:v>
                </c:pt>
                <c:pt idx="196">
                  <c:v>70</c:v>
                </c:pt>
                <c:pt idx="197">
                  <c:v>70</c:v>
                </c:pt>
                <c:pt idx="198">
                  <c:v>70</c:v>
                </c:pt>
                <c:pt idx="199">
                  <c:v>70</c:v>
                </c:pt>
                <c:pt idx="200">
                  <c:v>70</c:v>
                </c:pt>
                <c:pt idx="201">
                  <c:v>70</c:v>
                </c:pt>
                <c:pt idx="202">
                  <c:v>70</c:v>
                </c:pt>
                <c:pt idx="203">
                  <c:v>70</c:v>
                </c:pt>
                <c:pt idx="204">
                  <c:v>70</c:v>
                </c:pt>
                <c:pt idx="205">
                  <c:v>70</c:v>
                </c:pt>
                <c:pt idx="206">
                  <c:v>70</c:v>
                </c:pt>
                <c:pt idx="207">
                  <c:v>70</c:v>
                </c:pt>
                <c:pt idx="208">
                  <c:v>70</c:v>
                </c:pt>
                <c:pt idx="209">
                  <c:v>70</c:v>
                </c:pt>
                <c:pt idx="210">
                  <c:v>70</c:v>
                </c:pt>
                <c:pt idx="211">
                  <c:v>70</c:v>
                </c:pt>
                <c:pt idx="212">
                  <c:v>70</c:v>
                </c:pt>
                <c:pt idx="213">
                  <c:v>70</c:v>
                </c:pt>
                <c:pt idx="214">
                  <c:v>70</c:v>
                </c:pt>
                <c:pt idx="215">
                  <c:v>70</c:v>
                </c:pt>
                <c:pt idx="216">
                  <c:v>70</c:v>
                </c:pt>
                <c:pt idx="217">
                  <c:v>70</c:v>
                </c:pt>
                <c:pt idx="218">
                  <c:v>70</c:v>
                </c:pt>
                <c:pt idx="219">
                  <c:v>70</c:v>
                </c:pt>
                <c:pt idx="220">
                  <c:v>70</c:v>
                </c:pt>
                <c:pt idx="221">
                  <c:v>70</c:v>
                </c:pt>
                <c:pt idx="222">
                  <c:v>70</c:v>
                </c:pt>
                <c:pt idx="223">
                  <c:v>70</c:v>
                </c:pt>
                <c:pt idx="224">
                  <c:v>70</c:v>
                </c:pt>
                <c:pt idx="225">
                  <c:v>70</c:v>
                </c:pt>
                <c:pt idx="226">
                  <c:v>70</c:v>
                </c:pt>
                <c:pt idx="227">
                  <c:v>70</c:v>
                </c:pt>
                <c:pt idx="228">
                  <c:v>70</c:v>
                </c:pt>
                <c:pt idx="229">
                  <c:v>70</c:v>
                </c:pt>
              </c:numCache>
            </c:numRef>
          </c:yVal>
          <c:smooth val="1"/>
          <c:extLst>
            <c:ext xmlns:c16="http://schemas.microsoft.com/office/drawing/2014/chart" uri="{C3380CC4-5D6E-409C-BE32-E72D297353CC}">
              <c16:uniqueId val="{00000001-D254-4D4E-B290-50517E212225}"/>
            </c:ext>
          </c:extLst>
        </c:ser>
        <c:ser>
          <c:idx val="1"/>
          <c:order val="2"/>
          <c:tx>
            <c:v>MX Etapa 3 (2020) / LFC (sin envolvente)</c:v>
          </c:tx>
          <c:spPr>
            <a:ln w="19050" cap="rnd">
              <a:solidFill>
                <a:srgbClr val="3F6327"/>
              </a:solidFill>
              <a:prstDash val="dashDot"/>
              <a:round/>
            </a:ln>
            <a:effectLst/>
          </c:spPr>
          <c:marker>
            <c:symbol val="none"/>
          </c:marker>
          <c:xVal>
            <c:numRef>
              <c:f>'[Data-graficos 11 12 2017-v21.02.18.xlsx]Sheet1'!$AL$10:$AL$48</c:f>
              <c:numCache>
                <c:formatCode>General</c:formatCode>
                <c:ptCount val="39"/>
                <c:pt idx="0">
                  <c:v>225</c:v>
                </c:pt>
                <c:pt idx="1">
                  <c:v>270</c:v>
                </c:pt>
                <c:pt idx="2">
                  <c:v>336</c:v>
                </c:pt>
                <c:pt idx="3">
                  <c:v>384</c:v>
                </c:pt>
                <c:pt idx="4">
                  <c:v>432</c:v>
                </c:pt>
                <c:pt idx="5">
                  <c:v>480</c:v>
                </c:pt>
                <c:pt idx="6">
                  <c:v>550</c:v>
                </c:pt>
                <c:pt idx="7">
                  <c:v>600</c:v>
                </c:pt>
                <c:pt idx="8">
                  <c:v>650</c:v>
                </c:pt>
                <c:pt idx="9">
                  <c:v>700</c:v>
                </c:pt>
                <c:pt idx="10">
                  <c:v>780</c:v>
                </c:pt>
                <c:pt idx="11">
                  <c:v>832</c:v>
                </c:pt>
                <c:pt idx="12">
                  <c:v>884</c:v>
                </c:pt>
                <c:pt idx="13">
                  <c:v>936</c:v>
                </c:pt>
                <c:pt idx="14">
                  <c:v>1083</c:v>
                </c:pt>
                <c:pt idx="15">
                  <c:v>1140</c:v>
                </c:pt>
                <c:pt idx="16">
                  <c:v>1197</c:v>
                </c:pt>
                <c:pt idx="17">
                  <c:v>1254</c:v>
                </c:pt>
                <c:pt idx="18">
                  <c:v>1380</c:v>
                </c:pt>
                <c:pt idx="19">
                  <c:v>1440</c:v>
                </c:pt>
                <c:pt idx="20">
                  <c:v>1500</c:v>
                </c:pt>
                <c:pt idx="21">
                  <c:v>1560</c:v>
                </c:pt>
                <c:pt idx="22">
                  <c:v>1620</c:v>
                </c:pt>
                <c:pt idx="23">
                  <c:v>1680</c:v>
                </c:pt>
                <c:pt idx="24">
                  <c:v>1740</c:v>
                </c:pt>
                <c:pt idx="25">
                  <c:v>1800</c:v>
                </c:pt>
                <c:pt idx="26">
                  <c:v>1860</c:v>
                </c:pt>
                <c:pt idx="27">
                  <c:v>1920</c:v>
                </c:pt>
                <c:pt idx="28">
                  <c:v>1980</c:v>
                </c:pt>
                <c:pt idx="29">
                  <c:v>2040</c:v>
                </c:pt>
                <c:pt idx="30">
                  <c:v>2100</c:v>
                </c:pt>
                <c:pt idx="31">
                  <c:v>2160</c:v>
                </c:pt>
                <c:pt idx="32">
                  <c:v>2220</c:v>
                </c:pt>
                <c:pt idx="33">
                  <c:v>2280</c:v>
                </c:pt>
                <c:pt idx="34">
                  <c:v>2340</c:v>
                </c:pt>
                <c:pt idx="35">
                  <c:v>2400</c:v>
                </c:pt>
                <c:pt idx="36">
                  <c:v>2460</c:v>
                </c:pt>
                <c:pt idx="37">
                  <c:v>2520</c:v>
                </c:pt>
                <c:pt idx="38">
                  <c:v>2580</c:v>
                </c:pt>
              </c:numCache>
            </c:numRef>
          </c:xVal>
          <c:yVal>
            <c:numRef>
              <c:f>'[Data-graficos 11 12 2017-v21.02.18.xlsx]Sheet1'!$AN$10:$AN$48</c:f>
              <c:numCache>
                <c:formatCode>General</c:formatCode>
                <c:ptCount val="39"/>
                <c:pt idx="0">
                  <c:v>45</c:v>
                </c:pt>
                <c:pt idx="1">
                  <c:v>45</c:v>
                </c:pt>
                <c:pt idx="2">
                  <c:v>48</c:v>
                </c:pt>
                <c:pt idx="3">
                  <c:v>48</c:v>
                </c:pt>
                <c:pt idx="4">
                  <c:v>48</c:v>
                </c:pt>
                <c:pt idx="5">
                  <c:v>48</c:v>
                </c:pt>
                <c:pt idx="6">
                  <c:v>50</c:v>
                </c:pt>
                <c:pt idx="7">
                  <c:v>50</c:v>
                </c:pt>
                <c:pt idx="8">
                  <c:v>50</c:v>
                </c:pt>
                <c:pt idx="9">
                  <c:v>50</c:v>
                </c:pt>
                <c:pt idx="10">
                  <c:v>52</c:v>
                </c:pt>
                <c:pt idx="11">
                  <c:v>52</c:v>
                </c:pt>
                <c:pt idx="12">
                  <c:v>52</c:v>
                </c:pt>
                <c:pt idx="13">
                  <c:v>52</c:v>
                </c:pt>
                <c:pt idx="14">
                  <c:v>57</c:v>
                </c:pt>
                <c:pt idx="15">
                  <c:v>57</c:v>
                </c:pt>
                <c:pt idx="16">
                  <c:v>57</c:v>
                </c:pt>
                <c:pt idx="17">
                  <c:v>57</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numCache>
            </c:numRef>
          </c:yVal>
          <c:smooth val="1"/>
          <c:extLst>
            <c:ext xmlns:c16="http://schemas.microsoft.com/office/drawing/2014/chart" uri="{C3380CC4-5D6E-409C-BE32-E72D297353CC}">
              <c16:uniqueId val="{00000002-D254-4D4E-B290-50517E212225}"/>
            </c:ext>
          </c:extLst>
        </c:ser>
        <c:ser>
          <c:idx val="6"/>
          <c:order val="3"/>
          <c:tx>
            <c:v>MX Lámp. incand. (proyecto 2017)</c:v>
          </c:tx>
          <c:spPr>
            <a:ln>
              <a:solidFill>
                <a:srgbClr val="0F9361"/>
              </a:solidFill>
              <a:prstDash val="sysDash"/>
            </a:ln>
          </c:spPr>
          <c:marker>
            <c:symbol val="none"/>
          </c:marker>
          <c:xVal>
            <c:numRef>
              <c:f>'[Data-graficos 11 12 2017-v21.02.18.xlsx]Sheet1'!$AO$17:$AO$236</c:f>
              <c:numCache>
                <c:formatCode>General</c:formatCode>
                <c:ptCount val="220"/>
                <c:pt idx="0">
                  <c:v>410</c:v>
                </c:pt>
                <c:pt idx="1">
                  <c:v>420</c:v>
                </c:pt>
                <c:pt idx="2">
                  <c:v>430</c:v>
                </c:pt>
                <c:pt idx="3">
                  <c:v>440</c:v>
                </c:pt>
                <c:pt idx="4">
                  <c:v>450</c:v>
                </c:pt>
                <c:pt idx="5">
                  <c:v>460</c:v>
                </c:pt>
                <c:pt idx="6">
                  <c:v>470</c:v>
                </c:pt>
                <c:pt idx="7">
                  <c:v>480</c:v>
                </c:pt>
                <c:pt idx="8">
                  <c:v>490</c:v>
                </c:pt>
                <c:pt idx="9">
                  <c:v>500</c:v>
                </c:pt>
                <c:pt idx="10">
                  <c:v>510</c:v>
                </c:pt>
                <c:pt idx="11">
                  <c:v>520</c:v>
                </c:pt>
                <c:pt idx="12">
                  <c:v>530</c:v>
                </c:pt>
                <c:pt idx="13">
                  <c:v>540</c:v>
                </c:pt>
                <c:pt idx="14">
                  <c:v>550</c:v>
                </c:pt>
                <c:pt idx="15">
                  <c:v>560</c:v>
                </c:pt>
                <c:pt idx="16">
                  <c:v>570</c:v>
                </c:pt>
                <c:pt idx="17">
                  <c:v>580</c:v>
                </c:pt>
                <c:pt idx="18">
                  <c:v>590</c:v>
                </c:pt>
                <c:pt idx="19">
                  <c:v>600</c:v>
                </c:pt>
                <c:pt idx="20">
                  <c:v>610</c:v>
                </c:pt>
                <c:pt idx="21">
                  <c:v>620</c:v>
                </c:pt>
                <c:pt idx="22">
                  <c:v>630</c:v>
                </c:pt>
                <c:pt idx="23">
                  <c:v>640</c:v>
                </c:pt>
                <c:pt idx="24">
                  <c:v>650</c:v>
                </c:pt>
                <c:pt idx="25">
                  <c:v>660</c:v>
                </c:pt>
                <c:pt idx="26">
                  <c:v>670</c:v>
                </c:pt>
                <c:pt idx="27">
                  <c:v>680</c:v>
                </c:pt>
                <c:pt idx="28">
                  <c:v>690</c:v>
                </c:pt>
                <c:pt idx="29">
                  <c:v>700</c:v>
                </c:pt>
                <c:pt idx="30">
                  <c:v>710</c:v>
                </c:pt>
                <c:pt idx="31">
                  <c:v>720</c:v>
                </c:pt>
                <c:pt idx="32">
                  <c:v>730</c:v>
                </c:pt>
                <c:pt idx="33">
                  <c:v>740</c:v>
                </c:pt>
                <c:pt idx="34">
                  <c:v>750</c:v>
                </c:pt>
                <c:pt idx="35">
                  <c:v>760</c:v>
                </c:pt>
                <c:pt idx="36">
                  <c:v>770</c:v>
                </c:pt>
                <c:pt idx="37">
                  <c:v>780</c:v>
                </c:pt>
                <c:pt idx="38">
                  <c:v>790</c:v>
                </c:pt>
                <c:pt idx="39">
                  <c:v>800</c:v>
                </c:pt>
                <c:pt idx="40">
                  <c:v>810</c:v>
                </c:pt>
                <c:pt idx="41">
                  <c:v>820</c:v>
                </c:pt>
                <c:pt idx="42">
                  <c:v>830</c:v>
                </c:pt>
                <c:pt idx="43">
                  <c:v>840</c:v>
                </c:pt>
                <c:pt idx="44">
                  <c:v>850</c:v>
                </c:pt>
                <c:pt idx="45">
                  <c:v>860</c:v>
                </c:pt>
                <c:pt idx="46">
                  <c:v>870</c:v>
                </c:pt>
                <c:pt idx="47">
                  <c:v>880</c:v>
                </c:pt>
                <c:pt idx="48">
                  <c:v>890</c:v>
                </c:pt>
                <c:pt idx="49">
                  <c:v>900</c:v>
                </c:pt>
                <c:pt idx="50">
                  <c:v>910</c:v>
                </c:pt>
                <c:pt idx="51">
                  <c:v>920</c:v>
                </c:pt>
                <c:pt idx="52">
                  <c:v>930</c:v>
                </c:pt>
                <c:pt idx="53">
                  <c:v>940</c:v>
                </c:pt>
                <c:pt idx="54">
                  <c:v>950</c:v>
                </c:pt>
                <c:pt idx="55">
                  <c:v>960</c:v>
                </c:pt>
                <c:pt idx="56">
                  <c:v>970</c:v>
                </c:pt>
                <c:pt idx="57">
                  <c:v>980</c:v>
                </c:pt>
                <c:pt idx="58">
                  <c:v>990</c:v>
                </c:pt>
                <c:pt idx="59">
                  <c:v>1000</c:v>
                </c:pt>
                <c:pt idx="60">
                  <c:v>1010</c:v>
                </c:pt>
                <c:pt idx="61">
                  <c:v>1020</c:v>
                </c:pt>
                <c:pt idx="62">
                  <c:v>1030</c:v>
                </c:pt>
                <c:pt idx="63">
                  <c:v>1040</c:v>
                </c:pt>
                <c:pt idx="64">
                  <c:v>1050</c:v>
                </c:pt>
                <c:pt idx="65">
                  <c:v>1060</c:v>
                </c:pt>
                <c:pt idx="66">
                  <c:v>1070</c:v>
                </c:pt>
                <c:pt idx="67">
                  <c:v>1080</c:v>
                </c:pt>
                <c:pt idx="68">
                  <c:v>1090</c:v>
                </c:pt>
                <c:pt idx="69">
                  <c:v>1100</c:v>
                </c:pt>
                <c:pt idx="70">
                  <c:v>1110</c:v>
                </c:pt>
                <c:pt idx="71">
                  <c:v>1120</c:v>
                </c:pt>
                <c:pt idx="72">
                  <c:v>1130</c:v>
                </c:pt>
                <c:pt idx="73">
                  <c:v>1140</c:v>
                </c:pt>
                <c:pt idx="74">
                  <c:v>1150</c:v>
                </c:pt>
                <c:pt idx="75">
                  <c:v>1160</c:v>
                </c:pt>
                <c:pt idx="76">
                  <c:v>1170</c:v>
                </c:pt>
                <c:pt idx="77">
                  <c:v>1180</c:v>
                </c:pt>
                <c:pt idx="78">
                  <c:v>1190</c:v>
                </c:pt>
                <c:pt idx="79">
                  <c:v>1200</c:v>
                </c:pt>
                <c:pt idx="80">
                  <c:v>1210</c:v>
                </c:pt>
                <c:pt idx="81">
                  <c:v>1220</c:v>
                </c:pt>
                <c:pt idx="82">
                  <c:v>1230</c:v>
                </c:pt>
                <c:pt idx="83">
                  <c:v>1240</c:v>
                </c:pt>
                <c:pt idx="84">
                  <c:v>1250</c:v>
                </c:pt>
                <c:pt idx="85">
                  <c:v>1260</c:v>
                </c:pt>
                <c:pt idx="86">
                  <c:v>1270</c:v>
                </c:pt>
                <c:pt idx="87">
                  <c:v>1280</c:v>
                </c:pt>
                <c:pt idx="88">
                  <c:v>1290</c:v>
                </c:pt>
                <c:pt idx="89">
                  <c:v>1300</c:v>
                </c:pt>
                <c:pt idx="90">
                  <c:v>1310</c:v>
                </c:pt>
                <c:pt idx="91">
                  <c:v>1320</c:v>
                </c:pt>
                <c:pt idx="92">
                  <c:v>1330</c:v>
                </c:pt>
                <c:pt idx="93">
                  <c:v>1340</c:v>
                </c:pt>
                <c:pt idx="94">
                  <c:v>1350</c:v>
                </c:pt>
                <c:pt idx="95">
                  <c:v>1360</c:v>
                </c:pt>
                <c:pt idx="96">
                  <c:v>1370</c:v>
                </c:pt>
                <c:pt idx="97">
                  <c:v>1380</c:v>
                </c:pt>
                <c:pt idx="98">
                  <c:v>1390</c:v>
                </c:pt>
                <c:pt idx="99">
                  <c:v>1400</c:v>
                </c:pt>
                <c:pt idx="100">
                  <c:v>1410</c:v>
                </c:pt>
                <c:pt idx="101">
                  <c:v>1420</c:v>
                </c:pt>
                <c:pt idx="102">
                  <c:v>1430</c:v>
                </c:pt>
                <c:pt idx="103">
                  <c:v>1440</c:v>
                </c:pt>
                <c:pt idx="104">
                  <c:v>1450</c:v>
                </c:pt>
                <c:pt idx="105">
                  <c:v>1460</c:v>
                </c:pt>
                <c:pt idx="106">
                  <c:v>1470</c:v>
                </c:pt>
                <c:pt idx="107">
                  <c:v>1480</c:v>
                </c:pt>
                <c:pt idx="108">
                  <c:v>1490</c:v>
                </c:pt>
                <c:pt idx="109">
                  <c:v>1500</c:v>
                </c:pt>
                <c:pt idx="110">
                  <c:v>1510</c:v>
                </c:pt>
                <c:pt idx="111">
                  <c:v>1520</c:v>
                </c:pt>
                <c:pt idx="112">
                  <c:v>1530</c:v>
                </c:pt>
                <c:pt idx="113">
                  <c:v>1540</c:v>
                </c:pt>
                <c:pt idx="114">
                  <c:v>1550</c:v>
                </c:pt>
                <c:pt idx="115">
                  <c:v>1560</c:v>
                </c:pt>
                <c:pt idx="116">
                  <c:v>1570</c:v>
                </c:pt>
                <c:pt idx="117">
                  <c:v>1580</c:v>
                </c:pt>
                <c:pt idx="118">
                  <c:v>1590</c:v>
                </c:pt>
                <c:pt idx="119">
                  <c:v>1600</c:v>
                </c:pt>
                <c:pt idx="120">
                  <c:v>1610</c:v>
                </c:pt>
                <c:pt idx="121">
                  <c:v>1620</c:v>
                </c:pt>
                <c:pt idx="122">
                  <c:v>1630</c:v>
                </c:pt>
                <c:pt idx="123">
                  <c:v>1640</c:v>
                </c:pt>
                <c:pt idx="124">
                  <c:v>1650</c:v>
                </c:pt>
                <c:pt idx="125">
                  <c:v>1660</c:v>
                </c:pt>
                <c:pt idx="126">
                  <c:v>1670</c:v>
                </c:pt>
                <c:pt idx="127">
                  <c:v>1680</c:v>
                </c:pt>
                <c:pt idx="128">
                  <c:v>1690</c:v>
                </c:pt>
                <c:pt idx="129">
                  <c:v>1700</c:v>
                </c:pt>
                <c:pt idx="130">
                  <c:v>1710</c:v>
                </c:pt>
                <c:pt idx="131">
                  <c:v>1720</c:v>
                </c:pt>
                <c:pt idx="132">
                  <c:v>1730</c:v>
                </c:pt>
                <c:pt idx="133">
                  <c:v>1740</c:v>
                </c:pt>
                <c:pt idx="134">
                  <c:v>1750</c:v>
                </c:pt>
                <c:pt idx="135">
                  <c:v>1760</c:v>
                </c:pt>
                <c:pt idx="136">
                  <c:v>1770</c:v>
                </c:pt>
                <c:pt idx="137">
                  <c:v>1780</c:v>
                </c:pt>
                <c:pt idx="138">
                  <c:v>1790</c:v>
                </c:pt>
                <c:pt idx="139">
                  <c:v>1800</c:v>
                </c:pt>
                <c:pt idx="140">
                  <c:v>1810</c:v>
                </c:pt>
                <c:pt idx="141">
                  <c:v>1820</c:v>
                </c:pt>
                <c:pt idx="142">
                  <c:v>1830</c:v>
                </c:pt>
                <c:pt idx="143">
                  <c:v>1840</c:v>
                </c:pt>
                <c:pt idx="144">
                  <c:v>1850</c:v>
                </c:pt>
                <c:pt idx="145">
                  <c:v>1860</c:v>
                </c:pt>
                <c:pt idx="146">
                  <c:v>1870</c:v>
                </c:pt>
                <c:pt idx="147">
                  <c:v>1880</c:v>
                </c:pt>
                <c:pt idx="148">
                  <c:v>1890</c:v>
                </c:pt>
                <c:pt idx="149">
                  <c:v>1900</c:v>
                </c:pt>
                <c:pt idx="150">
                  <c:v>1910</c:v>
                </c:pt>
                <c:pt idx="151">
                  <c:v>1920</c:v>
                </c:pt>
                <c:pt idx="152">
                  <c:v>1930</c:v>
                </c:pt>
                <c:pt idx="153">
                  <c:v>1940</c:v>
                </c:pt>
                <c:pt idx="154">
                  <c:v>1950</c:v>
                </c:pt>
                <c:pt idx="155">
                  <c:v>1960</c:v>
                </c:pt>
                <c:pt idx="156">
                  <c:v>1970</c:v>
                </c:pt>
                <c:pt idx="157">
                  <c:v>1980</c:v>
                </c:pt>
                <c:pt idx="158">
                  <c:v>1990</c:v>
                </c:pt>
                <c:pt idx="159">
                  <c:v>2000</c:v>
                </c:pt>
                <c:pt idx="160">
                  <c:v>2010</c:v>
                </c:pt>
                <c:pt idx="161">
                  <c:v>2020</c:v>
                </c:pt>
                <c:pt idx="162">
                  <c:v>2030</c:v>
                </c:pt>
                <c:pt idx="163">
                  <c:v>2040</c:v>
                </c:pt>
                <c:pt idx="164">
                  <c:v>2050</c:v>
                </c:pt>
                <c:pt idx="165">
                  <c:v>2060</c:v>
                </c:pt>
                <c:pt idx="166">
                  <c:v>2070</c:v>
                </c:pt>
                <c:pt idx="167">
                  <c:v>2080</c:v>
                </c:pt>
                <c:pt idx="168">
                  <c:v>2090</c:v>
                </c:pt>
                <c:pt idx="169">
                  <c:v>2100</c:v>
                </c:pt>
                <c:pt idx="170">
                  <c:v>2110</c:v>
                </c:pt>
                <c:pt idx="171">
                  <c:v>2120</c:v>
                </c:pt>
                <c:pt idx="172">
                  <c:v>2130</c:v>
                </c:pt>
                <c:pt idx="173">
                  <c:v>2140</c:v>
                </c:pt>
                <c:pt idx="174">
                  <c:v>2150</c:v>
                </c:pt>
                <c:pt idx="175">
                  <c:v>2160</c:v>
                </c:pt>
                <c:pt idx="176">
                  <c:v>2170</c:v>
                </c:pt>
                <c:pt idx="177">
                  <c:v>2180</c:v>
                </c:pt>
                <c:pt idx="178">
                  <c:v>2190</c:v>
                </c:pt>
                <c:pt idx="179">
                  <c:v>2200</c:v>
                </c:pt>
                <c:pt idx="180">
                  <c:v>2210</c:v>
                </c:pt>
                <c:pt idx="181">
                  <c:v>2220</c:v>
                </c:pt>
                <c:pt idx="182">
                  <c:v>2230</c:v>
                </c:pt>
                <c:pt idx="183">
                  <c:v>2240</c:v>
                </c:pt>
                <c:pt idx="184">
                  <c:v>2250</c:v>
                </c:pt>
                <c:pt idx="185">
                  <c:v>2260</c:v>
                </c:pt>
                <c:pt idx="186">
                  <c:v>2270</c:v>
                </c:pt>
                <c:pt idx="187">
                  <c:v>2280</c:v>
                </c:pt>
                <c:pt idx="188">
                  <c:v>2290</c:v>
                </c:pt>
                <c:pt idx="189">
                  <c:v>2300</c:v>
                </c:pt>
                <c:pt idx="190">
                  <c:v>2310</c:v>
                </c:pt>
                <c:pt idx="191">
                  <c:v>2320</c:v>
                </c:pt>
                <c:pt idx="192">
                  <c:v>2330</c:v>
                </c:pt>
                <c:pt idx="193">
                  <c:v>2340</c:v>
                </c:pt>
                <c:pt idx="194">
                  <c:v>2350</c:v>
                </c:pt>
                <c:pt idx="195">
                  <c:v>2360</c:v>
                </c:pt>
                <c:pt idx="196">
                  <c:v>2370</c:v>
                </c:pt>
                <c:pt idx="197">
                  <c:v>2380</c:v>
                </c:pt>
                <c:pt idx="198">
                  <c:v>2390</c:v>
                </c:pt>
                <c:pt idx="199">
                  <c:v>2400</c:v>
                </c:pt>
                <c:pt idx="200">
                  <c:v>2410</c:v>
                </c:pt>
                <c:pt idx="201">
                  <c:v>2420</c:v>
                </c:pt>
                <c:pt idx="202">
                  <c:v>2430</c:v>
                </c:pt>
                <c:pt idx="203">
                  <c:v>2440</c:v>
                </c:pt>
                <c:pt idx="204">
                  <c:v>2450</c:v>
                </c:pt>
                <c:pt idx="205">
                  <c:v>2460</c:v>
                </c:pt>
                <c:pt idx="206">
                  <c:v>2470</c:v>
                </c:pt>
                <c:pt idx="207">
                  <c:v>2480</c:v>
                </c:pt>
                <c:pt idx="208">
                  <c:v>2490</c:v>
                </c:pt>
                <c:pt idx="209">
                  <c:v>2500</c:v>
                </c:pt>
                <c:pt idx="210">
                  <c:v>2510</c:v>
                </c:pt>
                <c:pt idx="211">
                  <c:v>2520</c:v>
                </c:pt>
                <c:pt idx="212">
                  <c:v>2530</c:v>
                </c:pt>
                <c:pt idx="213">
                  <c:v>2540</c:v>
                </c:pt>
                <c:pt idx="214">
                  <c:v>2550</c:v>
                </c:pt>
                <c:pt idx="215">
                  <c:v>2560</c:v>
                </c:pt>
                <c:pt idx="216">
                  <c:v>2570</c:v>
                </c:pt>
                <c:pt idx="217">
                  <c:v>2580</c:v>
                </c:pt>
                <c:pt idx="218">
                  <c:v>2590</c:v>
                </c:pt>
                <c:pt idx="219">
                  <c:v>2600</c:v>
                </c:pt>
              </c:numCache>
            </c:numRef>
          </c:xVal>
          <c:yVal>
            <c:numRef>
              <c:f>'[Data-graficos 11 12 2017-v21.02.18.xlsx]Sheet1'!$AQ$17:$AQ$236</c:f>
              <c:numCache>
                <c:formatCode>0.00</c:formatCode>
                <c:ptCount val="220"/>
                <c:pt idx="0">
                  <c:v>14</c:v>
                </c:pt>
                <c:pt idx="1">
                  <c:v>14</c:v>
                </c:pt>
                <c:pt idx="2">
                  <c:v>14</c:v>
                </c:pt>
                <c:pt idx="3">
                  <c:v>14</c:v>
                </c:pt>
                <c:pt idx="4">
                  <c:v>14</c:v>
                </c:pt>
                <c:pt idx="5">
                  <c:v>14</c:v>
                </c:pt>
                <c:pt idx="6">
                  <c:v>14</c:v>
                </c:pt>
                <c:pt idx="7">
                  <c:v>14</c:v>
                </c:pt>
                <c:pt idx="8">
                  <c:v>14</c:v>
                </c:pt>
                <c:pt idx="9">
                  <c:v>14</c:v>
                </c:pt>
                <c:pt idx="10">
                  <c:v>14</c:v>
                </c:pt>
                <c:pt idx="11">
                  <c:v>14</c:v>
                </c:pt>
                <c:pt idx="12">
                  <c:v>14</c:v>
                </c:pt>
                <c:pt idx="13">
                  <c:v>14</c:v>
                </c:pt>
                <c:pt idx="14">
                  <c:v>14</c:v>
                </c:pt>
                <c:pt idx="15">
                  <c:v>14</c:v>
                </c:pt>
                <c:pt idx="16">
                  <c:v>14</c:v>
                </c:pt>
                <c:pt idx="17">
                  <c:v>14</c:v>
                </c:pt>
                <c:pt idx="18">
                  <c:v>14</c:v>
                </c:pt>
                <c:pt idx="19">
                  <c:v>14</c:v>
                </c:pt>
                <c:pt idx="20">
                  <c:v>14</c:v>
                </c:pt>
                <c:pt idx="21">
                  <c:v>14</c:v>
                </c:pt>
                <c:pt idx="22">
                  <c:v>14</c:v>
                </c:pt>
                <c:pt idx="23">
                  <c:v>14</c:v>
                </c:pt>
                <c:pt idx="24">
                  <c:v>14</c:v>
                </c:pt>
                <c:pt idx="25">
                  <c:v>14</c:v>
                </c:pt>
                <c:pt idx="26">
                  <c:v>14</c:v>
                </c:pt>
                <c:pt idx="27">
                  <c:v>14</c:v>
                </c:pt>
                <c:pt idx="28">
                  <c:v>14</c:v>
                </c:pt>
                <c:pt idx="29">
                  <c:v>14</c:v>
                </c:pt>
                <c:pt idx="30">
                  <c:v>14</c:v>
                </c:pt>
                <c:pt idx="31">
                  <c:v>14</c:v>
                </c:pt>
                <c:pt idx="32">
                  <c:v>14</c:v>
                </c:pt>
                <c:pt idx="33">
                  <c:v>14</c:v>
                </c:pt>
                <c:pt idx="34">
                  <c:v>17.440000000000001</c:v>
                </c:pt>
                <c:pt idx="35">
                  <c:v>17.440000000000001</c:v>
                </c:pt>
                <c:pt idx="36">
                  <c:v>17.440000000000001</c:v>
                </c:pt>
                <c:pt idx="37">
                  <c:v>17.440000000000001</c:v>
                </c:pt>
                <c:pt idx="38">
                  <c:v>17.440000000000001</c:v>
                </c:pt>
                <c:pt idx="39">
                  <c:v>17.440000000000001</c:v>
                </c:pt>
                <c:pt idx="40">
                  <c:v>17.440000000000001</c:v>
                </c:pt>
                <c:pt idx="41">
                  <c:v>17.440000000000001</c:v>
                </c:pt>
                <c:pt idx="42">
                  <c:v>17.440000000000001</c:v>
                </c:pt>
                <c:pt idx="43">
                  <c:v>17.440000000000001</c:v>
                </c:pt>
                <c:pt idx="44">
                  <c:v>17.440000000000001</c:v>
                </c:pt>
                <c:pt idx="45">
                  <c:v>17.440000000000001</c:v>
                </c:pt>
                <c:pt idx="46">
                  <c:v>17.440000000000001</c:v>
                </c:pt>
                <c:pt idx="47">
                  <c:v>17.440000000000001</c:v>
                </c:pt>
                <c:pt idx="48">
                  <c:v>17.440000000000001</c:v>
                </c:pt>
                <c:pt idx="49">
                  <c:v>17.440000000000001</c:v>
                </c:pt>
                <c:pt idx="50">
                  <c:v>17.440000000000001</c:v>
                </c:pt>
                <c:pt idx="51">
                  <c:v>17.440000000000001</c:v>
                </c:pt>
                <c:pt idx="52">
                  <c:v>17.440000000000001</c:v>
                </c:pt>
                <c:pt idx="53">
                  <c:v>17.440000000000001</c:v>
                </c:pt>
                <c:pt idx="54">
                  <c:v>17.440000000000001</c:v>
                </c:pt>
                <c:pt idx="55">
                  <c:v>17.440000000000001</c:v>
                </c:pt>
                <c:pt idx="56">
                  <c:v>17.440000000000001</c:v>
                </c:pt>
                <c:pt idx="57">
                  <c:v>17.440000000000001</c:v>
                </c:pt>
                <c:pt idx="58">
                  <c:v>17.440000000000001</c:v>
                </c:pt>
                <c:pt idx="59">
                  <c:v>17.440000000000001</c:v>
                </c:pt>
                <c:pt idx="60">
                  <c:v>17.440000000000001</c:v>
                </c:pt>
                <c:pt idx="61">
                  <c:v>17.440000000000001</c:v>
                </c:pt>
                <c:pt idx="62">
                  <c:v>17.440000000000001</c:v>
                </c:pt>
                <c:pt idx="63">
                  <c:v>17.440000000000001</c:v>
                </c:pt>
                <c:pt idx="64">
                  <c:v>19.809999999999999</c:v>
                </c:pt>
                <c:pt idx="65">
                  <c:v>19.809999999999999</c:v>
                </c:pt>
                <c:pt idx="66">
                  <c:v>19.809999999999999</c:v>
                </c:pt>
                <c:pt idx="67">
                  <c:v>19.809999999999999</c:v>
                </c:pt>
                <c:pt idx="68">
                  <c:v>19.809999999999999</c:v>
                </c:pt>
                <c:pt idx="69">
                  <c:v>19.809999999999999</c:v>
                </c:pt>
                <c:pt idx="70">
                  <c:v>19.809999999999999</c:v>
                </c:pt>
                <c:pt idx="71">
                  <c:v>19.809999999999999</c:v>
                </c:pt>
                <c:pt idx="72">
                  <c:v>19.809999999999999</c:v>
                </c:pt>
                <c:pt idx="73">
                  <c:v>19.809999999999999</c:v>
                </c:pt>
                <c:pt idx="74">
                  <c:v>19.809999999999999</c:v>
                </c:pt>
                <c:pt idx="75">
                  <c:v>19.809999999999999</c:v>
                </c:pt>
                <c:pt idx="76">
                  <c:v>19.809999999999999</c:v>
                </c:pt>
                <c:pt idx="77">
                  <c:v>19.809999999999999</c:v>
                </c:pt>
                <c:pt idx="78">
                  <c:v>19.809999999999999</c:v>
                </c:pt>
                <c:pt idx="79">
                  <c:v>19.809999999999999</c:v>
                </c:pt>
                <c:pt idx="80">
                  <c:v>19.809999999999999</c:v>
                </c:pt>
                <c:pt idx="81">
                  <c:v>19.809999999999999</c:v>
                </c:pt>
                <c:pt idx="82">
                  <c:v>19.809999999999999</c:v>
                </c:pt>
                <c:pt idx="83">
                  <c:v>19.809999999999999</c:v>
                </c:pt>
                <c:pt idx="84">
                  <c:v>19.809999999999999</c:v>
                </c:pt>
                <c:pt idx="85">
                  <c:v>19.809999999999999</c:v>
                </c:pt>
                <c:pt idx="86">
                  <c:v>19.809999999999999</c:v>
                </c:pt>
                <c:pt idx="87">
                  <c:v>19.809999999999999</c:v>
                </c:pt>
                <c:pt idx="88">
                  <c:v>19.809999999999999</c:v>
                </c:pt>
                <c:pt idx="89">
                  <c:v>19.809999999999999</c:v>
                </c:pt>
                <c:pt idx="90">
                  <c:v>19.809999999999999</c:v>
                </c:pt>
                <c:pt idx="91">
                  <c:v>19.809999999999999</c:v>
                </c:pt>
                <c:pt idx="92">
                  <c:v>19.809999999999999</c:v>
                </c:pt>
                <c:pt idx="93">
                  <c:v>19.809999999999999</c:v>
                </c:pt>
                <c:pt idx="94">
                  <c:v>19.809999999999999</c:v>
                </c:pt>
                <c:pt idx="95">
                  <c:v>19.809999999999999</c:v>
                </c:pt>
                <c:pt idx="96">
                  <c:v>19.809999999999999</c:v>
                </c:pt>
                <c:pt idx="97">
                  <c:v>19.809999999999999</c:v>
                </c:pt>
                <c:pt idx="98">
                  <c:v>19.809999999999999</c:v>
                </c:pt>
                <c:pt idx="99">
                  <c:v>19.809999999999999</c:v>
                </c:pt>
                <c:pt idx="100">
                  <c:v>19.809999999999999</c:v>
                </c:pt>
                <c:pt idx="101">
                  <c:v>19.809999999999999</c:v>
                </c:pt>
                <c:pt idx="102">
                  <c:v>19.809999999999999</c:v>
                </c:pt>
                <c:pt idx="103">
                  <c:v>19.809999999999999</c:v>
                </c:pt>
                <c:pt idx="104">
                  <c:v>19.809999999999999</c:v>
                </c:pt>
                <c:pt idx="105">
                  <c:v>19.809999999999999</c:v>
                </c:pt>
                <c:pt idx="106">
                  <c:v>19.809999999999999</c:v>
                </c:pt>
                <c:pt idx="107">
                  <c:v>19.809999999999999</c:v>
                </c:pt>
                <c:pt idx="108">
                  <c:v>20.69</c:v>
                </c:pt>
                <c:pt idx="109">
                  <c:v>20.69</c:v>
                </c:pt>
                <c:pt idx="110">
                  <c:v>20.69</c:v>
                </c:pt>
                <c:pt idx="111">
                  <c:v>20.69</c:v>
                </c:pt>
                <c:pt idx="112">
                  <c:v>20.69</c:v>
                </c:pt>
                <c:pt idx="113">
                  <c:v>20.69</c:v>
                </c:pt>
                <c:pt idx="114">
                  <c:v>20.69</c:v>
                </c:pt>
                <c:pt idx="115">
                  <c:v>20.69</c:v>
                </c:pt>
                <c:pt idx="116">
                  <c:v>20.69</c:v>
                </c:pt>
                <c:pt idx="117">
                  <c:v>20.69</c:v>
                </c:pt>
                <c:pt idx="118">
                  <c:v>20.69</c:v>
                </c:pt>
                <c:pt idx="119">
                  <c:v>20.69</c:v>
                </c:pt>
                <c:pt idx="120">
                  <c:v>20.69</c:v>
                </c:pt>
                <c:pt idx="121">
                  <c:v>20.69</c:v>
                </c:pt>
                <c:pt idx="122">
                  <c:v>20.69</c:v>
                </c:pt>
                <c:pt idx="123">
                  <c:v>20.69</c:v>
                </c:pt>
                <c:pt idx="124">
                  <c:v>20.69</c:v>
                </c:pt>
                <c:pt idx="125">
                  <c:v>20.69</c:v>
                </c:pt>
                <c:pt idx="126">
                  <c:v>20.69</c:v>
                </c:pt>
                <c:pt idx="127">
                  <c:v>20.69</c:v>
                </c:pt>
                <c:pt idx="128">
                  <c:v>20.69</c:v>
                </c:pt>
                <c:pt idx="129">
                  <c:v>20.69</c:v>
                </c:pt>
                <c:pt idx="130">
                  <c:v>20.69</c:v>
                </c:pt>
                <c:pt idx="131">
                  <c:v>20.69</c:v>
                </c:pt>
                <c:pt idx="132">
                  <c:v>20.69</c:v>
                </c:pt>
                <c:pt idx="133">
                  <c:v>20.69</c:v>
                </c:pt>
                <c:pt idx="134">
                  <c:v>20.69</c:v>
                </c:pt>
                <c:pt idx="135">
                  <c:v>20.69</c:v>
                </c:pt>
                <c:pt idx="136">
                  <c:v>20.69</c:v>
                </c:pt>
                <c:pt idx="137">
                  <c:v>20.69</c:v>
                </c:pt>
                <c:pt idx="138">
                  <c:v>20.69</c:v>
                </c:pt>
                <c:pt idx="139">
                  <c:v>20.69</c:v>
                </c:pt>
                <c:pt idx="140">
                  <c:v>20.69</c:v>
                </c:pt>
                <c:pt idx="141">
                  <c:v>20.69</c:v>
                </c:pt>
                <c:pt idx="142">
                  <c:v>20.69</c:v>
                </c:pt>
                <c:pt idx="143">
                  <c:v>20.69</c:v>
                </c:pt>
                <c:pt idx="144">
                  <c:v>20.69</c:v>
                </c:pt>
                <c:pt idx="145">
                  <c:v>20.69</c:v>
                </c:pt>
                <c:pt idx="146">
                  <c:v>20.69</c:v>
                </c:pt>
                <c:pt idx="147">
                  <c:v>20.69</c:v>
                </c:pt>
                <c:pt idx="148">
                  <c:v>20.69</c:v>
                </c:pt>
                <c:pt idx="149">
                  <c:v>20.69</c:v>
                </c:pt>
                <c:pt idx="150">
                  <c:v>20.69</c:v>
                </c:pt>
                <c:pt idx="151">
                  <c:v>20.69</c:v>
                </c:pt>
                <c:pt idx="152">
                  <c:v>20.69</c:v>
                </c:pt>
                <c:pt idx="153">
                  <c:v>20.69</c:v>
                </c:pt>
                <c:pt idx="154">
                  <c:v>20.69</c:v>
                </c:pt>
                <c:pt idx="155">
                  <c:v>20.69</c:v>
                </c:pt>
                <c:pt idx="156">
                  <c:v>20.69</c:v>
                </c:pt>
                <c:pt idx="157">
                  <c:v>20.69</c:v>
                </c:pt>
                <c:pt idx="158">
                  <c:v>20.69</c:v>
                </c:pt>
                <c:pt idx="159">
                  <c:v>20.69</c:v>
                </c:pt>
                <c:pt idx="160">
                  <c:v>20.69</c:v>
                </c:pt>
                <c:pt idx="161">
                  <c:v>20.69</c:v>
                </c:pt>
                <c:pt idx="162">
                  <c:v>20.69</c:v>
                </c:pt>
                <c:pt idx="163">
                  <c:v>20.69</c:v>
                </c:pt>
                <c:pt idx="164">
                  <c:v>20.69</c:v>
                </c:pt>
                <c:pt idx="165">
                  <c:v>20.69</c:v>
                </c:pt>
                <c:pt idx="166">
                  <c:v>20.69</c:v>
                </c:pt>
                <c:pt idx="167">
                  <c:v>20.69</c:v>
                </c:pt>
                <c:pt idx="168">
                  <c:v>20.69</c:v>
                </c:pt>
                <c:pt idx="169">
                  <c:v>20.69</c:v>
                </c:pt>
                <c:pt idx="170">
                  <c:v>20.69</c:v>
                </c:pt>
                <c:pt idx="171">
                  <c:v>20.69</c:v>
                </c:pt>
                <c:pt idx="172">
                  <c:v>20.69</c:v>
                </c:pt>
                <c:pt idx="173">
                  <c:v>20.69</c:v>
                </c:pt>
                <c:pt idx="174">
                  <c:v>20.69</c:v>
                </c:pt>
                <c:pt idx="175">
                  <c:v>20.69</c:v>
                </c:pt>
                <c:pt idx="176">
                  <c:v>20.69</c:v>
                </c:pt>
                <c:pt idx="177">
                  <c:v>20.69</c:v>
                </c:pt>
                <c:pt idx="178">
                  <c:v>20.69</c:v>
                </c:pt>
                <c:pt idx="179">
                  <c:v>20.69</c:v>
                </c:pt>
                <c:pt idx="180">
                  <c:v>20.69</c:v>
                </c:pt>
                <c:pt idx="181">
                  <c:v>20.69</c:v>
                </c:pt>
                <c:pt idx="182">
                  <c:v>20.69</c:v>
                </c:pt>
                <c:pt idx="183">
                  <c:v>20.69</c:v>
                </c:pt>
                <c:pt idx="184">
                  <c:v>20.69</c:v>
                </c:pt>
                <c:pt idx="185">
                  <c:v>20.69</c:v>
                </c:pt>
                <c:pt idx="186">
                  <c:v>20.69</c:v>
                </c:pt>
                <c:pt idx="187">
                  <c:v>20.69</c:v>
                </c:pt>
                <c:pt idx="188">
                  <c:v>20.69</c:v>
                </c:pt>
                <c:pt idx="189">
                  <c:v>20.69</c:v>
                </c:pt>
                <c:pt idx="190">
                  <c:v>20.69</c:v>
                </c:pt>
                <c:pt idx="191">
                  <c:v>20.69</c:v>
                </c:pt>
                <c:pt idx="192">
                  <c:v>20.69</c:v>
                </c:pt>
                <c:pt idx="193">
                  <c:v>20.69</c:v>
                </c:pt>
                <c:pt idx="194">
                  <c:v>20.69</c:v>
                </c:pt>
                <c:pt idx="195">
                  <c:v>20.69</c:v>
                </c:pt>
                <c:pt idx="196">
                  <c:v>20.69</c:v>
                </c:pt>
                <c:pt idx="197">
                  <c:v>20.69</c:v>
                </c:pt>
                <c:pt idx="198">
                  <c:v>20.69</c:v>
                </c:pt>
                <c:pt idx="199">
                  <c:v>20.69</c:v>
                </c:pt>
                <c:pt idx="200">
                  <c:v>20.69</c:v>
                </c:pt>
                <c:pt idx="201">
                  <c:v>20.69</c:v>
                </c:pt>
                <c:pt idx="202">
                  <c:v>20.69</c:v>
                </c:pt>
                <c:pt idx="203">
                  <c:v>20.69</c:v>
                </c:pt>
                <c:pt idx="204">
                  <c:v>20.69</c:v>
                </c:pt>
                <c:pt idx="205">
                  <c:v>20.69</c:v>
                </c:pt>
                <c:pt idx="206">
                  <c:v>20.69</c:v>
                </c:pt>
                <c:pt idx="207">
                  <c:v>20.69</c:v>
                </c:pt>
                <c:pt idx="208">
                  <c:v>20.69</c:v>
                </c:pt>
                <c:pt idx="209">
                  <c:v>20.69</c:v>
                </c:pt>
                <c:pt idx="210">
                  <c:v>20.69</c:v>
                </c:pt>
                <c:pt idx="211">
                  <c:v>20.69</c:v>
                </c:pt>
                <c:pt idx="212">
                  <c:v>20.69</c:v>
                </c:pt>
                <c:pt idx="213">
                  <c:v>20.69</c:v>
                </c:pt>
                <c:pt idx="214">
                  <c:v>20.69</c:v>
                </c:pt>
                <c:pt idx="215">
                  <c:v>20.69</c:v>
                </c:pt>
                <c:pt idx="216">
                  <c:v>20.69</c:v>
                </c:pt>
                <c:pt idx="217">
                  <c:v>20.69</c:v>
                </c:pt>
                <c:pt idx="218">
                  <c:v>20.69</c:v>
                </c:pt>
                <c:pt idx="219">
                  <c:v>20.69</c:v>
                </c:pt>
              </c:numCache>
            </c:numRef>
          </c:yVal>
          <c:smooth val="0"/>
          <c:extLst>
            <c:ext xmlns:c16="http://schemas.microsoft.com/office/drawing/2014/chart" uri="{C3380CC4-5D6E-409C-BE32-E72D297353CC}">
              <c16:uniqueId val="{00000003-D254-4D4E-B290-50517E212225}"/>
            </c:ext>
          </c:extLst>
        </c:ser>
        <c:ser>
          <c:idx val="7"/>
          <c:order val="4"/>
          <c:tx>
            <c:v>MX GSL (proyecto, 2019)</c:v>
          </c:tx>
          <c:spPr>
            <a:ln>
              <a:solidFill>
                <a:srgbClr val="50B214"/>
              </a:solidFill>
              <a:prstDash val="sysDash"/>
            </a:ln>
          </c:spPr>
          <c:marker>
            <c:symbol val="none"/>
          </c:marker>
          <c:xVal>
            <c:numRef>
              <c:f>'[Data-graficos 11 12 2017-v21.02.18.xlsx]Sheet1'!$AR$7:$AR$236</c:f>
              <c:numCache>
                <c:formatCode>General</c:formatCode>
                <c:ptCount val="23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pt idx="60">
                  <c:v>910</c:v>
                </c:pt>
                <c:pt idx="61">
                  <c:v>920</c:v>
                </c:pt>
                <c:pt idx="62">
                  <c:v>930</c:v>
                </c:pt>
                <c:pt idx="63">
                  <c:v>940</c:v>
                </c:pt>
                <c:pt idx="64">
                  <c:v>950</c:v>
                </c:pt>
                <c:pt idx="65">
                  <c:v>960</c:v>
                </c:pt>
                <c:pt idx="66">
                  <c:v>970</c:v>
                </c:pt>
                <c:pt idx="67">
                  <c:v>980</c:v>
                </c:pt>
                <c:pt idx="68">
                  <c:v>990</c:v>
                </c:pt>
                <c:pt idx="69">
                  <c:v>1000</c:v>
                </c:pt>
                <c:pt idx="70">
                  <c:v>1010</c:v>
                </c:pt>
                <c:pt idx="71">
                  <c:v>1020</c:v>
                </c:pt>
                <c:pt idx="72">
                  <c:v>1030</c:v>
                </c:pt>
                <c:pt idx="73">
                  <c:v>1040</c:v>
                </c:pt>
                <c:pt idx="74">
                  <c:v>1050</c:v>
                </c:pt>
                <c:pt idx="75">
                  <c:v>1060</c:v>
                </c:pt>
                <c:pt idx="76">
                  <c:v>1070</c:v>
                </c:pt>
                <c:pt idx="77">
                  <c:v>1080</c:v>
                </c:pt>
                <c:pt idx="78">
                  <c:v>1090</c:v>
                </c:pt>
                <c:pt idx="79">
                  <c:v>1100</c:v>
                </c:pt>
                <c:pt idx="80">
                  <c:v>1110</c:v>
                </c:pt>
                <c:pt idx="81">
                  <c:v>1120</c:v>
                </c:pt>
                <c:pt idx="82">
                  <c:v>1130</c:v>
                </c:pt>
                <c:pt idx="83">
                  <c:v>1140</c:v>
                </c:pt>
                <c:pt idx="84">
                  <c:v>1150</c:v>
                </c:pt>
                <c:pt idx="85">
                  <c:v>1160</c:v>
                </c:pt>
                <c:pt idx="86">
                  <c:v>1170</c:v>
                </c:pt>
                <c:pt idx="87">
                  <c:v>1180</c:v>
                </c:pt>
                <c:pt idx="88">
                  <c:v>1190</c:v>
                </c:pt>
                <c:pt idx="89">
                  <c:v>1200</c:v>
                </c:pt>
                <c:pt idx="90">
                  <c:v>1210</c:v>
                </c:pt>
                <c:pt idx="91">
                  <c:v>1220</c:v>
                </c:pt>
                <c:pt idx="92">
                  <c:v>1230</c:v>
                </c:pt>
                <c:pt idx="93">
                  <c:v>1240</c:v>
                </c:pt>
                <c:pt idx="94">
                  <c:v>1250</c:v>
                </c:pt>
                <c:pt idx="95">
                  <c:v>1260</c:v>
                </c:pt>
                <c:pt idx="96">
                  <c:v>1270</c:v>
                </c:pt>
                <c:pt idx="97">
                  <c:v>1280</c:v>
                </c:pt>
                <c:pt idx="98">
                  <c:v>1290</c:v>
                </c:pt>
                <c:pt idx="99">
                  <c:v>1300</c:v>
                </c:pt>
                <c:pt idx="100">
                  <c:v>1310</c:v>
                </c:pt>
                <c:pt idx="101">
                  <c:v>1320</c:v>
                </c:pt>
                <c:pt idx="102">
                  <c:v>1330</c:v>
                </c:pt>
                <c:pt idx="103">
                  <c:v>1340</c:v>
                </c:pt>
                <c:pt idx="104">
                  <c:v>1350</c:v>
                </c:pt>
                <c:pt idx="105">
                  <c:v>1360</c:v>
                </c:pt>
                <c:pt idx="106">
                  <c:v>1370</c:v>
                </c:pt>
                <c:pt idx="107">
                  <c:v>1380</c:v>
                </c:pt>
                <c:pt idx="108">
                  <c:v>1390</c:v>
                </c:pt>
                <c:pt idx="109">
                  <c:v>1400</c:v>
                </c:pt>
                <c:pt idx="110">
                  <c:v>1410</c:v>
                </c:pt>
                <c:pt idx="111">
                  <c:v>1420</c:v>
                </c:pt>
                <c:pt idx="112">
                  <c:v>1430</c:v>
                </c:pt>
                <c:pt idx="113">
                  <c:v>1440</c:v>
                </c:pt>
                <c:pt idx="114">
                  <c:v>1450</c:v>
                </c:pt>
                <c:pt idx="115">
                  <c:v>1460</c:v>
                </c:pt>
                <c:pt idx="116">
                  <c:v>1470</c:v>
                </c:pt>
                <c:pt idx="117">
                  <c:v>1480</c:v>
                </c:pt>
                <c:pt idx="118">
                  <c:v>1490</c:v>
                </c:pt>
                <c:pt idx="119">
                  <c:v>1500</c:v>
                </c:pt>
                <c:pt idx="120">
                  <c:v>1510</c:v>
                </c:pt>
                <c:pt idx="121">
                  <c:v>1520</c:v>
                </c:pt>
                <c:pt idx="122">
                  <c:v>1530</c:v>
                </c:pt>
                <c:pt idx="123">
                  <c:v>1540</c:v>
                </c:pt>
                <c:pt idx="124">
                  <c:v>1550</c:v>
                </c:pt>
                <c:pt idx="125">
                  <c:v>1560</c:v>
                </c:pt>
                <c:pt idx="126">
                  <c:v>1570</c:v>
                </c:pt>
                <c:pt idx="127">
                  <c:v>1580</c:v>
                </c:pt>
                <c:pt idx="128">
                  <c:v>1590</c:v>
                </c:pt>
                <c:pt idx="129">
                  <c:v>1600</c:v>
                </c:pt>
                <c:pt idx="130">
                  <c:v>1610</c:v>
                </c:pt>
                <c:pt idx="131">
                  <c:v>1620</c:v>
                </c:pt>
                <c:pt idx="132">
                  <c:v>1630</c:v>
                </c:pt>
                <c:pt idx="133">
                  <c:v>1640</c:v>
                </c:pt>
                <c:pt idx="134">
                  <c:v>1650</c:v>
                </c:pt>
                <c:pt idx="135">
                  <c:v>1660</c:v>
                </c:pt>
                <c:pt idx="136">
                  <c:v>1670</c:v>
                </c:pt>
                <c:pt idx="137">
                  <c:v>1680</c:v>
                </c:pt>
                <c:pt idx="138">
                  <c:v>1690</c:v>
                </c:pt>
                <c:pt idx="139">
                  <c:v>1700</c:v>
                </c:pt>
                <c:pt idx="140">
                  <c:v>1710</c:v>
                </c:pt>
                <c:pt idx="141">
                  <c:v>1720</c:v>
                </c:pt>
                <c:pt idx="142">
                  <c:v>1730</c:v>
                </c:pt>
                <c:pt idx="143">
                  <c:v>1740</c:v>
                </c:pt>
                <c:pt idx="144">
                  <c:v>1750</c:v>
                </c:pt>
                <c:pt idx="145">
                  <c:v>1760</c:v>
                </c:pt>
                <c:pt idx="146">
                  <c:v>1770</c:v>
                </c:pt>
                <c:pt idx="147">
                  <c:v>1780</c:v>
                </c:pt>
                <c:pt idx="148">
                  <c:v>1790</c:v>
                </c:pt>
                <c:pt idx="149">
                  <c:v>1800</c:v>
                </c:pt>
                <c:pt idx="150">
                  <c:v>1810</c:v>
                </c:pt>
                <c:pt idx="151">
                  <c:v>1820</c:v>
                </c:pt>
                <c:pt idx="152">
                  <c:v>1830</c:v>
                </c:pt>
                <c:pt idx="153">
                  <c:v>1840</c:v>
                </c:pt>
                <c:pt idx="154">
                  <c:v>1850</c:v>
                </c:pt>
                <c:pt idx="155">
                  <c:v>1860</c:v>
                </c:pt>
                <c:pt idx="156">
                  <c:v>1870</c:v>
                </c:pt>
                <c:pt idx="157">
                  <c:v>1880</c:v>
                </c:pt>
                <c:pt idx="158">
                  <c:v>1890</c:v>
                </c:pt>
                <c:pt idx="159">
                  <c:v>1900</c:v>
                </c:pt>
                <c:pt idx="160">
                  <c:v>1910</c:v>
                </c:pt>
                <c:pt idx="161">
                  <c:v>1920</c:v>
                </c:pt>
                <c:pt idx="162">
                  <c:v>1930</c:v>
                </c:pt>
                <c:pt idx="163">
                  <c:v>1940</c:v>
                </c:pt>
                <c:pt idx="164">
                  <c:v>1950</c:v>
                </c:pt>
                <c:pt idx="165">
                  <c:v>1960</c:v>
                </c:pt>
                <c:pt idx="166">
                  <c:v>1970</c:v>
                </c:pt>
                <c:pt idx="167">
                  <c:v>1980</c:v>
                </c:pt>
                <c:pt idx="168">
                  <c:v>1990</c:v>
                </c:pt>
                <c:pt idx="169">
                  <c:v>2000</c:v>
                </c:pt>
                <c:pt idx="170">
                  <c:v>2010</c:v>
                </c:pt>
                <c:pt idx="171">
                  <c:v>2020</c:v>
                </c:pt>
                <c:pt idx="172">
                  <c:v>2030</c:v>
                </c:pt>
                <c:pt idx="173">
                  <c:v>2040</c:v>
                </c:pt>
                <c:pt idx="174">
                  <c:v>2050</c:v>
                </c:pt>
                <c:pt idx="175">
                  <c:v>2060</c:v>
                </c:pt>
                <c:pt idx="176">
                  <c:v>2070</c:v>
                </c:pt>
                <c:pt idx="177">
                  <c:v>2080</c:v>
                </c:pt>
                <c:pt idx="178">
                  <c:v>2090</c:v>
                </c:pt>
                <c:pt idx="179">
                  <c:v>2100</c:v>
                </c:pt>
                <c:pt idx="180">
                  <c:v>2110</c:v>
                </c:pt>
                <c:pt idx="181">
                  <c:v>2120</c:v>
                </c:pt>
                <c:pt idx="182">
                  <c:v>2130</c:v>
                </c:pt>
                <c:pt idx="183">
                  <c:v>2140</c:v>
                </c:pt>
                <c:pt idx="184">
                  <c:v>2150</c:v>
                </c:pt>
                <c:pt idx="185">
                  <c:v>2160</c:v>
                </c:pt>
                <c:pt idx="186">
                  <c:v>2170</c:v>
                </c:pt>
                <c:pt idx="187">
                  <c:v>2180</c:v>
                </c:pt>
                <c:pt idx="188">
                  <c:v>2190</c:v>
                </c:pt>
                <c:pt idx="189">
                  <c:v>2200</c:v>
                </c:pt>
                <c:pt idx="190">
                  <c:v>2210</c:v>
                </c:pt>
                <c:pt idx="191">
                  <c:v>2220</c:v>
                </c:pt>
                <c:pt idx="192">
                  <c:v>2230</c:v>
                </c:pt>
                <c:pt idx="193">
                  <c:v>2240</c:v>
                </c:pt>
                <c:pt idx="194">
                  <c:v>2250</c:v>
                </c:pt>
                <c:pt idx="195">
                  <c:v>2260</c:v>
                </c:pt>
                <c:pt idx="196">
                  <c:v>2270</c:v>
                </c:pt>
                <c:pt idx="197">
                  <c:v>2280</c:v>
                </c:pt>
                <c:pt idx="198">
                  <c:v>2290</c:v>
                </c:pt>
                <c:pt idx="199">
                  <c:v>2300</c:v>
                </c:pt>
                <c:pt idx="200">
                  <c:v>2310</c:v>
                </c:pt>
                <c:pt idx="201">
                  <c:v>2320</c:v>
                </c:pt>
                <c:pt idx="202">
                  <c:v>2330</c:v>
                </c:pt>
                <c:pt idx="203">
                  <c:v>2340</c:v>
                </c:pt>
                <c:pt idx="204">
                  <c:v>2350</c:v>
                </c:pt>
                <c:pt idx="205">
                  <c:v>2360</c:v>
                </c:pt>
                <c:pt idx="206">
                  <c:v>2370</c:v>
                </c:pt>
                <c:pt idx="207">
                  <c:v>2380</c:v>
                </c:pt>
                <c:pt idx="208">
                  <c:v>2390</c:v>
                </c:pt>
                <c:pt idx="209">
                  <c:v>2400</c:v>
                </c:pt>
                <c:pt idx="210">
                  <c:v>2410</c:v>
                </c:pt>
                <c:pt idx="211">
                  <c:v>2420</c:v>
                </c:pt>
                <c:pt idx="212">
                  <c:v>2430</c:v>
                </c:pt>
                <c:pt idx="213">
                  <c:v>2440</c:v>
                </c:pt>
                <c:pt idx="214">
                  <c:v>2450</c:v>
                </c:pt>
                <c:pt idx="215">
                  <c:v>2460</c:v>
                </c:pt>
                <c:pt idx="216">
                  <c:v>2470</c:v>
                </c:pt>
                <c:pt idx="217">
                  <c:v>2480</c:v>
                </c:pt>
                <c:pt idx="218">
                  <c:v>2490</c:v>
                </c:pt>
                <c:pt idx="219">
                  <c:v>2500</c:v>
                </c:pt>
                <c:pt idx="220">
                  <c:v>2510</c:v>
                </c:pt>
                <c:pt idx="221">
                  <c:v>2520</c:v>
                </c:pt>
                <c:pt idx="222">
                  <c:v>2530</c:v>
                </c:pt>
                <c:pt idx="223">
                  <c:v>2540</c:v>
                </c:pt>
                <c:pt idx="224">
                  <c:v>2550</c:v>
                </c:pt>
                <c:pt idx="225">
                  <c:v>2560</c:v>
                </c:pt>
                <c:pt idx="226">
                  <c:v>2570</c:v>
                </c:pt>
                <c:pt idx="227">
                  <c:v>2580</c:v>
                </c:pt>
                <c:pt idx="228">
                  <c:v>2590</c:v>
                </c:pt>
                <c:pt idx="229">
                  <c:v>2600</c:v>
                </c:pt>
              </c:numCache>
            </c:numRef>
          </c:xVal>
          <c:yVal>
            <c:numRef>
              <c:f>'[Data-graficos 11 12 2017-v21.02.18.xlsx]Sheet1'!$AT$7:$AT$236</c:f>
              <c:numCache>
                <c:formatCode>General</c:formatCode>
                <c:ptCount val="230"/>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pt idx="17">
                  <c:v>60</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pt idx="39">
                  <c:v>60</c:v>
                </c:pt>
                <c:pt idx="40">
                  <c:v>60</c:v>
                </c:pt>
                <c:pt idx="41">
                  <c:v>60</c:v>
                </c:pt>
                <c:pt idx="42">
                  <c:v>60</c:v>
                </c:pt>
                <c:pt idx="43">
                  <c:v>60</c:v>
                </c:pt>
                <c:pt idx="44">
                  <c:v>60</c:v>
                </c:pt>
                <c:pt idx="45">
                  <c:v>60</c:v>
                </c:pt>
                <c:pt idx="46">
                  <c:v>60</c:v>
                </c:pt>
                <c:pt idx="47">
                  <c:v>60</c:v>
                </c:pt>
                <c:pt idx="48">
                  <c:v>60</c:v>
                </c:pt>
                <c:pt idx="49">
                  <c:v>60</c:v>
                </c:pt>
                <c:pt idx="50">
                  <c:v>60</c:v>
                </c:pt>
                <c:pt idx="51">
                  <c:v>60</c:v>
                </c:pt>
                <c:pt idx="52">
                  <c:v>60</c:v>
                </c:pt>
                <c:pt idx="53">
                  <c:v>60</c:v>
                </c:pt>
                <c:pt idx="54">
                  <c:v>60</c:v>
                </c:pt>
                <c:pt idx="55">
                  <c:v>60</c:v>
                </c:pt>
                <c:pt idx="56">
                  <c:v>60</c:v>
                </c:pt>
                <c:pt idx="57">
                  <c:v>60</c:v>
                </c:pt>
                <c:pt idx="58">
                  <c:v>60</c:v>
                </c:pt>
                <c:pt idx="59">
                  <c:v>60</c:v>
                </c:pt>
                <c:pt idx="60">
                  <c:v>60</c:v>
                </c:pt>
                <c:pt idx="61">
                  <c:v>60</c:v>
                </c:pt>
                <c:pt idx="62">
                  <c:v>60</c:v>
                </c:pt>
                <c:pt idx="63">
                  <c:v>60</c:v>
                </c:pt>
                <c:pt idx="64">
                  <c:v>60</c:v>
                </c:pt>
                <c:pt idx="65">
                  <c:v>60</c:v>
                </c:pt>
                <c:pt idx="66">
                  <c:v>60</c:v>
                </c:pt>
                <c:pt idx="67">
                  <c:v>60</c:v>
                </c:pt>
                <c:pt idx="68">
                  <c:v>60</c:v>
                </c:pt>
                <c:pt idx="69">
                  <c:v>60</c:v>
                </c:pt>
                <c:pt idx="70">
                  <c:v>60</c:v>
                </c:pt>
                <c:pt idx="71">
                  <c:v>60</c:v>
                </c:pt>
                <c:pt idx="72">
                  <c:v>60</c:v>
                </c:pt>
                <c:pt idx="73">
                  <c:v>60</c:v>
                </c:pt>
                <c:pt idx="74">
                  <c:v>60</c:v>
                </c:pt>
                <c:pt idx="75">
                  <c:v>60</c:v>
                </c:pt>
                <c:pt idx="76">
                  <c:v>60</c:v>
                </c:pt>
                <c:pt idx="77">
                  <c:v>60</c:v>
                </c:pt>
                <c:pt idx="78">
                  <c:v>60</c:v>
                </c:pt>
                <c:pt idx="79">
                  <c:v>60</c:v>
                </c:pt>
                <c:pt idx="80">
                  <c:v>60</c:v>
                </c:pt>
                <c:pt idx="81">
                  <c:v>60</c:v>
                </c:pt>
                <c:pt idx="82">
                  <c:v>60</c:v>
                </c:pt>
                <c:pt idx="83">
                  <c:v>60</c:v>
                </c:pt>
                <c:pt idx="84">
                  <c:v>60</c:v>
                </c:pt>
                <c:pt idx="85">
                  <c:v>60</c:v>
                </c:pt>
                <c:pt idx="86">
                  <c:v>60</c:v>
                </c:pt>
                <c:pt idx="87">
                  <c:v>60</c:v>
                </c:pt>
                <c:pt idx="88">
                  <c:v>60</c:v>
                </c:pt>
                <c:pt idx="89">
                  <c:v>60</c:v>
                </c:pt>
                <c:pt idx="90">
                  <c:v>60</c:v>
                </c:pt>
                <c:pt idx="91">
                  <c:v>60</c:v>
                </c:pt>
                <c:pt idx="92">
                  <c:v>60</c:v>
                </c:pt>
                <c:pt idx="93">
                  <c:v>60</c:v>
                </c:pt>
                <c:pt idx="94">
                  <c:v>60</c:v>
                </c:pt>
                <c:pt idx="95">
                  <c:v>60</c:v>
                </c:pt>
                <c:pt idx="96">
                  <c:v>60</c:v>
                </c:pt>
                <c:pt idx="97">
                  <c:v>60</c:v>
                </c:pt>
                <c:pt idx="98">
                  <c:v>60</c:v>
                </c:pt>
                <c:pt idx="99">
                  <c:v>60</c:v>
                </c:pt>
                <c:pt idx="100">
                  <c:v>60</c:v>
                </c:pt>
                <c:pt idx="101">
                  <c:v>60</c:v>
                </c:pt>
                <c:pt idx="102">
                  <c:v>60</c:v>
                </c:pt>
                <c:pt idx="103">
                  <c:v>60</c:v>
                </c:pt>
                <c:pt idx="104">
                  <c:v>60</c:v>
                </c:pt>
                <c:pt idx="105">
                  <c:v>60</c:v>
                </c:pt>
                <c:pt idx="106">
                  <c:v>60</c:v>
                </c:pt>
                <c:pt idx="107">
                  <c:v>60</c:v>
                </c:pt>
                <c:pt idx="108">
                  <c:v>60</c:v>
                </c:pt>
                <c:pt idx="109">
                  <c:v>60</c:v>
                </c:pt>
                <c:pt idx="110">
                  <c:v>60</c:v>
                </c:pt>
                <c:pt idx="111">
                  <c:v>60</c:v>
                </c:pt>
                <c:pt idx="112">
                  <c:v>60</c:v>
                </c:pt>
                <c:pt idx="113">
                  <c:v>60</c:v>
                </c:pt>
                <c:pt idx="114">
                  <c:v>60</c:v>
                </c:pt>
                <c:pt idx="115">
                  <c:v>60</c:v>
                </c:pt>
                <c:pt idx="116">
                  <c:v>60</c:v>
                </c:pt>
                <c:pt idx="117">
                  <c:v>60</c:v>
                </c:pt>
                <c:pt idx="118">
                  <c:v>60</c:v>
                </c:pt>
                <c:pt idx="119">
                  <c:v>60</c:v>
                </c:pt>
                <c:pt idx="120">
                  <c:v>60</c:v>
                </c:pt>
                <c:pt idx="121">
                  <c:v>60</c:v>
                </c:pt>
                <c:pt idx="122">
                  <c:v>60</c:v>
                </c:pt>
                <c:pt idx="123">
                  <c:v>60</c:v>
                </c:pt>
                <c:pt idx="124">
                  <c:v>60</c:v>
                </c:pt>
                <c:pt idx="125">
                  <c:v>60</c:v>
                </c:pt>
                <c:pt idx="126">
                  <c:v>60</c:v>
                </c:pt>
                <c:pt idx="127">
                  <c:v>60</c:v>
                </c:pt>
                <c:pt idx="128">
                  <c:v>60</c:v>
                </c:pt>
                <c:pt idx="129">
                  <c:v>60</c:v>
                </c:pt>
                <c:pt idx="130">
                  <c:v>60</c:v>
                </c:pt>
                <c:pt idx="131">
                  <c:v>60</c:v>
                </c:pt>
                <c:pt idx="132">
                  <c:v>60</c:v>
                </c:pt>
                <c:pt idx="133">
                  <c:v>60</c:v>
                </c:pt>
                <c:pt idx="134">
                  <c:v>60</c:v>
                </c:pt>
                <c:pt idx="135">
                  <c:v>60</c:v>
                </c:pt>
                <c:pt idx="136">
                  <c:v>60</c:v>
                </c:pt>
                <c:pt idx="137">
                  <c:v>60</c:v>
                </c:pt>
                <c:pt idx="138">
                  <c:v>60</c:v>
                </c:pt>
                <c:pt idx="139">
                  <c:v>60</c:v>
                </c:pt>
                <c:pt idx="140">
                  <c:v>60</c:v>
                </c:pt>
                <c:pt idx="141">
                  <c:v>60</c:v>
                </c:pt>
                <c:pt idx="142">
                  <c:v>60</c:v>
                </c:pt>
                <c:pt idx="143">
                  <c:v>60</c:v>
                </c:pt>
                <c:pt idx="144">
                  <c:v>60</c:v>
                </c:pt>
                <c:pt idx="145">
                  <c:v>60</c:v>
                </c:pt>
                <c:pt idx="146">
                  <c:v>60</c:v>
                </c:pt>
                <c:pt idx="147">
                  <c:v>60</c:v>
                </c:pt>
                <c:pt idx="148">
                  <c:v>60</c:v>
                </c:pt>
                <c:pt idx="149">
                  <c:v>60</c:v>
                </c:pt>
                <c:pt idx="150">
                  <c:v>60</c:v>
                </c:pt>
                <c:pt idx="151">
                  <c:v>60</c:v>
                </c:pt>
                <c:pt idx="152">
                  <c:v>60</c:v>
                </c:pt>
                <c:pt idx="153">
                  <c:v>60</c:v>
                </c:pt>
                <c:pt idx="154">
                  <c:v>60</c:v>
                </c:pt>
                <c:pt idx="155">
                  <c:v>60</c:v>
                </c:pt>
                <c:pt idx="156">
                  <c:v>60</c:v>
                </c:pt>
                <c:pt idx="157">
                  <c:v>60</c:v>
                </c:pt>
                <c:pt idx="158">
                  <c:v>60</c:v>
                </c:pt>
                <c:pt idx="159">
                  <c:v>60</c:v>
                </c:pt>
                <c:pt idx="160">
                  <c:v>60</c:v>
                </c:pt>
                <c:pt idx="161">
                  <c:v>60</c:v>
                </c:pt>
                <c:pt idx="162">
                  <c:v>60</c:v>
                </c:pt>
                <c:pt idx="163">
                  <c:v>60</c:v>
                </c:pt>
                <c:pt idx="164">
                  <c:v>60</c:v>
                </c:pt>
                <c:pt idx="165">
                  <c:v>60</c:v>
                </c:pt>
                <c:pt idx="166">
                  <c:v>60</c:v>
                </c:pt>
                <c:pt idx="167">
                  <c:v>60</c:v>
                </c:pt>
                <c:pt idx="168">
                  <c:v>60</c:v>
                </c:pt>
                <c:pt idx="169">
                  <c:v>60</c:v>
                </c:pt>
                <c:pt idx="170">
                  <c:v>60</c:v>
                </c:pt>
                <c:pt idx="171">
                  <c:v>60</c:v>
                </c:pt>
                <c:pt idx="172">
                  <c:v>60</c:v>
                </c:pt>
                <c:pt idx="173">
                  <c:v>60</c:v>
                </c:pt>
                <c:pt idx="174">
                  <c:v>60</c:v>
                </c:pt>
                <c:pt idx="175">
                  <c:v>60</c:v>
                </c:pt>
                <c:pt idx="176">
                  <c:v>60</c:v>
                </c:pt>
                <c:pt idx="177">
                  <c:v>60</c:v>
                </c:pt>
                <c:pt idx="178">
                  <c:v>60</c:v>
                </c:pt>
                <c:pt idx="179">
                  <c:v>60</c:v>
                </c:pt>
                <c:pt idx="180">
                  <c:v>60</c:v>
                </c:pt>
                <c:pt idx="181">
                  <c:v>60</c:v>
                </c:pt>
                <c:pt idx="182">
                  <c:v>60</c:v>
                </c:pt>
                <c:pt idx="183">
                  <c:v>60</c:v>
                </c:pt>
                <c:pt idx="184">
                  <c:v>60</c:v>
                </c:pt>
                <c:pt idx="185">
                  <c:v>60</c:v>
                </c:pt>
                <c:pt idx="186">
                  <c:v>60</c:v>
                </c:pt>
                <c:pt idx="187">
                  <c:v>60</c:v>
                </c:pt>
                <c:pt idx="188">
                  <c:v>60</c:v>
                </c:pt>
                <c:pt idx="189">
                  <c:v>60</c:v>
                </c:pt>
                <c:pt idx="190">
                  <c:v>60</c:v>
                </c:pt>
                <c:pt idx="191">
                  <c:v>60</c:v>
                </c:pt>
                <c:pt idx="192">
                  <c:v>60</c:v>
                </c:pt>
                <c:pt idx="193">
                  <c:v>60</c:v>
                </c:pt>
                <c:pt idx="194">
                  <c:v>60</c:v>
                </c:pt>
                <c:pt idx="195">
                  <c:v>60</c:v>
                </c:pt>
                <c:pt idx="196">
                  <c:v>60</c:v>
                </c:pt>
                <c:pt idx="197">
                  <c:v>60</c:v>
                </c:pt>
                <c:pt idx="198">
                  <c:v>60</c:v>
                </c:pt>
                <c:pt idx="199">
                  <c:v>60</c:v>
                </c:pt>
                <c:pt idx="200">
                  <c:v>60</c:v>
                </c:pt>
                <c:pt idx="201">
                  <c:v>60</c:v>
                </c:pt>
                <c:pt idx="202">
                  <c:v>60</c:v>
                </c:pt>
                <c:pt idx="203">
                  <c:v>60</c:v>
                </c:pt>
                <c:pt idx="204">
                  <c:v>60</c:v>
                </c:pt>
                <c:pt idx="205">
                  <c:v>60</c:v>
                </c:pt>
                <c:pt idx="206">
                  <c:v>60</c:v>
                </c:pt>
                <c:pt idx="207">
                  <c:v>60</c:v>
                </c:pt>
                <c:pt idx="208">
                  <c:v>60</c:v>
                </c:pt>
                <c:pt idx="209">
                  <c:v>60</c:v>
                </c:pt>
                <c:pt idx="210">
                  <c:v>60</c:v>
                </c:pt>
                <c:pt idx="211">
                  <c:v>60</c:v>
                </c:pt>
                <c:pt idx="212">
                  <c:v>60</c:v>
                </c:pt>
                <c:pt idx="213">
                  <c:v>60</c:v>
                </c:pt>
                <c:pt idx="214">
                  <c:v>60</c:v>
                </c:pt>
                <c:pt idx="215">
                  <c:v>60</c:v>
                </c:pt>
                <c:pt idx="216">
                  <c:v>60</c:v>
                </c:pt>
                <c:pt idx="217">
                  <c:v>60</c:v>
                </c:pt>
                <c:pt idx="218">
                  <c:v>60</c:v>
                </c:pt>
                <c:pt idx="219">
                  <c:v>60</c:v>
                </c:pt>
                <c:pt idx="220">
                  <c:v>60</c:v>
                </c:pt>
                <c:pt idx="221">
                  <c:v>60</c:v>
                </c:pt>
                <c:pt idx="222">
                  <c:v>60</c:v>
                </c:pt>
                <c:pt idx="223">
                  <c:v>60</c:v>
                </c:pt>
                <c:pt idx="224">
                  <c:v>60</c:v>
                </c:pt>
                <c:pt idx="225">
                  <c:v>60</c:v>
                </c:pt>
                <c:pt idx="226">
                  <c:v>60</c:v>
                </c:pt>
                <c:pt idx="227">
                  <c:v>60</c:v>
                </c:pt>
                <c:pt idx="228">
                  <c:v>60</c:v>
                </c:pt>
                <c:pt idx="229">
                  <c:v>60</c:v>
                </c:pt>
              </c:numCache>
            </c:numRef>
          </c:yVal>
          <c:smooth val="0"/>
          <c:extLst>
            <c:ext xmlns:c16="http://schemas.microsoft.com/office/drawing/2014/chart" uri="{C3380CC4-5D6E-409C-BE32-E72D297353CC}">
              <c16:uniqueId val="{00000004-D254-4D4E-B290-50517E212225}"/>
            </c:ext>
          </c:extLst>
        </c:ser>
        <c:ser>
          <c:idx val="2"/>
          <c:order val="5"/>
          <c:tx>
            <c:v>DOE GSL Proposed rule</c:v>
          </c:tx>
          <c:spPr>
            <a:ln w="19050" cap="rnd">
              <a:solidFill>
                <a:srgbClr val="FF0000"/>
              </a:solidFill>
              <a:round/>
            </a:ln>
            <a:effectLst/>
          </c:spPr>
          <c:marker>
            <c:symbol val="none"/>
          </c:marker>
          <c:xVal>
            <c:numRef>
              <c:f>'[Data-graficos 11 12 2017-v21.02.18.xlsx]Sheet1'!$Z$7:$Z$236</c:f>
              <c:numCache>
                <c:formatCode>General</c:formatCode>
                <c:ptCount val="23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pt idx="60">
                  <c:v>910</c:v>
                </c:pt>
                <c:pt idx="61">
                  <c:v>920</c:v>
                </c:pt>
                <c:pt idx="62">
                  <c:v>930</c:v>
                </c:pt>
                <c:pt idx="63">
                  <c:v>940</c:v>
                </c:pt>
                <c:pt idx="64">
                  <c:v>950</c:v>
                </c:pt>
                <c:pt idx="65">
                  <c:v>960</c:v>
                </c:pt>
                <c:pt idx="66">
                  <c:v>970</c:v>
                </c:pt>
                <c:pt idx="67">
                  <c:v>980</c:v>
                </c:pt>
                <c:pt idx="68">
                  <c:v>990</c:v>
                </c:pt>
                <c:pt idx="69">
                  <c:v>1000</c:v>
                </c:pt>
                <c:pt idx="70">
                  <c:v>1010</c:v>
                </c:pt>
                <c:pt idx="71">
                  <c:v>1020</c:v>
                </c:pt>
                <c:pt idx="72">
                  <c:v>1030</c:v>
                </c:pt>
                <c:pt idx="73">
                  <c:v>1040</c:v>
                </c:pt>
                <c:pt idx="74">
                  <c:v>1050</c:v>
                </c:pt>
                <c:pt idx="75">
                  <c:v>1060</c:v>
                </c:pt>
                <c:pt idx="76">
                  <c:v>1070</c:v>
                </c:pt>
                <c:pt idx="77">
                  <c:v>1080</c:v>
                </c:pt>
                <c:pt idx="78">
                  <c:v>1090</c:v>
                </c:pt>
                <c:pt idx="79">
                  <c:v>1100</c:v>
                </c:pt>
                <c:pt idx="80">
                  <c:v>1110</c:v>
                </c:pt>
                <c:pt idx="81">
                  <c:v>1120</c:v>
                </c:pt>
                <c:pt idx="82">
                  <c:v>1130</c:v>
                </c:pt>
                <c:pt idx="83">
                  <c:v>1140</c:v>
                </c:pt>
                <c:pt idx="84">
                  <c:v>1150</c:v>
                </c:pt>
                <c:pt idx="85">
                  <c:v>1160</c:v>
                </c:pt>
                <c:pt idx="86">
                  <c:v>1170</c:v>
                </c:pt>
                <c:pt idx="87">
                  <c:v>1180</c:v>
                </c:pt>
                <c:pt idx="88">
                  <c:v>1190</c:v>
                </c:pt>
                <c:pt idx="89">
                  <c:v>1200</c:v>
                </c:pt>
                <c:pt idx="90">
                  <c:v>1210</c:v>
                </c:pt>
                <c:pt idx="91">
                  <c:v>1220</c:v>
                </c:pt>
                <c:pt idx="92">
                  <c:v>1230</c:v>
                </c:pt>
                <c:pt idx="93">
                  <c:v>1240</c:v>
                </c:pt>
                <c:pt idx="94">
                  <c:v>1250</c:v>
                </c:pt>
                <c:pt idx="95">
                  <c:v>1260</c:v>
                </c:pt>
                <c:pt idx="96">
                  <c:v>1270</c:v>
                </c:pt>
                <c:pt idx="97">
                  <c:v>1280</c:v>
                </c:pt>
                <c:pt idx="98">
                  <c:v>1290</c:v>
                </c:pt>
                <c:pt idx="99">
                  <c:v>1300</c:v>
                </c:pt>
                <c:pt idx="100">
                  <c:v>1310</c:v>
                </c:pt>
                <c:pt idx="101">
                  <c:v>1320</c:v>
                </c:pt>
                <c:pt idx="102">
                  <c:v>1330</c:v>
                </c:pt>
                <c:pt idx="103">
                  <c:v>1340</c:v>
                </c:pt>
                <c:pt idx="104">
                  <c:v>1350</c:v>
                </c:pt>
                <c:pt idx="105">
                  <c:v>1360</c:v>
                </c:pt>
                <c:pt idx="106">
                  <c:v>1370</c:v>
                </c:pt>
                <c:pt idx="107">
                  <c:v>1380</c:v>
                </c:pt>
                <c:pt idx="108">
                  <c:v>1390</c:v>
                </c:pt>
                <c:pt idx="109">
                  <c:v>1400</c:v>
                </c:pt>
                <c:pt idx="110">
                  <c:v>1410</c:v>
                </c:pt>
                <c:pt idx="111">
                  <c:v>1420</c:v>
                </c:pt>
                <c:pt idx="112">
                  <c:v>1430</c:v>
                </c:pt>
                <c:pt idx="113">
                  <c:v>1440</c:v>
                </c:pt>
                <c:pt idx="114">
                  <c:v>1450</c:v>
                </c:pt>
                <c:pt idx="115">
                  <c:v>1460</c:v>
                </c:pt>
                <c:pt idx="116">
                  <c:v>1470</c:v>
                </c:pt>
                <c:pt idx="117">
                  <c:v>1480</c:v>
                </c:pt>
                <c:pt idx="118">
                  <c:v>1490</c:v>
                </c:pt>
                <c:pt idx="119">
                  <c:v>1500</c:v>
                </c:pt>
                <c:pt idx="120">
                  <c:v>1510</c:v>
                </c:pt>
                <c:pt idx="121">
                  <c:v>1520</c:v>
                </c:pt>
                <c:pt idx="122">
                  <c:v>1530</c:v>
                </c:pt>
                <c:pt idx="123">
                  <c:v>1540</c:v>
                </c:pt>
                <c:pt idx="124">
                  <c:v>1550</c:v>
                </c:pt>
                <c:pt idx="125">
                  <c:v>1560</c:v>
                </c:pt>
                <c:pt idx="126">
                  <c:v>1570</c:v>
                </c:pt>
                <c:pt idx="127">
                  <c:v>1580</c:v>
                </c:pt>
                <c:pt idx="128">
                  <c:v>1590</c:v>
                </c:pt>
                <c:pt idx="129">
                  <c:v>1600</c:v>
                </c:pt>
                <c:pt idx="130">
                  <c:v>1610</c:v>
                </c:pt>
                <c:pt idx="131">
                  <c:v>1620</c:v>
                </c:pt>
                <c:pt idx="132">
                  <c:v>1630</c:v>
                </c:pt>
                <c:pt idx="133">
                  <c:v>1640</c:v>
                </c:pt>
                <c:pt idx="134">
                  <c:v>1650</c:v>
                </c:pt>
                <c:pt idx="135">
                  <c:v>1660</c:v>
                </c:pt>
                <c:pt idx="136">
                  <c:v>1670</c:v>
                </c:pt>
                <c:pt idx="137">
                  <c:v>1680</c:v>
                </c:pt>
                <c:pt idx="138">
                  <c:v>1690</c:v>
                </c:pt>
                <c:pt idx="139">
                  <c:v>1700</c:v>
                </c:pt>
                <c:pt idx="140">
                  <c:v>1710</c:v>
                </c:pt>
                <c:pt idx="141">
                  <c:v>1720</c:v>
                </c:pt>
                <c:pt idx="142">
                  <c:v>1730</c:v>
                </c:pt>
                <c:pt idx="143">
                  <c:v>1740</c:v>
                </c:pt>
                <c:pt idx="144">
                  <c:v>1750</c:v>
                </c:pt>
                <c:pt idx="145">
                  <c:v>1760</c:v>
                </c:pt>
                <c:pt idx="146">
                  <c:v>1770</c:v>
                </c:pt>
                <c:pt idx="147">
                  <c:v>1780</c:v>
                </c:pt>
                <c:pt idx="148">
                  <c:v>1790</c:v>
                </c:pt>
                <c:pt idx="149">
                  <c:v>1800</c:v>
                </c:pt>
                <c:pt idx="150">
                  <c:v>1810</c:v>
                </c:pt>
                <c:pt idx="151">
                  <c:v>1820</c:v>
                </c:pt>
                <c:pt idx="152">
                  <c:v>1830</c:v>
                </c:pt>
                <c:pt idx="153">
                  <c:v>1840</c:v>
                </c:pt>
                <c:pt idx="154">
                  <c:v>1850</c:v>
                </c:pt>
                <c:pt idx="155">
                  <c:v>1860</c:v>
                </c:pt>
                <c:pt idx="156">
                  <c:v>1870</c:v>
                </c:pt>
                <c:pt idx="157">
                  <c:v>1880</c:v>
                </c:pt>
                <c:pt idx="158">
                  <c:v>1890</c:v>
                </c:pt>
                <c:pt idx="159">
                  <c:v>1900</c:v>
                </c:pt>
                <c:pt idx="160">
                  <c:v>1910</c:v>
                </c:pt>
                <c:pt idx="161">
                  <c:v>1920</c:v>
                </c:pt>
                <c:pt idx="162">
                  <c:v>1930</c:v>
                </c:pt>
                <c:pt idx="163">
                  <c:v>1940</c:v>
                </c:pt>
                <c:pt idx="164">
                  <c:v>1950</c:v>
                </c:pt>
                <c:pt idx="165">
                  <c:v>1960</c:v>
                </c:pt>
                <c:pt idx="166">
                  <c:v>1970</c:v>
                </c:pt>
                <c:pt idx="167">
                  <c:v>1980</c:v>
                </c:pt>
                <c:pt idx="168">
                  <c:v>1990</c:v>
                </c:pt>
                <c:pt idx="169">
                  <c:v>2000</c:v>
                </c:pt>
                <c:pt idx="170">
                  <c:v>2010</c:v>
                </c:pt>
                <c:pt idx="171">
                  <c:v>2020</c:v>
                </c:pt>
                <c:pt idx="172">
                  <c:v>2030</c:v>
                </c:pt>
                <c:pt idx="173">
                  <c:v>2040</c:v>
                </c:pt>
                <c:pt idx="174">
                  <c:v>2050</c:v>
                </c:pt>
                <c:pt idx="175">
                  <c:v>2060</c:v>
                </c:pt>
                <c:pt idx="176">
                  <c:v>2070</c:v>
                </c:pt>
                <c:pt idx="177">
                  <c:v>2080</c:v>
                </c:pt>
                <c:pt idx="178">
                  <c:v>2090</c:v>
                </c:pt>
                <c:pt idx="179">
                  <c:v>2100</c:v>
                </c:pt>
                <c:pt idx="180">
                  <c:v>2110</c:v>
                </c:pt>
                <c:pt idx="181">
                  <c:v>2120</c:v>
                </c:pt>
                <c:pt idx="182">
                  <c:v>2130</c:v>
                </c:pt>
                <c:pt idx="183">
                  <c:v>2140</c:v>
                </c:pt>
                <c:pt idx="184">
                  <c:v>2150</c:v>
                </c:pt>
                <c:pt idx="185">
                  <c:v>2160</c:v>
                </c:pt>
                <c:pt idx="186">
                  <c:v>2170</c:v>
                </c:pt>
                <c:pt idx="187">
                  <c:v>2180</c:v>
                </c:pt>
                <c:pt idx="188">
                  <c:v>2190</c:v>
                </c:pt>
                <c:pt idx="189">
                  <c:v>2200</c:v>
                </c:pt>
                <c:pt idx="190">
                  <c:v>2210</c:v>
                </c:pt>
                <c:pt idx="191">
                  <c:v>2220</c:v>
                </c:pt>
                <c:pt idx="192">
                  <c:v>2230</c:v>
                </c:pt>
                <c:pt idx="193">
                  <c:v>2240</c:v>
                </c:pt>
                <c:pt idx="194">
                  <c:v>2250</c:v>
                </c:pt>
                <c:pt idx="195">
                  <c:v>2260</c:v>
                </c:pt>
                <c:pt idx="196">
                  <c:v>2270</c:v>
                </c:pt>
                <c:pt idx="197">
                  <c:v>2280</c:v>
                </c:pt>
                <c:pt idx="198">
                  <c:v>2290</c:v>
                </c:pt>
                <c:pt idx="199">
                  <c:v>2300</c:v>
                </c:pt>
                <c:pt idx="200">
                  <c:v>2310</c:v>
                </c:pt>
                <c:pt idx="201">
                  <c:v>2320</c:v>
                </c:pt>
                <c:pt idx="202">
                  <c:v>2330</c:v>
                </c:pt>
                <c:pt idx="203">
                  <c:v>2340</c:v>
                </c:pt>
                <c:pt idx="204">
                  <c:v>2350</c:v>
                </c:pt>
                <c:pt idx="205">
                  <c:v>2360</c:v>
                </c:pt>
                <c:pt idx="206">
                  <c:v>2370</c:v>
                </c:pt>
                <c:pt idx="207">
                  <c:v>2380</c:v>
                </c:pt>
                <c:pt idx="208">
                  <c:v>2390</c:v>
                </c:pt>
                <c:pt idx="209">
                  <c:v>2400</c:v>
                </c:pt>
                <c:pt idx="210">
                  <c:v>2410</c:v>
                </c:pt>
                <c:pt idx="211">
                  <c:v>2420</c:v>
                </c:pt>
                <c:pt idx="212">
                  <c:v>2430</c:v>
                </c:pt>
                <c:pt idx="213">
                  <c:v>2440</c:v>
                </c:pt>
                <c:pt idx="214">
                  <c:v>2450</c:v>
                </c:pt>
                <c:pt idx="215">
                  <c:v>2460</c:v>
                </c:pt>
                <c:pt idx="216">
                  <c:v>2470</c:v>
                </c:pt>
                <c:pt idx="217">
                  <c:v>2480</c:v>
                </c:pt>
                <c:pt idx="218">
                  <c:v>2490</c:v>
                </c:pt>
                <c:pt idx="219">
                  <c:v>2500</c:v>
                </c:pt>
                <c:pt idx="220">
                  <c:v>2510</c:v>
                </c:pt>
                <c:pt idx="221">
                  <c:v>2520</c:v>
                </c:pt>
                <c:pt idx="222">
                  <c:v>2530</c:v>
                </c:pt>
                <c:pt idx="223">
                  <c:v>2540</c:v>
                </c:pt>
                <c:pt idx="224">
                  <c:v>2550</c:v>
                </c:pt>
                <c:pt idx="225">
                  <c:v>2560</c:v>
                </c:pt>
                <c:pt idx="226">
                  <c:v>2570</c:v>
                </c:pt>
                <c:pt idx="227">
                  <c:v>2580</c:v>
                </c:pt>
                <c:pt idx="228">
                  <c:v>2590</c:v>
                </c:pt>
                <c:pt idx="229">
                  <c:v>2600</c:v>
                </c:pt>
              </c:numCache>
            </c:numRef>
          </c:xVal>
          <c:yVal>
            <c:numRef>
              <c:f>'[Data-graficos 11 12 2017-v21.02.18.xlsx]Sheet1'!$AB$7:$AB$236</c:f>
              <c:numCache>
                <c:formatCode>0.0</c:formatCode>
                <c:ptCount val="230"/>
                <c:pt idx="0">
                  <c:v>84.239000944635791</c:v>
                </c:pt>
                <c:pt idx="1">
                  <c:v>84.531890335612303</c:v>
                </c:pt>
                <c:pt idx="2">
                  <c:v>84.819838525044304</c:v>
                </c:pt>
                <c:pt idx="3">
                  <c:v>85.102928873659295</c:v>
                </c:pt>
                <c:pt idx="4">
                  <c:v>85.381243335844417</c:v>
                </c:pt>
                <c:pt idx="5">
                  <c:v>85.654862483372284</c:v>
                </c:pt>
                <c:pt idx="6">
                  <c:v>85.923865528726338</c:v>
                </c:pt>
                <c:pt idx="7">
                  <c:v>86.188330348032835</c:v>
                </c:pt>
                <c:pt idx="8">
                  <c:v>86.448333503605923</c:v>
                </c:pt>
                <c:pt idx="9">
                  <c:v>86.703950266112273</c:v>
                </c:pt>
                <c:pt idx="10">
                  <c:v>86.955254636362</c:v>
                </c:pt>
                <c:pt idx="11">
                  <c:v>87.202319366731686</c:v>
                </c:pt>
                <c:pt idx="12">
                  <c:v>87.445215982226259</c:v>
                </c:pt>
                <c:pt idx="13">
                  <c:v>87.684014801185285</c:v>
                </c:pt>
                <c:pt idx="14">
                  <c:v>87.918784955640177</c:v>
                </c:pt>
                <c:pt idx="15">
                  <c:v>88.149594411327769</c:v>
                </c:pt>
                <c:pt idx="16">
                  <c:v>88.376509987366347</c:v>
                </c:pt>
                <c:pt idx="17">
                  <c:v>88.599597375599785</c:v>
                </c:pt>
                <c:pt idx="18">
                  <c:v>88.818921159615172</c:v>
                </c:pt>
                <c:pt idx="19">
                  <c:v>89.034544833439782</c:v>
                </c:pt>
                <c:pt idx="20">
                  <c:v>89.246530819922469</c:v>
                </c:pt>
                <c:pt idx="21">
                  <c:v>89.454940488805107</c:v>
                </c:pt>
                <c:pt idx="22">
                  <c:v>89.65983417448895</c:v>
                </c:pt>
                <c:pt idx="23">
                  <c:v>89.861271193501523</c:v>
                </c:pt>
                <c:pt idx="24">
                  <c:v>90.059309861668567</c:v>
                </c:pt>
                <c:pt idx="25">
                  <c:v>90.254007510996544</c:v>
                </c:pt>
                <c:pt idx="26">
                  <c:v>90.445420506270082</c:v>
                </c:pt>
                <c:pt idx="27">
                  <c:v>90.633604261369598</c:v>
                </c:pt>
                <c:pt idx="28">
                  <c:v>90.818613255313565</c:v>
                </c:pt>
                <c:pt idx="29">
                  <c:v>91.00050104803006</c:v>
                </c:pt>
                <c:pt idx="30">
                  <c:v>91.179320295862425</c:v>
                </c:pt>
                <c:pt idx="31">
                  <c:v>91.355122766813153</c:v>
                </c:pt>
                <c:pt idx="32">
                  <c:v>91.527959355530669</c:v>
                </c:pt>
                <c:pt idx="33">
                  <c:v>91.697880098043356</c:v>
                </c:pt>
                <c:pt idx="34">
                  <c:v>91.864934186244824</c:v>
                </c:pt>
                <c:pt idx="35">
                  <c:v>92.029169982135045</c:v>
                </c:pt>
                <c:pt idx="36">
                  <c:v>92.190635031821003</c:v>
                </c:pt>
                <c:pt idx="37">
                  <c:v>92.349376079281285</c:v>
                </c:pt>
                <c:pt idx="38">
                  <c:v>92.505439079898466</c:v>
                </c:pt>
                <c:pt idx="39">
                  <c:v>92.65886921376304</c:v>
                </c:pt>
                <c:pt idx="40">
                  <c:v>92.809710898753124</c:v>
                </c:pt>
                <c:pt idx="41">
                  <c:v>92.958007803393315</c:v>
                </c:pt>
                <c:pt idx="42">
                  <c:v>93.10380285949671</c:v>
                </c:pt>
                <c:pt idx="43">
                  <c:v>93.247138274593667</c:v>
                </c:pt>
                <c:pt idx="44">
                  <c:v>93.38805554415076</c:v>
                </c:pt>
                <c:pt idx="45">
                  <c:v>93.526595463583774</c:v>
                </c:pt>
                <c:pt idx="46">
                  <c:v>93.662798140067835</c:v>
                </c:pt>
                <c:pt idx="47">
                  <c:v>93.796703004148512</c:v>
                </c:pt>
                <c:pt idx="48">
                  <c:v>93.928348821156817</c:v>
                </c:pt>
                <c:pt idx="49">
                  <c:v>94.057773702431803</c:v>
                </c:pt>
                <c:pt idx="50">
                  <c:v>94.185015116353725</c:v>
                </c:pt>
                <c:pt idx="51">
                  <c:v>94.310109899191133</c:v>
                </c:pt>
                <c:pt idx="52">
                  <c:v>94.433094265764893</c:v>
                </c:pt>
                <c:pt idx="53">
                  <c:v>94.554003819932376</c:v>
                </c:pt>
                <c:pt idx="54">
                  <c:v>94.672873564894743</c:v>
                </c:pt>
                <c:pt idx="55">
                  <c:v>94.789737913330285</c:v>
                </c:pt>
                <c:pt idx="56">
                  <c:v>94.90463069735695</c:v>
                </c:pt>
                <c:pt idx="57">
                  <c:v>95.017585178326641</c:v>
                </c:pt>
                <c:pt idx="58">
                  <c:v>95.128634056454374</c:v>
                </c:pt>
                <c:pt idx="59">
                  <c:v>95.237809480284923</c:v>
                </c:pt>
                <c:pt idx="60">
                  <c:v>95.345143055999856</c:v>
                </c:pt>
                <c:pt idx="61">
                  <c:v>95.450665856567454</c:v>
                </c:pt>
                <c:pt idx="62">
                  <c:v>95.554408430738306</c:v>
                </c:pt>
                <c:pt idx="63">
                  <c:v>95.656400811889128</c:v>
                </c:pt>
                <c:pt idx="64">
                  <c:v>95.756672526717452</c:v>
                </c:pt>
                <c:pt idx="65">
                  <c:v>95.855252603789523</c:v>
                </c:pt>
                <c:pt idx="66">
                  <c:v>95.952169581944091</c:v>
                </c:pt>
                <c:pt idx="67">
                  <c:v>96.047451518554283</c:v>
                </c:pt>
                <c:pt idx="68">
                  <c:v>96.141125997650335</c:v>
                </c:pt>
                <c:pt idx="69">
                  <c:v>96.233220137904993</c:v>
                </c:pt>
                <c:pt idx="70">
                  <c:v>96.323760600484448</c:v>
                </c:pt>
                <c:pt idx="71">
                  <c:v>96.412773596766641</c:v>
                </c:pt>
                <c:pt idx="72">
                  <c:v>96.500284895929511</c:v>
                </c:pt>
                <c:pt idx="73">
                  <c:v>96.586319832411093</c:v>
                </c:pt>
                <c:pt idx="74">
                  <c:v>96.670903313243798</c:v>
                </c:pt>
                <c:pt idx="75">
                  <c:v>96.75405982526506</c:v>
                </c:pt>
                <c:pt idx="76">
                  <c:v>96.835813442206145</c:v>
                </c:pt>
                <c:pt idx="77">
                  <c:v>96.916187831661546</c:v>
                </c:pt>
                <c:pt idx="78">
                  <c:v>96.995206261940709</c:v>
                </c:pt>
                <c:pt idx="79">
                  <c:v>97.072891608804198</c:v>
                </c:pt>
                <c:pt idx="80">
                  <c:v>97.14926636208618</c:v>
                </c:pt>
                <c:pt idx="81">
                  <c:v>97.224352632205211</c:v>
                </c:pt>
                <c:pt idx="82">
                  <c:v>97.298172156565201</c:v>
                </c:pt>
                <c:pt idx="83">
                  <c:v>97.3707463058484</c:v>
                </c:pt>
                <c:pt idx="84">
                  <c:v>97.442096090202114</c:v>
                </c:pt>
                <c:pt idx="85">
                  <c:v>97.512242165321183</c:v>
                </c:pt>
                <c:pt idx="86">
                  <c:v>97.581204838427752</c:v>
                </c:pt>
                <c:pt idx="87">
                  <c:v>97.649004074150213</c:v>
                </c:pt>
                <c:pt idx="88">
                  <c:v>97.715659500302976</c:v>
                </c:pt>
                <c:pt idx="89">
                  <c:v>97.781190413568595</c:v>
                </c:pt>
                <c:pt idx="90">
                  <c:v>97.845615785084277</c:v>
                </c:pt>
                <c:pt idx="91">
                  <c:v>97.9089542659339</c:v>
                </c:pt>
                <c:pt idx="92">
                  <c:v>97.971224192547538</c:v>
                </c:pt>
                <c:pt idx="93">
                  <c:v>98.032443592009855</c:v>
                </c:pt>
                <c:pt idx="94">
                  <c:v>98.092630187278843</c:v>
                </c:pt>
                <c:pt idx="95">
                  <c:v>98.151801402316721</c:v>
                </c:pt>
                <c:pt idx="96">
                  <c:v>98.209974367134052</c:v>
                </c:pt>
                <c:pt idx="97">
                  <c:v>98.267165922748944</c:v>
                </c:pt>
                <c:pt idx="98">
                  <c:v>98.323392626062443</c:v>
                </c:pt>
                <c:pt idx="99">
                  <c:v>98.378670754651779</c:v>
                </c:pt>
                <c:pt idx="100">
                  <c:v>98.433016311482703</c:v>
                </c:pt>
                <c:pt idx="101">
                  <c:v>98.486445029542324</c:v>
                </c:pt>
                <c:pt idx="102">
                  <c:v>98.538972376393787</c:v>
                </c:pt>
                <c:pt idx="103">
                  <c:v>98.590613558654169</c:v>
                </c:pt>
                <c:pt idx="104">
                  <c:v>98.641383526396694</c:v>
                </c:pt>
                <c:pt idx="105">
                  <c:v>98.691296977478814</c:v>
                </c:pt>
                <c:pt idx="106">
                  <c:v>98.740368361797252</c:v>
                </c:pt>
                <c:pt idx="107">
                  <c:v>98.78861188547117</c:v>
                </c:pt>
                <c:pt idx="108">
                  <c:v>98.836041514954886</c:v>
                </c:pt>
                <c:pt idx="109">
                  <c:v>98.882670981081091</c:v>
                </c:pt>
                <c:pt idx="110">
                  <c:v>98.928513783035967</c:v>
                </c:pt>
                <c:pt idx="111">
                  <c:v>98.973583192267171</c:v>
                </c:pt>
                <c:pt idx="112">
                  <c:v>99.017892256325894</c:v>
                </c:pt>
                <c:pt idx="113">
                  <c:v>99.061453802644081</c:v>
                </c:pt>
                <c:pt idx="114">
                  <c:v>99.104280442248083</c:v>
                </c:pt>
                <c:pt idx="115">
                  <c:v>99.146384573409378</c:v>
                </c:pt>
                <c:pt idx="116">
                  <c:v>99.187778385233969</c:v>
                </c:pt>
                <c:pt idx="117">
                  <c:v>99.228473861191091</c:v>
                </c:pt>
                <c:pt idx="118">
                  <c:v>99.268482782582396</c:v>
                </c:pt>
                <c:pt idx="119">
                  <c:v>99.307816731952641</c:v>
                </c:pt>
                <c:pt idx="120">
                  <c:v>99.346487096442843</c:v>
                </c:pt>
                <c:pt idx="121">
                  <c:v>99.384505071086807</c:v>
                </c:pt>
                <c:pt idx="122">
                  <c:v>99.421881662052087</c:v>
                </c:pt>
                <c:pt idx="123">
                  <c:v>99.458627689826287</c:v>
                </c:pt>
                <c:pt idx="124">
                  <c:v>99.49475379234957</c:v>
                </c:pt>
                <c:pt idx="125">
                  <c:v>99.530270428094326</c:v>
                </c:pt>
                <c:pt idx="126">
                  <c:v>99.565187879092875</c:v>
                </c:pt>
                <c:pt idx="127">
                  <c:v>99.599516253914132</c:v>
                </c:pt>
                <c:pt idx="128">
                  <c:v>99.633265490590034</c:v>
                </c:pt>
                <c:pt idx="129">
                  <c:v>99.666445359492542</c:v>
                </c:pt>
                <c:pt idx="130">
                  <c:v>99.69906546616221</c:v>
                </c:pt>
                <c:pt idx="131">
                  <c:v>99.731135254088954</c:v>
                </c:pt>
                <c:pt idx="132">
                  <c:v>99.762664007445935</c:v>
                </c:pt>
                <c:pt idx="133">
                  <c:v>99.793660853777325</c:v>
                </c:pt>
                <c:pt idx="134">
                  <c:v>99.824134766640697</c:v>
                </c:pt>
                <c:pt idx="135">
                  <c:v>99.854094568204886</c:v>
                </c:pt>
                <c:pt idx="136">
                  <c:v>99.883548931804029</c:v>
                </c:pt>
                <c:pt idx="137">
                  <c:v>99.91250638444842</c:v>
                </c:pt>
                <c:pt idx="138">
                  <c:v>99.940975309293094</c:v>
                </c:pt>
                <c:pt idx="139">
                  <c:v>99.968963948064783</c:v>
                </c:pt>
                <c:pt idx="140">
                  <c:v>99.996480403447819</c:v>
                </c:pt>
                <c:pt idx="141">
                  <c:v>100.02353264142994</c:v>
                </c:pt>
                <c:pt idx="142">
                  <c:v>100.05012849360836</c:v>
                </c:pt>
                <c:pt idx="143">
                  <c:v>100.07627565945701</c:v>
                </c:pt>
                <c:pt idx="144">
                  <c:v>100.1019817085556</c:v>
                </c:pt>
                <c:pt idx="145">
                  <c:v>100.12725408278092</c:v>
                </c:pt>
                <c:pt idx="146">
                  <c:v>100.15210009846135</c:v>
                </c:pt>
                <c:pt idx="147">
                  <c:v>100.17652694849482</c:v>
                </c:pt>
                <c:pt idx="148">
                  <c:v>100.20054170443123</c:v>
                </c:pt>
                <c:pt idx="149">
                  <c:v>100.22415131851963</c:v>
                </c:pt>
                <c:pt idx="150">
                  <c:v>100.24736262572088</c:v>
                </c:pt>
                <c:pt idx="151">
                  <c:v>100.27018234568638</c:v>
                </c:pt>
                <c:pt idx="152">
                  <c:v>100.29261708470339</c:v>
                </c:pt>
                <c:pt idx="153">
                  <c:v>100.31467333760757</c:v>
                </c:pt>
                <c:pt idx="154">
                  <c:v>100.33635748966319</c:v>
                </c:pt>
                <c:pt idx="155">
                  <c:v>100.35767581841168</c:v>
                </c:pt>
                <c:pt idx="156">
                  <c:v>100.378634495489</c:v>
                </c:pt>
                <c:pt idx="157">
                  <c:v>100.39923958841223</c:v>
                </c:pt>
                <c:pt idx="158">
                  <c:v>100.41949706233622</c:v>
                </c:pt>
                <c:pt idx="159">
                  <c:v>100.43941278178046</c:v>
                </c:pt>
                <c:pt idx="160">
                  <c:v>100.45899251232682</c:v>
                </c:pt>
                <c:pt idx="161">
                  <c:v>100.47824192228867</c:v>
                </c:pt>
                <c:pt idx="162">
                  <c:v>100.49716658435197</c:v>
                </c:pt>
                <c:pt idx="163">
                  <c:v>100.51577197718838</c:v>
                </c:pt>
                <c:pt idx="164">
                  <c:v>100.53406348704149</c:v>
                </c:pt>
                <c:pt idx="165">
                  <c:v>100.55204640928602</c:v>
                </c:pt>
                <c:pt idx="166">
                  <c:v>100.5697259499609</c:v>
                </c:pt>
                <c:pt idx="167">
                  <c:v>100.58710722727638</c:v>
                </c:pt>
                <c:pt idx="168">
                  <c:v>100.60419527309571</c:v>
                </c:pt>
                <c:pt idx="169">
                  <c:v>72.420995034391964</c:v>
                </c:pt>
                <c:pt idx="170">
                  <c:v>72.437511374680085</c:v>
                </c:pt>
                <c:pt idx="171">
                  <c:v>72.453749075424881</c:v>
                </c:pt>
                <c:pt idx="172">
                  <c:v>72.46971283742532</c:v>
                </c:pt>
                <c:pt idx="173">
                  <c:v>72.485407282175359</c:v>
                </c:pt>
                <c:pt idx="174">
                  <c:v>72.500836953201826</c:v>
                </c:pt>
                <c:pt idx="175">
                  <c:v>72.516006317379862</c:v>
                </c:pt>
                <c:pt idx="176">
                  <c:v>72.530919766225978</c:v>
                </c:pt>
                <c:pt idx="177">
                  <c:v>72.545581617169475</c:v>
                </c:pt>
                <c:pt idx="178">
                  <c:v>72.55999611480226</c:v>
                </c:pt>
                <c:pt idx="179">
                  <c:v>72.574167432107728</c:v>
                </c:pt>
                <c:pt idx="180">
                  <c:v>72.588099671668772</c:v>
                </c:pt>
                <c:pt idx="181">
                  <c:v>72.601796866855537</c:v>
                </c:pt>
                <c:pt idx="182">
                  <c:v>72.615262982993031</c:v>
                </c:pt>
                <c:pt idx="183">
                  <c:v>72.628501918509059</c:v>
                </c:pt>
                <c:pt idx="184">
                  <c:v>72.641517506062911</c:v>
                </c:pt>
                <c:pt idx="185">
                  <c:v>72.654313513654827</c:v>
                </c:pt>
                <c:pt idx="186">
                  <c:v>72.66689364571684</c:v>
                </c:pt>
                <c:pt idx="187">
                  <c:v>72.679261544185252</c:v>
                </c:pt>
                <c:pt idx="188">
                  <c:v>72.69142078955494</c:v>
                </c:pt>
                <c:pt idx="189">
                  <c:v>72.703374901915865</c:v>
                </c:pt>
                <c:pt idx="190">
                  <c:v>72.715127341972234</c:v>
                </c:pt>
                <c:pt idx="191">
                  <c:v>72.72668151204428</c:v>
                </c:pt>
                <c:pt idx="192">
                  <c:v>72.738040757053255</c:v>
                </c:pt>
                <c:pt idx="193">
                  <c:v>72.749208365489821</c:v>
                </c:pt>
                <c:pt idx="194">
                  <c:v>72.760187570366028</c:v>
                </c:pt>
                <c:pt idx="195">
                  <c:v>72.770981550151234</c:v>
                </c:pt>
                <c:pt idx="196">
                  <c:v>72.781593429692364</c:v>
                </c:pt>
                <c:pt idx="197">
                  <c:v>72.792026281118467</c:v>
                </c:pt>
                <c:pt idx="198">
                  <c:v>72.802283124730124</c:v>
                </c:pt>
                <c:pt idx="199">
                  <c:v>72.812366929873818</c:v>
                </c:pt>
                <c:pt idx="200">
                  <c:v>72.822280615801574</c:v>
                </c:pt>
                <c:pt idx="201">
                  <c:v>72.832027052516054</c:v>
                </c:pt>
                <c:pt idx="202">
                  <c:v>72.841609061601417</c:v>
                </c:pt>
                <c:pt idx="203">
                  <c:v>72.851029417040237</c:v>
                </c:pt>
                <c:pt idx="204">
                  <c:v>72.860290846016426</c:v>
                </c:pt>
                <c:pt idx="205">
                  <c:v>72.869396029704916</c:v>
                </c:pt>
                <c:pt idx="206">
                  <c:v>72.878347604047718</c:v>
                </c:pt>
                <c:pt idx="207">
                  <c:v>72.887148160517114</c:v>
                </c:pt>
                <c:pt idx="208">
                  <c:v>72.895800246865861</c:v>
                </c:pt>
                <c:pt idx="209">
                  <c:v>72.904306367864706</c:v>
                </c:pt>
                <c:pt idx="210">
                  <c:v>72.91266898602764</c:v>
                </c:pt>
                <c:pt idx="211">
                  <c:v>72.920890522324669</c:v>
                </c:pt>
                <c:pt idx="212">
                  <c:v>72.92897335688275</c:v>
                </c:pt>
                <c:pt idx="213">
                  <c:v>72.936919829674807</c:v>
                </c:pt>
                <c:pt idx="214">
                  <c:v>72.944732241197158</c:v>
                </c:pt>
                <c:pt idx="215">
                  <c:v>72.952412853135556</c:v>
                </c:pt>
                <c:pt idx="216">
                  <c:v>72.959963889019832</c:v>
                </c:pt>
                <c:pt idx="217">
                  <c:v>72.967387534867726</c:v>
                </c:pt>
                <c:pt idx="218">
                  <c:v>72.974685939817661</c:v>
                </c:pt>
                <c:pt idx="219">
                  <c:v>72.981861216750943</c:v>
                </c:pt>
                <c:pt idx="220">
                  <c:v>72.988915442903419</c:v>
                </c:pt>
                <c:pt idx="221">
                  <c:v>72.995850660466871</c:v>
                </c:pt>
                <c:pt idx="222">
                  <c:v>73.002668877180199</c:v>
                </c:pt>
                <c:pt idx="223">
                  <c:v>73.009372066910672</c:v>
                </c:pt>
                <c:pt idx="224">
                  <c:v>73.015962170225365</c:v>
                </c:pt>
                <c:pt idx="225">
                  <c:v>73.022441094952896</c:v>
                </c:pt>
                <c:pt idx="226">
                  <c:v>73.028810716735862</c:v>
                </c:pt>
                <c:pt idx="227">
                  <c:v>73.035072879573704</c:v>
                </c:pt>
                <c:pt idx="228">
                  <c:v>73.041229396356613</c:v>
                </c:pt>
                <c:pt idx="229">
                  <c:v>73.047282049390361</c:v>
                </c:pt>
              </c:numCache>
            </c:numRef>
          </c:yVal>
          <c:smooth val="1"/>
          <c:extLst>
            <c:ext xmlns:c16="http://schemas.microsoft.com/office/drawing/2014/chart" uri="{C3380CC4-5D6E-409C-BE32-E72D297353CC}">
              <c16:uniqueId val="{00000005-D254-4D4E-B290-50517E212225}"/>
            </c:ext>
          </c:extLst>
        </c:ser>
        <c:ser>
          <c:idx val="8"/>
          <c:order val="6"/>
          <c:tx>
            <c:v>DOE Incandescent GSL</c:v>
          </c:tx>
          <c:spPr>
            <a:ln>
              <a:solidFill>
                <a:srgbClr val="F86C6C"/>
              </a:solidFill>
              <a:prstDash val="sysDash"/>
            </a:ln>
          </c:spPr>
          <c:marker>
            <c:symbol val="none"/>
          </c:marker>
          <c:xVal>
            <c:numRef>
              <c:f>'[Data-graficos 11 12 2017-v21.02.18.xlsx]Sheet1'!$W$7:$W$236</c:f>
              <c:numCache>
                <c:formatCode>General</c:formatCode>
                <c:ptCount val="23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pt idx="60">
                  <c:v>910</c:v>
                </c:pt>
                <c:pt idx="61">
                  <c:v>920</c:v>
                </c:pt>
                <c:pt idx="62">
                  <c:v>930</c:v>
                </c:pt>
                <c:pt idx="63">
                  <c:v>940</c:v>
                </c:pt>
                <c:pt idx="64">
                  <c:v>950</c:v>
                </c:pt>
                <c:pt idx="65">
                  <c:v>960</c:v>
                </c:pt>
                <c:pt idx="66">
                  <c:v>970</c:v>
                </c:pt>
                <c:pt idx="67">
                  <c:v>980</c:v>
                </c:pt>
                <c:pt idx="68">
                  <c:v>990</c:v>
                </c:pt>
                <c:pt idx="69">
                  <c:v>1000</c:v>
                </c:pt>
                <c:pt idx="70">
                  <c:v>1010</c:v>
                </c:pt>
                <c:pt idx="71">
                  <c:v>1020</c:v>
                </c:pt>
                <c:pt idx="72">
                  <c:v>1030</c:v>
                </c:pt>
                <c:pt idx="73">
                  <c:v>1040</c:v>
                </c:pt>
                <c:pt idx="74">
                  <c:v>1050</c:v>
                </c:pt>
                <c:pt idx="75">
                  <c:v>1060</c:v>
                </c:pt>
                <c:pt idx="76">
                  <c:v>1070</c:v>
                </c:pt>
                <c:pt idx="77">
                  <c:v>1080</c:v>
                </c:pt>
                <c:pt idx="78">
                  <c:v>1090</c:v>
                </c:pt>
                <c:pt idx="79">
                  <c:v>1100</c:v>
                </c:pt>
                <c:pt idx="80">
                  <c:v>1110</c:v>
                </c:pt>
                <c:pt idx="81">
                  <c:v>1120</c:v>
                </c:pt>
                <c:pt idx="82">
                  <c:v>1130</c:v>
                </c:pt>
                <c:pt idx="83">
                  <c:v>1140</c:v>
                </c:pt>
                <c:pt idx="84">
                  <c:v>1150</c:v>
                </c:pt>
                <c:pt idx="85">
                  <c:v>1160</c:v>
                </c:pt>
                <c:pt idx="86">
                  <c:v>1170</c:v>
                </c:pt>
                <c:pt idx="87">
                  <c:v>1180</c:v>
                </c:pt>
                <c:pt idx="88">
                  <c:v>1190</c:v>
                </c:pt>
                <c:pt idx="89">
                  <c:v>1200</c:v>
                </c:pt>
                <c:pt idx="90">
                  <c:v>1210</c:v>
                </c:pt>
                <c:pt idx="91">
                  <c:v>1220</c:v>
                </c:pt>
                <c:pt idx="92">
                  <c:v>1230</c:v>
                </c:pt>
                <c:pt idx="93">
                  <c:v>1240</c:v>
                </c:pt>
                <c:pt idx="94">
                  <c:v>1250</c:v>
                </c:pt>
                <c:pt idx="95">
                  <c:v>1260</c:v>
                </c:pt>
                <c:pt idx="96">
                  <c:v>1270</c:v>
                </c:pt>
                <c:pt idx="97">
                  <c:v>1280</c:v>
                </c:pt>
                <c:pt idx="98">
                  <c:v>1290</c:v>
                </c:pt>
                <c:pt idx="99">
                  <c:v>1300</c:v>
                </c:pt>
                <c:pt idx="100">
                  <c:v>1310</c:v>
                </c:pt>
                <c:pt idx="101">
                  <c:v>1320</c:v>
                </c:pt>
                <c:pt idx="102">
                  <c:v>1330</c:v>
                </c:pt>
                <c:pt idx="103">
                  <c:v>1340</c:v>
                </c:pt>
                <c:pt idx="104">
                  <c:v>1350</c:v>
                </c:pt>
                <c:pt idx="105">
                  <c:v>1360</c:v>
                </c:pt>
                <c:pt idx="106">
                  <c:v>1370</c:v>
                </c:pt>
                <c:pt idx="107">
                  <c:v>1380</c:v>
                </c:pt>
                <c:pt idx="108">
                  <c:v>1390</c:v>
                </c:pt>
                <c:pt idx="109">
                  <c:v>1400</c:v>
                </c:pt>
                <c:pt idx="110">
                  <c:v>1410</c:v>
                </c:pt>
                <c:pt idx="111">
                  <c:v>1420</c:v>
                </c:pt>
                <c:pt idx="112">
                  <c:v>1430</c:v>
                </c:pt>
                <c:pt idx="113">
                  <c:v>1440</c:v>
                </c:pt>
                <c:pt idx="114">
                  <c:v>1450</c:v>
                </c:pt>
                <c:pt idx="115">
                  <c:v>1460</c:v>
                </c:pt>
                <c:pt idx="116">
                  <c:v>1470</c:v>
                </c:pt>
                <c:pt idx="117">
                  <c:v>1480</c:v>
                </c:pt>
                <c:pt idx="118">
                  <c:v>1490</c:v>
                </c:pt>
                <c:pt idx="119">
                  <c:v>1500</c:v>
                </c:pt>
                <c:pt idx="120">
                  <c:v>1510</c:v>
                </c:pt>
                <c:pt idx="121">
                  <c:v>1520</c:v>
                </c:pt>
                <c:pt idx="122">
                  <c:v>1530</c:v>
                </c:pt>
                <c:pt idx="123">
                  <c:v>1540</c:v>
                </c:pt>
                <c:pt idx="124">
                  <c:v>1550</c:v>
                </c:pt>
                <c:pt idx="125">
                  <c:v>1560</c:v>
                </c:pt>
                <c:pt idx="126">
                  <c:v>1570</c:v>
                </c:pt>
                <c:pt idx="127">
                  <c:v>1580</c:v>
                </c:pt>
                <c:pt idx="128">
                  <c:v>1590</c:v>
                </c:pt>
                <c:pt idx="129">
                  <c:v>1600</c:v>
                </c:pt>
                <c:pt idx="130">
                  <c:v>1610</c:v>
                </c:pt>
                <c:pt idx="131">
                  <c:v>1620</c:v>
                </c:pt>
                <c:pt idx="132">
                  <c:v>1630</c:v>
                </c:pt>
                <c:pt idx="133">
                  <c:v>1640</c:v>
                </c:pt>
                <c:pt idx="134">
                  <c:v>1650</c:v>
                </c:pt>
                <c:pt idx="135">
                  <c:v>1660</c:v>
                </c:pt>
                <c:pt idx="136">
                  <c:v>1670</c:v>
                </c:pt>
                <c:pt idx="137">
                  <c:v>1680</c:v>
                </c:pt>
                <c:pt idx="138">
                  <c:v>1690</c:v>
                </c:pt>
                <c:pt idx="139">
                  <c:v>1700</c:v>
                </c:pt>
                <c:pt idx="140">
                  <c:v>1710</c:v>
                </c:pt>
                <c:pt idx="141">
                  <c:v>1720</c:v>
                </c:pt>
                <c:pt idx="142">
                  <c:v>1730</c:v>
                </c:pt>
                <c:pt idx="143">
                  <c:v>1740</c:v>
                </c:pt>
                <c:pt idx="144">
                  <c:v>1750</c:v>
                </c:pt>
                <c:pt idx="145">
                  <c:v>1760</c:v>
                </c:pt>
                <c:pt idx="146">
                  <c:v>1770</c:v>
                </c:pt>
                <c:pt idx="147">
                  <c:v>1780</c:v>
                </c:pt>
                <c:pt idx="148">
                  <c:v>1790</c:v>
                </c:pt>
                <c:pt idx="149">
                  <c:v>1800</c:v>
                </c:pt>
                <c:pt idx="150">
                  <c:v>1810</c:v>
                </c:pt>
                <c:pt idx="151">
                  <c:v>1820</c:v>
                </c:pt>
                <c:pt idx="152">
                  <c:v>1830</c:v>
                </c:pt>
                <c:pt idx="153">
                  <c:v>1840</c:v>
                </c:pt>
                <c:pt idx="154">
                  <c:v>1850</c:v>
                </c:pt>
                <c:pt idx="155">
                  <c:v>1860</c:v>
                </c:pt>
                <c:pt idx="156">
                  <c:v>1870</c:v>
                </c:pt>
                <c:pt idx="157">
                  <c:v>1880</c:v>
                </c:pt>
                <c:pt idx="158">
                  <c:v>1890</c:v>
                </c:pt>
                <c:pt idx="159">
                  <c:v>1900</c:v>
                </c:pt>
                <c:pt idx="160">
                  <c:v>1910</c:v>
                </c:pt>
                <c:pt idx="161">
                  <c:v>1920</c:v>
                </c:pt>
                <c:pt idx="162">
                  <c:v>1930</c:v>
                </c:pt>
                <c:pt idx="163">
                  <c:v>1940</c:v>
                </c:pt>
                <c:pt idx="164">
                  <c:v>1950</c:v>
                </c:pt>
                <c:pt idx="165">
                  <c:v>1960</c:v>
                </c:pt>
                <c:pt idx="166">
                  <c:v>1970</c:v>
                </c:pt>
                <c:pt idx="167">
                  <c:v>1980</c:v>
                </c:pt>
                <c:pt idx="168">
                  <c:v>1990</c:v>
                </c:pt>
                <c:pt idx="169">
                  <c:v>2000</c:v>
                </c:pt>
                <c:pt idx="170">
                  <c:v>2010</c:v>
                </c:pt>
                <c:pt idx="171">
                  <c:v>2020</c:v>
                </c:pt>
                <c:pt idx="172">
                  <c:v>2030</c:v>
                </c:pt>
                <c:pt idx="173">
                  <c:v>2040</c:v>
                </c:pt>
                <c:pt idx="174">
                  <c:v>2050</c:v>
                </c:pt>
                <c:pt idx="175">
                  <c:v>2060</c:v>
                </c:pt>
                <c:pt idx="176">
                  <c:v>2070</c:v>
                </c:pt>
                <c:pt idx="177">
                  <c:v>2080</c:v>
                </c:pt>
                <c:pt idx="178">
                  <c:v>2090</c:v>
                </c:pt>
                <c:pt idx="179">
                  <c:v>2100</c:v>
                </c:pt>
                <c:pt idx="180">
                  <c:v>2110</c:v>
                </c:pt>
                <c:pt idx="181">
                  <c:v>2120</c:v>
                </c:pt>
                <c:pt idx="182">
                  <c:v>2130</c:v>
                </c:pt>
                <c:pt idx="183">
                  <c:v>2140</c:v>
                </c:pt>
                <c:pt idx="184">
                  <c:v>2150</c:v>
                </c:pt>
                <c:pt idx="185">
                  <c:v>2160</c:v>
                </c:pt>
                <c:pt idx="186">
                  <c:v>2170</c:v>
                </c:pt>
                <c:pt idx="187">
                  <c:v>2180</c:v>
                </c:pt>
                <c:pt idx="188">
                  <c:v>2190</c:v>
                </c:pt>
                <c:pt idx="189">
                  <c:v>2200</c:v>
                </c:pt>
                <c:pt idx="190">
                  <c:v>2210</c:v>
                </c:pt>
                <c:pt idx="191">
                  <c:v>2220</c:v>
                </c:pt>
                <c:pt idx="192">
                  <c:v>2230</c:v>
                </c:pt>
                <c:pt idx="193">
                  <c:v>2240</c:v>
                </c:pt>
                <c:pt idx="194">
                  <c:v>2250</c:v>
                </c:pt>
                <c:pt idx="195">
                  <c:v>2260</c:v>
                </c:pt>
                <c:pt idx="196">
                  <c:v>2270</c:v>
                </c:pt>
                <c:pt idx="197">
                  <c:v>2280</c:v>
                </c:pt>
                <c:pt idx="198">
                  <c:v>2290</c:v>
                </c:pt>
                <c:pt idx="199">
                  <c:v>2300</c:v>
                </c:pt>
                <c:pt idx="200">
                  <c:v>2310</c:v>
                </c:pt>
                <c:pt idx="201">
                  <c:v>2320</c:v>
                </c:pt>
                <c:pt idx="202">
                  <c:v>2330</c:v>
                </c:pt>
                <c:pt idx="203">
                  <c:v>2340</c:v>
                </c:pt>
                <c:pt idx="204">
                  <c:v>2350</c:v>
                </c:pt>
                <c:pt idx="205">
                  <c:v>2360</c:v>
                </c:pt>
                <c:pt idx="206">
                  <c:v>2370</c:v>
                </c:pt>
                <c:pt idx="207">
                  <c:v>2380</c:v>
                </c:pt>
                <c:pt idx="208">
                  <c:v>2390</c:v>
                </c:pt>
                <c:pt idx="209">
                  <c:v>2400</c:v>
                </c:pt>
                <c:pt idx="210">
                  <c:v>2410</c:v>
                </c:pt>
                <c:pt idx="211">
                  <c:v>2420</c:v>
                </c:pt>
                <c:pt idx="212">
                  <c:v>2430</c:v>
                </c:pt>
                <c:pt idx="213">
                  <c:v>2440</c:v>
                </c:pt>
                <c:pt idx="214">
                  <c:v>2450</c:v>
                </c:pt>
                <c:pt idx="215">
                  <c:v>2460</c:v>
                </c:pt>
                <c:pt idx="216">
                  <c:v>2470</c:v>
                </c:pt>
                <c:pt idx="217">
                  <c:v>2480</c:v>
                </c:pt>
                <c:pt idx="218">
                  <c:v>2490</c:v>
                </c:pt>
                <c:pt idx="219">
                  <c:v>2500</c:v>
                </c:pt>
                <c:pt idx="220">
                  <c:v>2510</c:v>
                </c:pt>
                <c:pt idx="221">
                  <c:v>2520</c:v>
                </c:pt>
                <c:pt idx="222">
                  <c:v>2530</c:v>
                </c:pt>
                <c:pt idx="223">
                  <c:v>2540</c:v>
                </c:pt>
                <c:pt idx="224">
                  <c:v>2550</c:v>
                </c:pt>
                <c:pt idx="225">
                  <c:v>2560</c:v>
                </c:pt>
                <c:pt idx="226">
                  <c:v>2570</c:v>
                </c:pt>
                <c:pt idx="227">
                  <c:v>2580</c:v>
                </c:pt>
                <c:pt idx="228">
                  <c:v>2590</c:v>
                </c:pt>
                <c:pt idx="229">
                  <c:v>2600</c:v>
                </c:pt>
              </c:numCache>
            </c:numRef>
          </c:xVal>
          <c:yVal>
            <c:numRef>
              <c:f>'[Data-graficos 11 12 2017-v21.02.18.xlsx]Sheet1'!$Y$7:$Y$236</c:f>
              <c:numCache>
                <c:formatCode>0.0</c:formatCode>
                <c:ptCount val="230"/>
                <c:pt idx="0">
                  <c:v>10.689655172413794</c:v>
                </c:pt>
                <c:pt idx="1">
                  <c:v>11.03448275862069</c:v>
                </c:pt>
                <c:pt idx="2">
                  <c:v>11.379310344827585</c:v>
                </c:pt>
                <c:pt idx="3">
                  <c:v>11.724137931034482</c:v>
                </c:pt>
                <c:pt idx="4">
                  <c:v>12.068965517241379</c:v>
                </c:pt>
                <c:pt idx="5">
                  <c:v>12.413793103448276</c:v>
                </c:pt>
                <c:pt idx="6">
                  <c:v>12.758620689655173</c:v>
                </c:pt>
                <c:pt idx="7">
                  <c:v>13.103448275862069</c:v>
                </c:pt>
                <c:pt idx="8">
                  <c:v>13.448275862068966</c:v>
                </c:pt>
                <c:pt idx="9">
                  <c:v>13.793103448275861</c:v>
                </c:pt>
                <c:pt idx="10">
                  <c:v>14.137931034482758</c:v>
                </c:pt>
                <c:pt idx="11">
                  <c:v>14.482758620689655</c:v>
                </c:pt>
                <c:pt idx="12">
                  <c:v>14.827586206896552</c:v>
                </c:pt>
                <c:pt idx="13">
                  <c:v>15.172413793103448</c:v>
                </c:pt>
                <c:pt idx="14">
                  <c:v>15.517241379310345</c:v>
                </c:pt>
                <c:pt idx="15">
                  <c:v>15.862068965517242</c:v>
                </c:pt>
                <c:pt idx="16">
                  <c:v>16.206896551724139</c:v>
                </c:pt>
                <c:pt idx="17">
                  <c:v>16.551724137931036</c:v>
                </c:pt>
                <c:pt idx="18">
                  <c:v>16.896551724137932</c:v>
                </c:pt>
                <c:pt idx="19">
                  <c:v>17.241379310344829</c:v>
                </c:pt>
                <c:pt idx="20">
                  <c:v>17.586206896551722</c:v>
                </c:pt>
                <c:pt idx="21">
                  <c:v>17.931034482758619</c:v>
                </c:pt>
                <c:pt idx="22">
                  <c:v>18.275862068965516</c:v>
                </c:pt>
                <c:pt idx="23">
                  <c:v>18.620689655172413</c:v>
                </c:pt>
                <c:pt idx="24">
                  <c:v>18.96551724137931</c:v>
                </c:pt>
                <c:pt idx="25">
                  <c:v>19.310344827586206</c:v>
                </c:pt>
                <c:pt idx="26">
                  <c:v>19.655172413793103</c:v>
                </c:pt>
                <c:pt idx="27">
                  <c:v>20</c:v>
                </c:pt>
                <c:pt idx="28">
                  <c:v>20.344827586206897</c:v>
                </c:pt>
                <c:pt idx="29">
                  <c:v>20.689655172413794</c:v>
                </c:pt>
                <c:pt idx="30">
                  <c:v>21.03448275862069</c:v>
                </c:pt>
                <c:pt idx="31">
                  <c:v>21.379310344827587</c:v>
                </c:pt>
                <c:pt idx="32">
                  <c:v>21.724137931034484</c:v>
                </c:pt>
                <c:pt idx="33">
                  <c:v>22.068965517241381</c:v>
                </c:pt>
                <c:pt idx="34">
                  <c:v>22.413793103448278</c:v>
                </c:pt>
                <c:pt idx="35">
                  <c:v>22.758620689655171</c:v>
                </c:pt>
                <c:pt idx="36">
                  <c:v>23.103448275862068</c:v>
                </c:pt>
                <c:pt idx="37">
                  <c:v>23.448275862068964</c:v>
                </c:pt>
                <c:pt idx="38">
                  <c:v>23.793103448275861</c:v>
                </c:pt>
                <c:pt idx="39">
                  <c:v>24.137931034482758</c:v>
                </c:pt>
                <c:pt idx="40">
                  <c:v>24.482758620689655</c:v>
                </c:pt>
                <c:pt idx="41">
                  <c:v>24.827586206896552</c:v>
                </c:pt>
                <c:pt idx="42">
                  <c:v>25.172413793103448</c:v>
                </c:pt>
                <c:pt idx="43">
                  <c:v>25.517241379310345</c:v>
                </c:pt>
                <c:pt idx="44">
                  <c:v>17.441860465116278</c:v>
                </c:pt>
                <c:pt idx="45">
                  <c:v>17.674418604651162</c:v>
                </c:pt>
                <c:pt idx="46">
                  <c:v>17.906976744186046</c:v>
                </c:pt>
                <c:pt idx="47">
                  <c:v>18.13953488372093</c:v>
                </c:pt>
                <c:pt idx="48">
                  <c:v>18.372093023255815</c:v>
                </c:pt>
                <c:pt idx="49">
                  <c:v>18.604651162790699</c:v>
                </c:pt>
                <c:pt idx="50">
                  <c:v>18.837209302325583</c:v>
                </c:pt>
                <c:pt idx="51">
                  <c:v>19.069767441860463</c:v>
                </c:pt>
                <c:pt idx="52">
                  <c:v>19.302325581395348</c:v>
                </c:pt>
                <c:pt idx="53">
                  <c:v>19.534883720930232</c:v>
                </c:pt>
                <c:pt idx="54">
                  <c:v>19.767441860465116</c:v>
                </c:pt>
                <c:pt idx="55">
                  <c:v>20</c:v>
                </c:pt>
                <c:pt idx="56">
                  <c:v>20.232558139534884</c:v>
                </c:pt>
                <c:pt idx="57">
                  <c:v>20.465116279069768</c:v>
                </c:pt>
                <c:pt idx="58">
                  <c:v>20.697674418604652</c:v>
                </c:pt>
                <c:pt idx="59">
                  <c:v>20.930232558139537</c:v>
                </c:pt>
                <c:pt idx="60">
                  <c:v>21.162790697674417</c:v>
                </c:pt>
                <c:pt idx="61">
                  <c:v>21.395348837209301</c:v>
                </c:pt>
                <c:pt idx="62">
                  <c:v>21.627906976744185</c:v>
                </c:pt>
                <c:pt idx="63">
                  <c:v>21.86046511627907</c:v>
                </c:pt>
                <c:pt idx="64">
                  <c:v>22.093023255813954</c:v>
                </c:pt>
                <c:pt idx="65">
                  <c:v>22.325581395348838</c:v>
                </c:pt>
                <c:pt idx="66">
                  <c:v>22.558139534883722</c:v>
                </c:pt>
                <c:pt idx="67">
                  <c:v>22.790697674418606</c:v>
                </c:pt>
                <c:pt idx="68">
                  <c:v>23.023255813953487</c:v>
                </c:pt>
                <c:pt idx="69">
                  <c:v>23.255813953488371</c:v>
                </c:pt>
                <c:pt idx="70">
                  <c:v>23.488372093023255</c:v>
                </c:pt>
                <c:pt idx="71">
                  <c:v>23.720930232558139</c:v>
                </c:pt>
                <c:pt idx="72">
                  <c:v>23.953488372093023</c:v>
                </c:pt>
                <c:pt idx="73">
                  <c:v>24.186046511627907</c:v>
                </c:pt>
                <c:pt idx="74">
                  <c:v>19.811320754716981</c:v>
                </c:pt>
                <c:pt idx="75">
                  <c:v>20</c:v>
                </c:pt>
                <c:pt idx="76">
                  <c:v>20.188679245283019</c:v>
                </c:pt>
                <c:pt idx="77">
                  <c:v>20.377358490566039</c:v>
                </c:pt>
                <c:pt idx="78">
                  <c:v>20.566037735849058</c:v>
                </c:pt>
                <c:pt idx="79">
                  <c:v>20.754716981132077</c:v>
                </c:pt>
                <c:pt idx="80">
                  <c:v>20.943396226415093</c:v>
                </c:pt>
                <c:pt idx="81">
                  <c:v>21.132075471698112</c:v>
                </c:pt>
                <c:pt idx="82">
                  <c:v>21.320754716981131</c:v>
                </c:pt>
                <c:pt idx="83">
                  <c:v>21.509433962264151</c:v>
                </c:pt>
                <c:pt idx="84">
                  <c:v>21.69811320754717</c:v>
                </c:pt>
                <c:pt idx="85">
                  <c:v>21.886792452830189</c:v>
                </c:pt>
                <c:pt idx="86">
                  <c:v>22.075471698113208</c:v>
                </c:pt>
                <c:pt idx="87">
                  <c:v>22.264150943396228</c:v>
                </c:pt>
                <c:pt idx="88">
                  <c:v>22.452830188679247</c:v>
                </c:pt>
                <c:pt idx="89">
                  <c:v>22.641509433962263</c:v>
                </c:pt>
                <c:pt idx="90">
                  <c:v>22.830188679245282</c:v>
                </c:pt>
                <c:pt idx="91">
                  <c:v>23.018867924528301</c:v>
                </c:pt>
                <c:pt idx="92">
                  <c:v>23.20754716981132</c:v>
                </c:pt>
                <c:pt idx="93">
                  <c:v>23.39622641509434</c:v>
                </c:pt>
                <c:pt idx="94">
                  <c:v>23.584905660377359</c:v>
                </c:pt>
                <c:pt idx="95">
                  <c:v>23.773584905660378</c:v>
                </c:pt>
                <c:pt idx="96">
                  <c:v>23.962264150943398</c:v>
                </c:pt>
                <c:pt idx="97">
                  <c:v>24.150943396226417</c:v>
                </c:pt>
                <c:pt idx="98">
                  <c:v>24.339622641509433</c:v>
                </c:pt>
                <c:pt idx="99">
                  <c:v>24.528301886792452</c:v>
                </c:pt>
                <c:pt idx="100">
                  <c:v>24.716981132075471</c:v>
                </c:pt>
                <c:pt idx="101">
                  <c:v>24.90566037735849</c:v>
                </c:pt>
                <c:pt idx="102">
                  <c:v>25.09433962264151</c:v>
                </c:pt>
                <c:pt idx="103">
                  <c:v>25.283018867924529</c:v>
                </c:pt>
                <c:pt idx="104">
                  <c:v>25.471698113207548</c:v>
                </c:pt>
                <c:pt idx="105">
                  <c:v>25.660377358490567</c:v>
                </c:pt>
                <c:pt idx="106">
                  <c:v>25.849056603773583</c:v>
                </c:pt>
                <c:pt idx="107">
                  <c:v>26.037735849056602</c:v>
                </c:pt>
                <c:pt idx="108">
                  <c:v>26.226415094339622</c:v>
                </c:pt>
                <c:pt idx="109">
                  <c:v>26.415094339622641</c:v>
                </c:pt>
                <c:pt idx="110">
                  <c:v>26.60377358490566</c:v>
                </c:pt>
                <c:pt idx="111">
                  <c:v>26.79245283018868</c:v>
                </c:pt>
                <c:pt idx="112">
                  <c:v>26.981132075471699</c:v>
                </c:pt>
                <c:pt idx="113">
                  <c:v>27.169811320754718</c:v>
                </c:pt>
                <c:pt idx="114">
                  <c:v>27.358490566037737</c:v>
                </c:pt>
                <c:pt idx="115">
                  <c:v>27.547169811320753</c:v>
                </c:pt>
                <c:pt idx="116">
                  <c:v>27.735849056603772</c:v>
                </c:pt>
                <c:pt idx="117">
                  <c:v>27.924528301886792</c:v>
                </c:pt>
                <c:pt idx="118">
                  <c:v>20.694444444444443</c:v>
                </c:pt>
                <c:pt idx="119">
                  <c:v>20.833333333333332</c:v>
                </c:pt>
                <c:pt idx="120">
                  <c:v>20.972222222222221</c:v>
                </c:pt>
                <c:pt idx="121">
                  <c:v>21.111111111111111</c:v>
                </c:pt>
                <c:pt idx="122">
                  <c:v>21.25</c:v>
                </c:pt>
                <c:pt idx="123">
                  <c:v>21.388888888888889</c:v>
                </c:pt>
                <c:pt idx="124">
                  <c:v>21.527777777777779</c:v>
                </c:pt>
                <c:pt idx="125">
                  <c:v>21.666666666666668</c:v>
                </c:pt>
                <c:pt idx="126">
                  <c:v>21.805555555555557</c:v>
                </c:pt>
                <c:pt idx="127">
                  <c:v>21.944444444444443</c:v>
                </c:pt>
                <c:pt idx="128">
                  <c:v>22.083333333333332</c:v>
                </c:pt>
                <c:pt idx="129">
                  <c:v>22.222222222222221</c:v>
                </c:pt>
                <c:pt idx="130">
                  <c:v>22.361111111111111</c:v>
                </c:pt>
                <c:pt idx="131">
                  <c:v>22.5</c:v>
                </c:pt>
                <c:pt idx="132">
                  <c:v>22.638888888888889</c:v>
                </c:pt>
                <c:pt idx="133">
                  <c:v>22.777777777777779</c:v>
                </c:pt>
                <c:pt idx="134">
                  <c:v>22.916666666666668</c:v>
                </c:pt>
                <c:pt idx="135">
                  <c:v>23.055555555555557</c:v>
                </c:pt>
                <c:pt idx="136">
                  <c:v>23.194444444444443</c:v>
                </c:pt>
                <c:pt idx="137">
                  <c:v>23.333333333333332</c:v>
                </c:pt>
                <c:pt idx="138">
                  <c:v>23.472222222222221</c:v>
                </c:pt>
                <c:pt idx="139">
                  <c:v>23.611111111111111</c:v>
                </c:pt>
                <c:pt idx="140">
                  <c:v>23.75</c:v>
                </c:pt>
                <c:pt idx="141">
                  <c:v>23.888888888888889</c:v>
                </c:pt>
                <c:pt idx="142">
                  <c:v>24.027777777777779</c:v>
                </c:pt>
                <c:pt idx="143">
                  <c:v>24.166666666666668</c:v>
                </c:pt>
                <c:pt idx="144">
                  <c:v>24.305555555555557</c:v>
                </c:pt>
                <c:pt idx="145">
                  <c:v>24.444444444444443</c:v>
                </c:pt>
                <c:pt idx="146">
                  <c:v>24.583333333333332</c:v>
                </c:pt>
                <c:pt idx="147">
                  <c:v>24.722222222222221</c:v>
                </c:pt>
                <c:pt idx="148">
                  <c:v>24.861111111111111</c:v>
                </c:pt>
                <c:pt idx="149">
                  <c:v>25</c:v>
                </c:pt>
                <c:pt idx="150">
                  <c:v>25.138888888888889</c:v>
                </c:pt>
                <c:pt idx="151">
                  <c:v>25.277777777777779</c:v>
                </c:pt>
                <c:pt idx="152">
                  <c:v>25.416666666666668</c:v>
                </c:pt>
                <c:pt idx="153">
                  <c:v>25.555555555555557</c:v>
                </c:pt>
                <c:pt idx="154">
                  <c:v>25.694444444444443</c:v>
                </c:pt>
                <c:pt idx="155">
                  <c:v>25.833333333333332</c:v>
                </c:pt>
                <c:pt idx="156">
                  <c:v>25.972222222222221</c:v>
                </c:pt>
                <c:pt idx="157">
                  <c:v>26.111111111111111</c:v>
                </c:pt>
                <c:pt idx="158">
                  <c:v>26.25</c:v>
                </c:pt>
                <c:pt idx="159">
                  <c:v>26.388888888888889</c:v>
                </c:pt>
                <c:pt idx="160">
                  <c:v>26.527777777777779</c:v>
                </c:pt>
                <c:pt idx="161">
                  <c:v>26.666666666666668</c:v>
                </c:pt>
                <c:pt idx="162">
                  <c:v>26.805555555555557</c:v>
                </c:pt>
                <c:pt idx="163">
                  <c:v>26.944444444444443</c:v>
                </c:pt>
                <c:pt idx="164">
                  <c:v>27.083333333333332</c:v>
                </c:pt>
                <c:pt idx="165">
                  <c:v>27.222222222222221</c:v>
                </c:pt>
                <c:pt idx="166">
                  <c:v>27.361111111111111</c:v>
                </c:pt>
                <c:pt idx="167">
                  <c:v>27.5</c:v>
                </c:pt>
                <c:pt idx="168">
                  <c:v>27.638888888888889</c:v>
                </c:pt>
                <c:pt idx="169">
                  <c:v>27.777777777777779</c:v>
                </c:pt>
                <c:pt idx="170">
                  <c:v>27.916666666666668</c:v>
                </c:pt>
                <c:pt idx="171">
                  <c:v>28.055555555555557</c:v>
                </c:pt>
                <c:pt idx="172">
                  <c:v>28.194444444444443</c:v>
                </c:pt>
                <c:pt idx="173">
                  <c:v>28.333333333333332</c:v>
                </c:pt>
                <c:pt idx="174">
                  <c:v>28.472222222222221</c:v>
                </c:pt>
                <c:pt idx="175">
                  <c:v>28.611111111111111</c:v>
                </c:pt>
                <c:pt idx="176">
                  <c:v>28.75</c:v>
                </c:pt>
                <c:pt idx="177">
                  <c:v>28.888888888888889</c:v>
                </c:pt>
                <c:pt idx="178">
                  <c:v>29.027777777777779</c:v>
                </c:pt>
                <c:pt idx="179">
                  <c:v>29.166666666666668</c:v>
                </c:pt>
                <c:pt idx="180">
                  <c:v>29.305555555555557</c:v>
                </c:pt>
                <c:pt idx="181">
                  <c:v>29.444444444444443</c:v>
                </c:pt>
                <c:pt idx="182">
                  <c:v>29.583333333333332</c:v>
                </c:pt>
                <c:pt idx="183">
                  <c:v>29.722222222222221</c:v>
                </c:pt>
                <c:pt idx="184">
                  <c:v>29.861111111111111</c:v>
                </c:pt>
                <c:pt idx="185">
                  <c:v>30</c:v>
                </c:pt>
                <c:pt idx="186">
                  <c:v>30.138888888888889</c:v>
                </c:pt>
                <c:pt idx="187">
                  <c:v>30.277777777777779</c:v>
                </c:pt>
                <c:pt idx="188">
                  <c:v>30.416666666666668</c:v>
                </c:pt>
                <c:pt idx="189">
                  <c:v>30.555555555555557</c:v>
                </c:pt>
                <c:pt idx="190">
                  <c:v>30.694444444444443</c:v>
                </c:pt>
                <c:pt idx="191">
                  <c:v>30.833333333333332</c:v>
                </c:pt>
                <c:pt idx="192">
                  <c:v>30.972222222222221</c:v>
                </c:pt>
                <c:pt idx="193">
                  <c:v>31.111111111111111</c:v>
                </c:pt>
                <c:pt idx="194">
                  <c:v>31.25</c:v>
                </c:pt>
                <c:pt idx="195">
                  <c:v>31.388888888888889</c:v>
                </c:pt>
                <c:pt idx="196">
                  <c:v>31.527777777777779</c:v>
                </c:pt>
                <c:pt idx="197">
                  <c:v>31.666666666666668</c:v>
                </c:pt>
                <c:pt idx="198">
                  <c:v>31.805555555555557</c:v>
                </c:pt>
                <c:pt idx="199">
                  <c:v>31.944444444444443</c:v>
                </c:pt>
                <c:pt idx="200">
                  <c:v>32.083333333333336</c:v>
                </c:pt>
                <c:pt idx="201">
                  <c:v>32.222222222222221</c:v>
                </c:pt>
                <c:pt idx="202">
                  <c:v>32.361111111111114</c:v>
                </c:pt>
                <c:pt idx="203">
                  <c:v>32.5</c:v>
                </c:pt>
                <c:pt idx="204">
                  <c:v>32.638888888888886</c:v>
                </c:pt>
                <c:pt idx="205">
                  <c:v>32.777777777777779</c:v>
                </c:pt>
                <c:pt idx="206">
                  <c:v>32.916666666666664</c:v>
                </c:pt>
                <c:pt idx="207">
                  <c:v>33.055555555555557</c:v>
                </c:pt>
                <c:pt idx="208">
                  <c:v>33.194444444444443</c:v>
                </c:pt>
                <c:pt idx="209">
                  <c:v>33.333333333333336</c:v>
                </c:pt>
                <c:pt idx="210">
                  <c:v>33.472222222222221</c:v>
                </c:pt>
                <c:pt idx="211">
                  <c:v>33.611111111111114</c:v>
                </c:pt>
                <c:pt idx="212">
                  <c:v>33.75</c:v>
                </c:pt>
                <c:pt idx="213">
                  <c:v>33.888888888888886</c:v>
                </c:pt>
                <c:pt idx="214">
                  <c:v>34.027777777777779</c:v>
                </c:pt>
                <c:pt idx="215">
                  <c:v>34.166666666666664</c:v>
                </c:pt>
                <c:pt idx="216">
                  <c:v>34.305555555555557</c:v>
                </c:pt>
                <c:pt idx="217">
                  <c:v>34.444444444444443</c:v>
                </c:pt>
                <c:pt idx="218">
                  <c:v>34.583333333333336</c:v>
                </c:pt>
                <c:pt idx="219">
                  <c:v>34.722222222222221</c:v>
                </c:pt>
                <c:pt idx="220">
                  <c:v>34.861111111111114</c:v>
                </c:pt>
                <c:pt idx="221">
                  <c:v>35</c:v>
                </c:pt>
                <c:pt idx="222">
                  <c:v>35.138888888888886</c:v>
                </c:pt>
                <c:pt idx="223">
                  <c:v>35.277777777777779</c:v>
                </c:pt>
                <c:pt idx="224">
                  <c:v>35.416666666666664</c:v>
                </c:pt>
                <c:pt idx="225">
                  <c:v>35.555555555555557</c:v>
                </c:pt>
                <c:pt idx="226">
                  <c:v>35.694444444444443</c:v>
                </c:pt>
                <c:pt idx="227">
                  <c:v>35.833333333333336</c:v>
                </c:pt>
                <c:pt idx="228">
                  <c:v>35.972222222222221</c:v>
                </c:pt>
                <c:pt idx="229">
                  <c:v>36.111111111111114</c:v>
                </c:pt>
              </c:numCache>
            </c:numRef>
          </c:yVal>
          <c:smooth val="0"/>
          <c:extLst>
            <c:ext xmlns:c16="http://schemas.microsoft.com/office/drawing/2014/chart" uri="{C3380CC4-5D6E-409C-BE32-E72D297353CC}">
              <c16:uniqueId val="{00000006-D254-4D4E-B290-50517E212225}"/>
            </c:ext>
          </c:extLst>
        </c:ser>
        <c:ser>
          <c:idx val="9"/>
          <c:order val="7"/>
          <c:tx>
            <c:v>DOE Fluorescent GSL (T5, 2018)</c:v>
          </c:tx>
          <c:spPr>
            <a:ln>
              <a:solidFill>
                <a:srgbClr val="B80000"/>
              </a:solidFill>
              <a:prstDash val="dash"/>
            </a:ln>
          </c:spPr>
          <c:marker>
            <c:symbol val="none"/>
          </c:marker>
          <c:xVal>
            <c:numRef>
              <c:f>'[Data-graficos 11 12 2017-v21.02.18.xlsx]Sheet1'!$AF$7:$AF$236</c:f>
              <c:numCache>
                <c:formatCode>General</c:formatCode>
                <c:ptCount val="23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pt idx="60">
                  <c:v>910</c:v>
                </c:pt>
                <c:pt idx="61">
                  <c:v>920</c:v>
                </c:pt>
                <c:pt idx="62">
                  <c:v>930</c:v>
                </c:pt>
                <c:pt idx="63">
                  <c:v>940</c:v>
                </c:pt>
                <c:pt idx="64">
                  <c:v>950</c:v>
                </c:pt>
                <c:pt idx="65">
                  <c:v>960</c:v>
                </c:pt>
                <c:pt idx="66">
                  <c:v>970</c:v>
                </c:pt>
                <c:pt idx="67">
                  <c:v>980</c:v>
                </c:pt>
                <c:pt idx="68">
                  <c:v>990</c:v>
                </c:pt>
                <c:pt idx="69">
                  <c:v>1000</c:v>
                </c:pt>
                <c:pt idx="70">
                  <c:v>1010</c:v>
                </c:pt>
                <c:pt idx="71">
                  <c:v>1020</c:v>
                </c:pt>
                <c:pt idx="72">
                  <c:v>1030</c:v>
                </c:pt>
                <c:pt idx="73">
                  <c:v>1040</c:v>
                </c:pt>
                <c:pt idx="74">
                  <c:v>1050</c:v>
                </c:pt>
                <c:pt idx="75">
                  <c:v>1060</c:v>
                </c:pt>
                <c:pt idx="76">
                  <c:v>1070</c:v>
                </c:pt>
                <c:pt idx="77">
                  <c:v>1080</c:v>
                </c:pt>
                <c:pt idx="78">
                  <c:v>1090</c:v>
                </c:pt>
                <c:pt idx="79">
                  <c:v>1100</c:v>
                </c:pt>
                <c:pt idx="80">
                  <c:v>1110</c:v>
                </c:pt>
                <c:pt idx="81">
                  <c:v>1120</c:v>
                </c:pt>
                <c:pt idx="82">
                  <c:v>1130</c:v>
                </c:pt>
                <c:pt idx="83">
                  <c:v>1140</c:v>
                </c:pt>
                <c:pt idx="84">
                  <c:v>1150</c:v>
                </c:pt>
                <c:pt idx="85">
                  <c:v>1160</c:v>
                </c:pt>
                <c:pt idx="86">
                  <c:v>1170</c:v>
                </c:pt>
                <c:pt idx="87">
                  <c:v>1180</c:v>
                </c:pt>
                <c:pt idx="88">
                  <c:v>1190</c:v>
                </c:pt>
                <c:pt idx="89">
                  <c:v>1200</c:v>
                </c:pt>
                <c:pt idx="90">
                  <c:v>1210</c:v>
                </c:pt>
                <c:pt idx="91">
                  <c:v>1220</c:v>
                </c:pt>
                <c:pt idx="92">
                  <c:v>1230</c:v>
                </c:pt>
                <c:pt idx="93">
                  <c:v>1240</c:v>
                </c:pt>
                <c:pt idx="94">
                  <c:v>1250</c:v>
                </c:pt>
                <c:pt idx="95">
                  <c:v>1260</c:v>
                </c:pt>
                <c:pt idx="96">
                  <c:v>1270</c:v>
                </c:pt>
                <c:pt idx="97">
                  <c:v>1280</c:v>
                </c:pt>
                <c:pt idx="98">
                  <c:v>1290</c:v>
                </c:pt>
                <c:pt idx="99">
                  <c:v>1300</c:v>
                </c:pt>
                <c:pt idx="100">
                  <c:v>1310</c:v>
                </c:pt>
                <c:pt idx="101">
                  <c:v>1320</c:v>
                </c:pt>
                <c:pt idx="102">
                  <c:v>1330</c:v>
                </c:pt>
                <c:pt idx="103">
                  <c:v>1340</c:v>
                </c:pt>
                <c:pt idx="104">
                  <c:v>1350</c:v>
                </c:pt>
                <c:pt idx="105">
                  <c:v>1360</c:v>
                </c:pt>
                <c:pt idx="106">
                  <c:v>1370</c:v>
                </c:pt>
                <c:pt idx="107">
                  <c:v>1380</c:v>
                </c:pt>
                <c:pt idx="108">
                  <c:v>1390</c:v>
                </c:pt>
                <c:pt idx="109">
                  <c:v>1400</c:v>
                </c:pt>
                <c:pt idx="110">
                  <c:v>1410</c:v>
                </c:pt>
                <c:pt idx="111">
                  <c:v>1420</c:v>
                </c:pt>
                <c:pt idx="112">
                  <c:v>1430</c:v>
                </c:pt>
                <c:pt idx="113">
                  <c:v>1440</c:v>
                </c:pt>
                <c:pt idx="114">
                  <c:v>1450</c:v>
                </c:pt>
                <c:pt idx="115">
                  <c:v>1460</c:v>
                </c:pt>
                <c:pt idx="116">
                  <c:v>1470</c:v>
                </c:pt>
                <c:pt idx="117">
                  <c:v>1480</c:v>
                </c:pt>
                <c:pt idx="118">
                  <c:v>1490</c:v>
                </c:pt>
                <c:pt idx="119">
                  <c:v>1500</c:v>
                </c:pt>
                <c:pt idx="120">
                  <c:v>1510</c:v>
                </c:pt>
                <c:pt idx="121">
                  <c:v>1520</c:v>
                </c:pt>
                <c:pt idx="122">
                  <c:v>1530</c:v>
                </c:pt>
                <c:pt idx="123">
                  <c:v>1540</c:v>
                </c:pt>
                <c:pt idx="124">
                  <c:v>1550</c:v>
                </c:pt>
                <c:pt idx="125">
                  <c:v>1560</c:v>
                </c:pt>
                <c:pt idx="126">
                  <c:v>1570</c:v>
                </c:pt>
                <c:pt idx="127">
                  <c:v>1580</c:v>
                </c:pt>
                <c:pt idx="128">
                  <c:v>1590</c:v>
                </c:pt>
                <c:pt idx="129">
                  <c:v>1600</c:v>
                </c:pt>
                <c:pt idx="130">
                  <c:v>1610</c:v>
                </c:pt>
                <c:pt idx="131">
                  <c:v>1620</c:v>
                </c:pt>
                <c:pt idx="132">
                  <c:v>1630</c:v>
                </c:pt>
                <c:pt idx="133">
                  <c:v>1640</c:v>
                </c:pt>
                <c:pt idx="134">
                  <c:v>1650</c:v>
                </c:pt>
                <c:pt idx="135">
                  <c:v>1660</c:v>
                </c:pt>
                <c:pt idx="136">
                  <c:v>1670</c:v>
                </c:pt>
                <c:pt idx="137">
                  <c:v>1680</c:v>
                </c:pt>
                <c:pt idx="138">
                  <c:v>1690</c:v>
                </c:pt>
                <c:pt idx="139">
                  <c:v>1700</c:v>
                </c:pt>
                <c:pt idx="140">
                  <c:v>1710</c:v>
                </c:pt>
                <c:pt idx="141">
                  <c:v>1720</c:v>
                </c:pt>
                <c:pt idx="142">
                  <c:v>1730</c:v>
                </c:pt>
                <c:pt idx="143">
                  <c:v>1740</c:v>
                </c:pt>
                <c:pt idx="144">
                  <c:v>1750</c:v>
                </c:pt>
                <c:pt idx="145">
                  <c:v>1760</c:v>
                </c:pt>
                <c:pt idx="146">
                  <c:v>1770</c:v>
                </c:pt>
                <c:pt idx="147">
                  <c:v>1780</c:v>
                </c:pt>
                <c:pt idx="148">
                  <c:v>1790</c:v>
                </c:pt>
                <c:pt idx="149">
                  <c:v>1800</c:v>
                </c:pt>
                <c:pt idx="150">
                  <c:v>1810</c:v>
                </c:pt>
                <c:pt idx="151">
                  <c:v>1820</c:v>
                </c:pt>
                <c:pt idx="152">
                  <c:v>1830</c:v>
                </c:pt>
                <c:pt idx="153">
                  <c:v>1840</c:v>
                </c:pt>
                <c:pt idx="154">
                  <c:v>1850</c:v>
                </c:pt>
                <c:pt idx="155">
                  <c:v>1860</c:v>
                </c:pt>
                <c:pt idx="156">
                  <c:v>1870</c:v>
                </c:pt>
                <c:pt idx="157">
                  <c:v>1880</c:v>
                </c:pt>
                <c:pt idx="158">
                  <c:v>1890</c:v>
                </c:pt>
                <c:pt idx="159">
                  <c:v>1900</c:v>
                </c:pt>
                <c:pt idx="160">
                  <c:v>1910</c:v>
                </c:pt>
                <c:pt idx="161">
                  <c:v>1920</c:v>
                </c:pt>
                <c:pt idx="162">
                  <c:v>1930</c:v>
                </c:pt>
                <c:pt idx="163">
                  <c:v>1940</c:v>
                </c:pt>
                <c:pt idx="164">
                  <c:v>1950</c:v>
                </c:pt>
                <c:pt idx="165">
                  <c:v>1960</c:v>
                </c:pt>
                <c:pt idx="166">
                  <c:v>1970</c:v>
                </c:pt>
                <c:pt idx="167">
                  <c:v>1980</c:v>
                </c:pt>
                <c:pt idx="168">
                  <c:v>1990</c:v>
                </c:pt>
                <c:pt idx="169">
                  <c:v>2000</c:v>
                </c:pt>
                <c:pt idx="170">
                  <c:v>2010</c:v>
                </c:pt>
                <c:pt idx="171">
                  <c:v>2020</c:v>
                </c:pt>
                <c:pt idx="172">
                  <c:v>2030</c:v>
                </c:pt>
                <c:pt idx="173">
                  <c:v>2040</c:v>
                </c:pt>
                <c:pt idx="174">
                  <c:v>2050</c:v>
                </c:pt>
                <c:pt idx="175">
                  <c:v>2060</c:v>
                </c:pt>
                <c:pt idx="176">
                  <c:v>2070</c:v>
                </c:pt>
                <c:pt idx="177">
                  <c:v>2080</c:v>
                </c:pt>
                <c:pt idx="178">
                  <c:v>2090</c:v>
                </c:pt>
                <c:pt idx="179">
                  <c:v>2100</c:v>
                </c:pt>
                <c:pt idx="180">
                  <c:v>2110</c:v>
                </c:pt>
                <c:pt idx="181">
                  <c:v>2120</c:v>
                </c:pt>
                <c:pt idx="182">
                  <c:v>2130</c:v>
                </c:pt>
                <c:pt idx="183">
                  <c:v>2140</c:v>
                </c:pt>
                <c:pt idx="184">
                  <c:v>2150</c:v>
                </c:pt>
                <c:pt idx="185">
                  <c:v>2160</c:v>
                </c:pt>
                <c:pt idx="186">
                  <c:v>2170</c:v>
                </c:pt>
                <c:pt idx="187">
                  <c:v>2180</c:v>
                </c:pt>
                <c:pt idx="188">
                  <c:v>2190</c:v>
                </c:pt>
                <c:pt idx="189">
                  <c:v>2200</c:v>
                </c:pt>
                <c:pt idx="190">
                  <c:v>2210</c:v>
                </c:pt>
                <c:pt idx="191">
                  <c:v>2220</c:v>
                </c:pt>
                <c:pt idx="192">
                  <c:v>2230</c:v>
                </c:pt>
                <c:pt idx="193">
                  <c:v>2240</c:v>
                </c:pt>
                <c:pt idx="194">
                  <c:v>2250</c:v>
                </c:pt>
                <c:pt idx="195">
                  <c:v>2260</c:v>
                </c:pt>
                <c:pt idx="196">
                  <c:v>2270</c:v>
                </c:pt>
                <c:pt idx="197">
                  <c:v>2280</c:v>
                </c:pt>
                <c:pt idx="198">
                  <c:v>2290</c:v>
                </c:pt>
                <c:pt idx="199">
                  <c:v>2300</c:v>
                </c:pt>
                <c:pt idx="200">
                  <c:v>2310</c:v>
                </c:pt>
                <c:pt idx="201">
                  <c:v>2320</c:v>
                </c:pt>
                <c:pt idx="202">
                  <c:v>2330</c:v>
                </c:pt>
                <c:pt idx="203">
                  <c:v>2340</c:v>
                </c:pt>
                <c:pt idx="204">
                  <c:v>2350</c:v>
                </c:pt>
                <c:pt idx="205">
                  <c:v>2360</c:v>
                </c:pt>
                <c:pt idx="206">
                  <c:v>2370</c:v>
                </c:pt>
                <c:pt idx="207">
                  <c:v>2380</c:v>
                </c:pt>
                <c:pt idx="208">
                  <c:v>2390</c:v>
                </c:pt>
                <c:pt idx="209">
                  <c:v>2400</c:v>
                </c:pt>
                <c:pt idx="210">
                  <c:v>2410</c:v>
                </c:pt>
                <c:pt idx="211">
                  <c:v>2420</c:v>
                </c:pt>
                <c:pt idx="212">
                  <c:v>2430</c:v>
                </c:pt>
                <c:pt idx="213">
                  <c:v>2440</c:v>
                </c:pt>
                <c:pt idx="214">
                  <c:v>2450</c:v>
                </c:pt>
                <c:pt idx="215">
                  <c:v>2460</c:v>
                </c:pt>
                <c:pt idx="216">
                  <c:v>2470</c:v>
                </c:pt>
                <c:pt idx="217">
                  <c:v>2480</c:v>
                </c:pt>
                <c:pt idx="218">
                  <c:v>2490</c:v>
                </c:pt>
                <c:pt idx="219">
                  <c:v>2500</c:v>
                </c:pt>
                <c:pt idx="220">
                  <c:v>2510</c:v>
                </c:pt>
                <c:pt idx="221">
                  <c:v>2520</c:v>
                </c:pt>
                <c:pt idx="222">
                  <c:v>2530</c:v>
                </c:pt>
                <c:pt idx="223">
                  <c:v>2540</c:v>
                </c:pt>
                <c:pt idx="224">
                  <c:v>2550</c:v>
                </c:pt>
                <c:pt idx="225">
                  <c:v>2560</c:v>
                </c:pt>
                <c:pt idx="226">
                  <c:v>2570</c:v>
                </c:pt>
                <c:pt idx="227">
                  <c:v>2580</c:v>
                </c:pt>
                <c:pt idx="228">
                  <c:v>2590</c:v>
                </c:pt>
                <c:pt idx="229">
                  <c:v>2600</c:v>
                </c:pt>
              </c:numCache>
            </c:numRef>
          </c:xVal>
          <c:yVal>
            <c:numRef>
              <c:f>'[Data-graficos 11 12 2017-v21.02.18.xlsx]Sheet1'!$AH$7:$AH$236</c:f>
              <c:numCache>
                <c:formatCode>General</c:formatCode>
                <c:ptCount val="230"/>
                <c:pt idx="0">
                  <c:v>95</c:v>
                </c:pt>
                <c:pt idx="1">
                  <c:v>95</c:v>
                </c:pt>
                <c:pt idx="2">
                  <c:v>95</c:v>
                </c:pt>
                <c:pt idx="3">
                  <c:v>95</c:v>
                </c:pt>
                <c:pt idx="4">
                  <c:v>95</c:v>
                </c:pt>
                <c:pt idx="5">
                  <c:v>95</c:v>
                </c:pt>
                <c:pt idx="6">
                  <c:v>95</c:v>
                </c:pt>
                <c:pt idx="7">
                  <c:v>95</c:v>
                </c:pt>
                <c:pt idx="8">
                  <c:v>95</c:v>
                </c:pt>
                <c:pt idx="9">
                  <c:v>95</c:v>
                </c:pt>
                <c:pt idx="10">
                  <c:v>95</c:v>
                </c:pt>
                <c:pt idx="11">
                  <c:v>95</c:v>
                </c:pt>
                <c:pt idx="12">
                  <c:v>95</c:v>
                </c:pt>
                <c:pt idx="13">
                  <c:v>95</c:v>
                </c:pt>
                <c:pt idx="14">
                  <c:v>95</c:v>
                </c:pt>
                <c:pt idx="15">
                  <c:v>95</c:v>
                </c:pt>
                <c:pt idx="16">
                  <c:v>95</c:v>
                </c:pt>
                <c:pt idx="17">
                  <c:v>95</c:v>
                </c:pt>
                <c:pt idx="18">
                  <c:v>95</c:v>
                </c:pt>
                <c:pt idx="19">
                  <c:v>95</c:v>
                </c:pt>
                <c:pt idx="20">
                  <c:v>95</c:v>
                </c:pt>
                <c:pt idx="21">
                  <c:v>95</c:v>
                </c:pt>
                <c:pt idx="22">
                  <c:v>95</c:v>
                </c:pt>
                <c:pt idx="23">
                  <c:v>95</c:v>
                </c:pt>
                <c:pt idx="24">
                  <c:v>95</c:v>
                </c:pt>
                <c:pt idx="25">
                  <c:v>95</c:v>
                </c:pt>
                <c:pt idx="26">
                  <c:v>95</c:v>
                </c:pt>
                <c:pt idx="27">
                  <c:v>95</c:v>
                </c:pt>
                <c:pt idx="28">
                  <c:v>95</c:v>
                </c:pt>
                <c:pt idx="29">
                  <c:v>95</c:v>
                </c:pt>
                <c:pt idx="30">
                  <c:v>95</c:v>
                </c:pt>
                <c:pt idx="31">
                  <c:v>95</c:v>
                </c:pt>
                <c:pt idx="32">
                  <c:v>95</c:v>
                </c:pt>
                <c:pt idx="33">
                  <c:v>95</c:v>
                </c:pt>
                <c:pt idx="34">
                  <c:v>95</c:v>
                </c:pt>
                <c:pt idx="35">
                  <c:v>95</c:v>
                </c:pt>
                <c:pt idx="36">
                  <c:v>95</c:v>
                </c:pt>
                <c:pt idx="37">
                  <c:v>95</c:v>
                </c:pt>
                <c:pt idx="38">
                  <c:v>95</c:v>
                </c:pt>
                <c:pt idx="39">
                  <c:v>95</c:v>
                </c:pt>
                <c:pt idx="40">
                  <c:v>95</c:v>
                </c:pt>
                <c:pt idx="41">
                  <c:v>95</c:v>
                </c:pt>
                <c:pt idx="42">
                  <c:v>95</c:v>
                </c:pt>
                <c:pt idx="43">
                  <c:v>95</c:v>
                </c:pt>
                <c:pt idx="44">
                  <c:v>95</c:v>
                </c:pt>
                <c:pt idx="45">
                  <c:v>95</c:v>
                </c:pt>
                <c:pt idx="46">
                  <c:v>95</c:v>
                </c:pt>
                <c:pt idx="47">
                  <c:v>95</c:v>
                </c:pt>
                <c:pt idx="48">
                  <c:v>95</c:v>
                </c:pt>
                <c:pt idx="49">
                  <c:v>95</c:v>
                </c:pt>
                <c:pt idx="50">
                  <c:v>95</c:v>
                </c:pt>
                <c:pt idx="51">
                  <c:v>95</c:v>
                </c:pt>
                <c:pt idx="52">
                  <c:v>95</c:v>
                </c:pt>
                <c:pt idx="53">
                  <c:v>95</c:v>
                </c:pt>
                <c:pt idx="54">
                  <c:v>95</c:v>
                </c:pt>
                <c:pt idx="55">
                  <c:v>95</c:v>
                </c:pt>
                <c:pt idx="56">
                  <c:v>95</c:v>
                </c:pt>
                <c:pt idx="57">
                  <c:v>95</c:v>
                </c:pt>
                <c:pt idx="58">
                  <c:v>95</c:v>
                </c:pt>
                <c:pt idx="59">
                  <c:v>95</c:v>
                </c:pt>
                <c:pt idx="60">
                  <c:v>95</c:v>
                </c:pt>
                <c:pt idx="61">
                  <c:v>95</c:v>
                </c:pt>
                <c:pt idx="62">
                  <c:v>95</c:v>
                </c:pt>
                <c:pt idx="63">
                  <c:v>95</c:v>
                </c:pt>
                <c:pt idx="64">
                  <c:v>95</c:v>
                </c:pt>
                <c:pt idx="65">
                  <c:v>95</c:v>
                </c:pt>
                <c:pt idx="66">
                  <c:v>95</c:v>
                </c:pt>
                <c:pt idx="67">
                  <c:v>95</c:v>
                </c:pt>
                <c:pt idx="68">
                  <c:v>95</c:v>
                </c:pt>
                <c:pt idx="69">
                  <c:v>95</c:v>
                </c:pt>
                <c:pt idx="70">
                  <c:v>95</c:v>
                </c:pt>
                <c:pt idx="71">
                  <c:v>95</c:v>
                </c:pt>
                <c:pt idx="72">
                  <c:v>95</c:v>
                </c:pt>
                <c:pt idx="73">
                  <c:v>95</c:v>
                </c:pt>
                <c:pt idx="74">
                  <c:v>95</c:v>
                </c:pt>
                <c:pt idx="75">
                  <c:v>95</c:v>
                </c:pt>
                <c:pt idx="76">
                  <c:v>95</c:v>
                </c:pt>
                <c:pt idx="77">
                  <c:v>95</c:v>
                </c:pt>
                <c:pt idx="78">
                  <c:v>95</c:v>
                </c:pt>
                <c:pt idx="79">
                  <c:v>95</c:v>
                </c:pt>
                <c:pt idx="80">
                  <c:v>95</c:v>
                </c:pt>
                <c:pt idx="81">
                  <c:v>95</c:v>
                </c:pt>
                <c:pt idx="82">
                  <c:v>95</c:v>
                </c:pt>
                <c:pt idx="83">
                  <c:v>95</c:v>
                </c:pt>
                <c:pt idx="84">
                  <c:v>95</c:v>
                </c:pt>
                <c:pt idx="85">
                  <c:v>95</c:v>
                </c:pt>
                <c:pt idx="86">
                  <c:v>95</c:v>
                </c:pt>
                <c:pt idx="87">
                  <c:v>95</c:v>
                </c:pt>
                <c:pt idx="88">
                  <c:v>95</c:v>
                </c:pt>
                <c:pt idx="89">
                  <c:v>95</c:v>
                </c:pt>
                <c:pt idx="90">
                  <c:v>95</c:v>
                </c:pt>
                <c:pt idx="91">
                  <c:v>95</c:v>
                </c:pt>
                <c:pt idx="92">
                  <c:v>95</c:v>
                </c:pt>
                <c:pt idx="93">
                  <c:v>95</c:v>
                </c:pt>
                <c:pt idx="94">
                  <c:v>95</c:v>
                </c:pt>
                <c:pt idx="95">
                  <c:v>95</c:v>
                </c:pt>
                <c:pt idx="96">
                  <c:v>95</c:v>
                </c:pt>
                <c:pt idx="97">
                  <c:v>95</c:v>
                </c:pt>
                <c:pt idx="98">
                  <c:v>95</c:v>
                </c:pt>
                <c:pt idx="99">
                  <c:v>95</c:v>
                </c:pt>
                <c:pt idx="100">
                  <c:v>95</c:v>
                </c:pt>
                <c:pt idx="101">
                  <c:v>95</c:v>
                </c:pt>
                <c:pt idx="102">
                  <c:v>95</c:v>
                </c:pt>
                <c:pt idx="103">
                  <c:v>95</c:v>
                </c:pt>
                <c:pt idx="104">
                  <c:v>95</c:v>
                </c:pt>
                <c:pt idx="105">
                  <c:v>95</c:v>
                </c:pt>
                <c:pt idx="106">
                  <c:v>95</c:v>
                </c:pt>
                <c:pt idx="107">
                  <c:v>95</c:v>
                </c:pt>
                <c:pt idx="108">
                  <c:v>95</c:v>
                </c:pt>
                <c:pt idx="109">
                  <c:v>95</c:v>
                </c:pt>
                <c:pt idx="110">
                  <c:v>95</c:v>
                </c:pt>
                <c:pt idx="111">
                  <c:v>95</c:v>
                </c:pt>
                <c:pt idx="112">
                  <c:v>95</c:v>
                </c:pt>
                <c:pt idx="113">
                  <c:v>95</c:v>
                </c:pt>
                <c:pt idx="114">
                  <c:v>95</c:v>
                </c:pt>
                <c:pt idx="115">
                  <c:v>95</c:v>
                </c:pt>
                <c:pt idx="116">
                  <c:v>95</c:v>
                </c:pt>
                <c:pt idx="117">
                  <c:v>95</c:v>
                </c:pt>
                <c:pt idx="118">
                  <c:v>95</c:v>
                </c:pt>
                <c:pt idx="119">
                  <c:v>95</c:v>
                </c:pt>
                <c:pt idx="120">
                  <c:v>95</c:v>
                </c:pt>
                <c:pt idx="121">
                  <c:v>95</c:v>
                </c:pt>
                <c:pt idx="122">
                  <c:v>95</c:v>
                </c:pt>
                <c:pt idx="123">
                  <c:v>95</c:v>
                </c:pt>
                <c:pt idx="124">
                  <c:v>95</c:v>
                </c:pt>
                <c:pt idx="125">
                  <c:v>95</c:v>
                </c:pt>
                <c:pt idx="126">
                  <c:v>95</c:v>
                </c:pt>
                <c:pt idx="127">
                  <c:v>95</c:v>
                </c:pt>
                <c:pt idx="128">
                  <c:v>95</c:v>
                </c:pt>
                <c:pt idx="129">
                  <c:v>95</c:v>
                </c:pt>
                <c:pt idx="130">
                  <c:v>95</c:v>
                </c:pt>
                <c:pt idx="131">
                  <c:v>95</c:v>
                </c:pt>
                <c:pt idx="132">
                  <c:v>95</c:v>
                </c:pt>
                <c:pt idx="133">
                  <c:v>95</c:v>
                </c:pt>
                <c:pt idx="134">
                  <c:v>95</c:v>
                </c:pt>
                <c:pt idx="135">
                  <c:v>95</c:v>
                </c:pt>
                <c:pt idx="136">
                  <c:v>95</c:v>
                </c:pt>
                <c:pt idx="137">
                  <c:v>95</c:v>
                </c:pt>
                <c:pt idx="138">
                  <c:v>95</c:v>
                </c:pt>
                <c:pt idx="139">
                  <c:v>95</c:v>
                </c:pt>
                <c:pt idx="140">
                  <c:v>95</c:v>
                </c:pt>
                <c:pt idx="141">
                  <c:v>95</c:v>
                </c:pt>
                <c:pt idx="142">
                  <c:v>95</c:v>
                </c:pt>
                <c:pt idx="143">
                  <c:v>95</c:v>
                </c:pt>
                <c:pt idx="144">
                  <c:v>95</c:v>
                </c:pt>
                <c:pt idx="145">
                  <c:v>95</c:v>
                </c:pt>
                <c:pt idx="146">
                  <c:v>95</c:v>
                </c:pt>
                <c:pt idx="147">
                  <c:v>95</c:v>
                </c:pt>
                <c:pt idx="148">
                  <c:v>95</c:v>
                </c:pt>
                <c:pt idx="149">
                  <c:v>95</c:v>
                </c:pt>
                <c:pt idx="150">
                  <c:v>95</c:v>
                </c:pt>
                <c:pt idx="151">
                  <c:v>95</c:v>
                </c:pt>
                <c:pt idx="152">
                  <c:v>95</c:v>
                </c:pt>
                <c:pt idx="153">
                  <c:v>95</c:v>
                </c:pt>
                <c:pt idx="154">
                  <c:v>95</c:v>
                </c:pt>
                <c:pt idx="155">
                  <c:v>95</c:v>
                </c:pt>
                <c:pt idx="156">
                  <c:v>95</c:v>
                </c:pt>
                <c:pt idx="157">
                  <c:v>95</c:v>
                </c:pt>
                <c:pt idx="158">
                  <c:v>95</c:v>
                </c:pt>
                <c:pt idx="159">
                  <c:v>95</c:v>
                </c:pt>
                <c:pt idx="160">
                  <c:v>95</c:v>
                </c:pt>
                <c:pt idx="161">
                  <c:v>95</c:v>
                </c:pt>
                <c:pt idx="162">
                  <c:v>95</c:v>
                </c:pt>
                <c:pt idx="163">
                  <c:v>95</c:v>
                </c:pt>
                <c:pt idx="164">
                  <c:v>95</c:v>
                </c:pt>
                <c:pt idx="165">
                  <c:v>95</c:v>
                </c:pt>
                <c:pt idx="166">
                  <c:v>95</c:v>
                </c:pt>
                <c:pt idx="167">
                  <c:v>95</c:v>
                </c:pt>
                <c:pt idx="168">
                  <c:v>95</c:v>
                </c:pt>
                <c:pt idx="169">
                  <c:v>95</c:v>
                </c:pt>
                <c:pt idx="170">
                  <c:v>95</c:v>
                </c:pt>
                <c:pt idx="171">
                  <c:v>95</c:v>
                </c:pt>
                <c:pt idx="172">
                  <c:v>95</c:v>
                </c:pt>
                <c:pt idx="173">
                  <c:v>95</c:v>
                </c:pt>
                <c:pt idx="174">
                  <c:v>95</c:v>
                </c:pt>
                <c:pt idx="175">
                  <c:v>95</c:v>
                </c:pt>
                <c:pt idx="176">
                  <c:v>95</c:v>
                </c:pt>
                <c:pt idx="177">
                  <c:v>95</c:v>
                </c:pt>
                <c:pt idx="178">
                  <c:v>95</c:v>
                </c:pt>
                <c:pt idx="179">
                  <c:v>95</c:v>
                </c:pt>
                <c:pt idx="180">
                  <c:v>95</c:v>
                </c:pt>
                <c:pt idx="181">
                  <c:v>95</c:v>
                </c:pt>
                <c:pt idx="182">
                  <c:v>95</c:v>
                </c:pt>
                <c:pt idx="183">
                  <c:v>95</c:v>
                </c:pt>
                <c:pt idx="184">
                  <c:v>95</c:v>
                </c:pt>
                <c:pt idx="185">
                  <c:v>95</c:v>
                </c:pt>
                <c:pt idx="186">
                  <c:v>95</c:v>
                </c:pt>
                <c:pt idx="187">
                  <c:v>95</c:v>
                </c:pt>
                <c:pt idx="188">
                  <c:v>95</c:v>
                </c:pt>
                <c:pt idx="189">
                  <c:v>95</c:v>
                </c:pt>
                <c:pt idx="190">
                  <c:v>95</c:v>
                </c:pt>
                <c:pt idx="191">
                  <c:v>95</c:v>
                </c:pt>
                <c:pt idx="192">
                  <c:v>95</c:v>
                </c:pt>
                <c:pt idx="193">
                  <c:v>95</c:v>
                </c:pt>
                <c:pt idx="194">
                  <c:v>95</c:v>
                </c:pt>
                <c:pt idx="195">
                  <c:v>95</c:v>
                </c:pt>
                <c:pt idx="196">
                  <c:v>95</c:v>
                </c:pt>
                <c:pt idx="197">
                  <c:v>95</c:v>
                </c:pt>
                <c:pt idx="198">
                  <c:v>95</c:v>
                </c:pt>
                <c:pt idx="199">
                  <c:v>95</c:v>
                </c:pt>
                <c:pt idx="200">
                  <c:v>95</c:v>
                </c:pt>
                <c:pt idx="201">
                  <c:v>95</c:v>
                </c:pt>
                <c:pt idx="202">
                  <c:v>95</c:v>
                </c:pt>
                <c:pt idx="203">
                  <c:v>95</c:v>
                </c:pt>
                <c:pt idx="204">
                  <c:v>95</c:v>
                </c:pt>
                <c:pt idx="205">
                  <c:v>95</c:v>
                </c:pt>
                <c:pt idx="206">
                  <c:v>95</c:v>
                </c:pt>
                <c:pt idx="207">
                  <c:v>95</c:v>
                </c:pt>
                <c:pt idx="208">
                  <c:v>95</c:v>
                </c:pt>
                <c:pt idx="209">
                  <c:v>95</c:v>
                </c:pt>
                <c:pt idx="210">
                  <c:v>95</c:v>
                </c:pt>
                <c:pt idx="211">
                  <c:v>95</c:v>
                </c:pt>
                <c:pt idx="212">
                  <c:v>95</c:v>
                </c:pt>
                <c:pt idx="213">
                  <c:v>95</c:v>
                </c:pt>
                <c:pt idx="214">
                  <c:v>95</c:v>
                </c:pt>
                <c:pt idx="215">
                  <c:v>95</c:v>
                </c:pt>
                <c:pt idx="216">
                  <c:v>95</c:v>
                </c:pt>
                <c:pt idx="217">
                  <c:v>95</c:v>
                </c:pt>
                <c:pt idx="218">
                  <c:v>95</c:v>
                </c:pt>
                <c:pt idx="219">
                  <c:v>95</c:v>
                </c:pt>
                <c:pt idx="220">
                  <c:v>95</c:v>
                </c:pt>
                <c:pt idx="221">
                  <c:v>95</c:v>
                </c:pt>
                <c:pt idx="222">
                  <c:v>95</c:v>
                </c:pt>
                <c:pt idx="223">
                  <c:v>95</c:v>
                </c:pt>
                <c:pt idx="224">
                  <c:v>95</c:v>
                </c:pt>
                <c:pt idx="225">
                  <c:v>95</c:v>
                </c:pt>
                <c:pt idx="226">
                  <c:v>95</c:v>
                </c:pt>
                <c:pt idx="227">
                  <c:v>95</c:v>
                </c:pt>
                <c:pt idx="228">
                  <c:v>95</c:v>
                </c:pt>
                <c:pt idx="229">
                  <c:v>95</c:v>
                </c:pt>
              </c:numCache>
            </c:numRef>
          </c:yVal>
          <c:smooth val="0"/>
          <c:extLst>
            <c:ext xmlns:c16="http://schemas.microsoft.com/office/drawing/2014/chart" uri="{C3380CC4-5D6E-409C-BE32-E72D297353CC}">
              <c16:uniqueId val="{00000007-D254-4D4E-B290-50517E212225}"/>
            </c:ext>
          </c:extLst>
        </c:ser>
        <c:ser>
          <c:idx val="3"/>
          <c:order val="8"/>
          <c:tx>
            <c:v>EU Other light sources (GSL, CFL, LED)</c:v>
          </c:tx>
          <c:spPr>
            <a:ln w="19050" cap="rnd">
              <a:solidFill>
                <a:srgbClr val="132967"/>
              </a:solidFill>
              <a:round/>
            </a:ln>
            <a:effectLst/>
          </c:spPr>
          <c:marker>
            <c:symbol val="none"/>
          </c:marker>
          <c:xVal>
            <c:numRef>
              <c:f>'[Data-graficos 11 12 2017-v21.02.18.xlsx]Sheet1'!$K$7:$K$236</c:f>
              <c:numCache>
                <c:formatCode>General</c:formatCode>
                <c:ptCount val="23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pt idx="60">
                  <c:v>910</c:v>
                </c:pt>
                <c:pt idx="61">
                  <c:v>920</c:v>
                </c:pt>
                <c:pt idx="62">
                  <c:v>930</c:v>
                </c:pt>
                <c:pt idx="63">
                  <c:v>940</c:v>
                </c:pt>
                <c:pt idx="64">
                  <c:v>950</c:v>
                </c:pt>
                <c:pt idx="65">
                  <c:v>960</c:v>
                </c:pt>
                <c:pt idx="66">
                  <c:v>970</c:v>
                </c:pt>
                <c:pt idx="67">
                  <c:v>980</c:v>
                </c:pt>
                <c:pt idx="68">
                  <c:v>990</c:v>
                </c:pt>
                <c:pt idx="69">
                  <c:v>1000</c:v>
                </c:pt>
                <c:pt idx="70">
                  <c:v>1010</c:v>
                </c:pt>
                <c:pt idx="71">
                  <c:v>1020</c:v>
                </c:pt>
                <c:pt idx="72">
                  <c:v>1030</c:v>
                </c:pt>
                <c:pt idx="73">
                  <c:v>1040</c:v>
                </c:pt>
                <c:pt idx="74">
                  <c:v>1050</c:v>
                </c:pt>
                <c:pt idx="75">
                  <c:v>1060</c:v>
                </c:pt>
                <c:pt idx="76">
                  <c:v>1070</c:v>
                </c:pt>
                <c:pt idx="77">
                  <c:v>1080</c:v>
                </c:pt>
                <c:pt idx="78">
                  <c:v>1090</c:v>
                </c:pt>
                <c:pt idx="79">
                  <c:v>1100</c:v>
                </c:pt>
                <c:pt idx="80">
                  <c:v>1110</c:v>
                </c:pt>
                <c:pt idx="81">
                  <c:v>1120</c:v>
                </c:pt>
                <c:pt idx="82">
                  <c:v>1130</c:v>
                </c:pt>
                <c:pt idx="83">
                  <c:v>1140</c:v>
                </c:pt>
                <c:pt idx="84">
                  <c:v>1150</c:v>
                </c:pt>
                <c:pt idx="85">
                  <c:v>1160</c:v>
                </c:pt>
                <c:pt idx="86">
                  <c:v>1170</c:v>
                </c:pt>
                <c:pt idx="87">
                  <c:v>1180</c:v>
                </c:pt>
                <c:pt idx="88">
                  <c:v>1190</c:v>
                </c:pt>
                <c:pt idx="89">
                  <c:v>1200</c:v>
                </c:pt>
                <c:pt idx="90">
                  <c:v>1210</c:v>
                </c:pt>
                <c:pt idx="91">
                  <c:v>1220</c:v>
                </c:pt>
                <c:pt idx="92">
                  <c:v>1230</c:v>
                </c:pt>
                <c:pt idx="93">
                  <c:v>1240</c:v>
                </c:pt>
                <c:pt idx="94">
                  <c:v>1250</c:v>
                </c:pt>
                <c:pt idx="95">
                  <c:v>1260</c:v>
                </c:pt>
                <c:pt idx="96">
                  <c:v>1270</c:v>
                </c:pt>
                <c:pt idx="97">
                  <c:v>1280</c:v>
                </c:pt>
                <c:pt idx="98">
                  <c:v>1290</c:v>
                </c:pt>
                <c:pt idx="99">
                  <c:v>1300</c:v>
                </c:pt>
                <c:pt idx="100">
                  <c:v>1310</c:v>
                </c:pt>
                <c:pt idx="101">
                  <c:v>1320</c:v>
                </c:pt>
                <c:pt idx="102">
                  <c:v>1330</c:v>
                </c:pt>
                <c:pt idx="103">
                  <c:v>1340</c:v>
                </c:pt>
                <c:pt idx="104">
                  <c:v>1350</c:v>
                </c:pt>
                <c:pt idx="105">
                  <c:v>1360</c:v>
                </c:pt>
                <c:pt idx="106">
                  <c:v>1370</c:v>
                </c:pt>
                <c:pt idx="107">
                  <c:v>1380</c:v>
                </c:pt>
                <c:pt idx="108">
                  <c:v>1390</c:v>
                </c:pt>
                <c:pt idx="109">
                  <c:v>1400</c:v>
                </c:pt>
                <c:pt idx="110">
                  <c:v>1410</c:v>
                </c:pt>
                <c:pt idx="111">
                  <c:v>1420</c:v>
                </c:pt>
                <c:pt idx="112">
                  <c:v>1430</c:v>
                </c:pt>
                <c:pt idx="113">
                  <c:v>1440</c:v>
                </c:pt>
                <c:pt idx="114">
                  <c:v>1450</c:v>
                </c:pt>
                <c:pt idx="115">
                  <c:v>1460</c:v>
                </c:pt>
                <c:pt idx="116">
                  <c:v>1470</c:v>
                </c:pt>
                <c:pt idx="117">
                  <c:v>1480</c:v>
                </c:pt>
                <c:pt idx="118">
                  <c:v>1490</c:v>
                </c:pt>
                <c:pt idx="119">
                  <c:v>1500</c:v>
                </c:pt>
                <c:pt idx="120">
                  <c:v>1510</c:v>
                </c:pt>
                <c:pt idx="121">
                  <c:v>1520</c:v>
                </c:pt>
                <c:pt idx="122">
                  <c:v>1530</c:v>
                </c:pt>
                <c:pt idx="123">
                  <c:v>1540</c:v>
                </c:pt>
                <c:pt idx="124">
                  <c:v>1550</c:v>
                </c:pt>
                <c:pt idx="125">
                  <c:v>1560</c:v>
                </c:pt>
                <c:pt idx="126">
                  <c:v>1570</c:v>
                </c:pt>
                <c:pt idx="127">
                  <c:v>1580</c:v>
                </c:pt>
                <c:pt idx="128">
                  <c:v>1590</c:v>
                </c:pt>
                <c:pt idx="129">
                  <c:v>1600</c:v>
                </c:pt>
                <c:pt idx="130">
                  <c:v>1610</c:v>
                </c:pt>
                <c:pt idx="131">
                  <c:v>1620</c:v>
                </c:pt>
                <c:pt idx="132">
                  <c:v>1630</c:v>
                </c:pt>
                <c:pt idx="133">
                  <c:v>1640</c:v>
                </c:pt>
                <c:pt idx="134">
                  <c:v>1650</c:v>
                </c:pt>
                <c:pt idx="135">
                  <c:v>1660</c:v>
                </c:pt>
                <c:pt idx="136">
                  <c:v>1670</c:v>
                </c:pt>
                <c:pt idx="137">
                  <c:v>1680</c:v>
                </c:pt>
                <c:pt idx="138">
                  <c:v>1690</c:v>
                </c:pt>
                <c:pt idx="139">
                  <c:v>1700</c:v>
                </c:pt>
                <c:pt idx="140">
                  <c:v>1710</c:v>
                </c:pt>
                <c:pt idx="141">
                  <c:v>1720</c:v>
                </c:pt>
                <c:pt idx="142">
                  <c:v>1730</c:v>
                </c:pt>
                <c:pt idx="143">
                  <c:v>1740</c:v>
                </c:pt>
                <c:pt idx="144">
                  <c:v>1750</c:v>
                </c:pt>
                <c:pt idx="145">
                  <c:v>1760</c:v>
                </c:pt>
                <c:pt idx="146">
                  <c:v>1770</c:v>
                </c:pt>
                <c:pt idx="147">
                  <c:v>1780</c:v>
                </c:pt>
                <c:pt idx="148">
                  <c:v>1790</c:v>
                </c:pt>
                <c:pt idx="149">
                  <c:v>1800</c:v>
                </c:pt>
                <c:pt idx="150">
                  <c:v>1810</c:v>
                </c:pt>
                <c:pt idx="151">
                  <c:v>1820</c:v>
                </c:pt>
                <c:pt idx="152">
                  <c:v>1830</c:v>
                </c:pt>
                <c:pt idx="153">
                  <c:v>1840</c:v>
                </c:pt>
                <c:pt idx="154">
                  <c:v>1850</c:v>
                </c:pt>
                <c:pt idx="155">
                  <c:v>1860</c:v>
                </c:pt>
                <c:pt idx="156">
                  <c:v>1870</c:v>
                </c:pt>
                <c:pt idx="157">
                  <c:v>1880</c:v>
                </c:pt>
                <c:pt idx="158">
                  <c:v>1890</c:v>
                </c:pt>
                <c:pt idx="159">
                  <c:v>1900</c:v>
                </c:pt>
                <c:pt idx="160">
                  <c:v>1910</c:v>
                </c:pt>
                <c:pt idx="161">
                  <c:v>1920</c:v>
                </c:pt>
                <c:pt idx="162">
                  <c:v>1930</c:v>
                </c:pt>
                <c:pt idx="163">
                  <c:v>1940</c:v>
                </c:pt>
                <c:pt idx="164">
                  <c:v>1950</c:v>
                </c:pt>
                <c:pt idx="165">
                  <c:v>1960</c:v>
                </c:pt>
                <c:pt idx="166">
                  <c:v>1970</c:v>
                </c:pt>
                <c:pt idx="167">
                  <c:v>1980</c:v>
                </c:pt>
                <c:pt idx="168">
                  <c:v>1990</c:v>
                </c:pt>
                <c:pt idx="169">
                  <c:v>2000</c:v>
                </c:pt>
                <c:pt idx="170">
                  <c:v>2010</c:v>
                </c:pt>
                <c:pt idx="171">
                  <c:v>2020</c:v>
                </c:pt>
                <c:pt idx="172">
                  <c:v>2030</c:v>
                </c:pt>
                <c:pt idx="173">
                  <c:v>2040</c:v>
                </c:pt>
                <c:pt idx="174">
                  <c:v>2050</c:v>
                </c:pt>
                <c:pt idx="175">
                  <c:v>2060</c:v>
                </c:pt>
                <c:pt idx="176">
                  <c:v>2070</c:v>
                </c:pt>
                <c:pt idx="177">
                  <c:v>2080</c:v>
                </c:pt>
                <c:pt idx="178">
                  <c:v>2090</c:v>
                </c:pt>
                <c:pt idx="179">
                  <c:v>2100</c:v>
                </c:pt>
                <c:pt idx="180">
                  <c:v>2110</c:v>
                </c:pt>
                <c:pt idx="181">
                  <c:v>2120</c:v>
                </c:pt>
                <c:pt idx="182">
                  <c:v>2130</c:v>
                </c:pt>
                <c:pt idx="183">
                  <c:v>2140</c:v>
                </c:pt>
                <c:pt idx="184">
                  <c:v>2150</c:v>
                </c:pt>
                <c:pt idx="185">
                  <c:v>2160</c:v>
                </c:pt>
                <c:pt idx="186">
                  <c:v>2170</c:v>
                </c:pt>
                <c:pt idx="187">
                  <c:v>2180</c:v>
                </c:pt>
                <c:pt idx="188">
                  <c:v>2190</c:v>
                </c:pt>
                <c:pt idx="189">
                  <c:v>2200</c:v>
                </c:pt>
                <c:pt idx="190">
                  <c:v>2210</c:v>
                </c:pt>
                <c:pt idx="191">
                  <c:v>2220</c:v>
                </c:pt>
                <c:pt idx="192">
                  <c:v>2230</c:v>
                </c:pt>
                <c:pt idx="193">
                  <c:v>2240</c:v>
                </c:pt>
                <c:pt idx="194">
                  <c:v>2250</c:v>
                </c:pt>
                <c:pt idx="195">
                  <c:v>2260</c:v>
                </c:pt>
                <c:pt idx="196">
                  <c:v>2270</c:v>
                </c:pt>
                <c:pt idx="197">
                  <c:v>2280</c:v>
                </c:pt>
                <c:pt idx="198">
                  <c:v>2290</c:v>
                </c:pt>
                <c:pt idx="199">
                  <c:v>2300</c:v>
                </c:pt>
                <c:pt idx="200">
                  <c:v>2310</c:v>
                </c:pt>
                <c:pt idx="201">
                  <c:v>2320</c:v>
                </c:pt>
                <c:pt idx="202">
                  <c:v>2330</c:v>
                </c:pt>
                <c:pt idx="203">
                  <c:v>2340</c:v>
                </c:pt>
                <c:pt idx="204">
                  <c:v>2350</c:v>
                </c:pt>
                <c:pt idx="205">
                  <c:v>2360</c:v>
                </c:pt>
                <c:pt idx="206">
                  <c:v>2370</c:v>
                </c:pt>
                <c:pt idx="207">
                  <c:v>2380</c:v>
                </c:pt>
                <c:pt idx="208">
                  <c:v>2390</c:v>
                </c:pt>
                <c:pt idx="209">
                  <c:v>2400</c:v>
                </c:pt>
                <c:pt idx="210">
                  <c:v>2410</c:v>
                </c:pt>
                <c:pt idx="211">
                  <c:v>2420</c:v>
                </c:pt>
                <c:pt idx="212">
                  <c:v>2430</c:v>
                </c:pt>
                <c:pt idx="213">
                  <c:v>2440</c:v>
                </c:pt>
                <c:pt idx="214">
                  <c:v>2450</c:v>
                </c:pt>
                <c:pt idx="215">
                  <c:v>2460</c:v>
                </c:pt>
                <c:pt idx="216">
                  <c:v>2470</c:v>
                </c:pt>
                <c:pt idx="217">
                  <c:v>2480</c:v>
                </c:pt>
                <c:pt idx="218">
                  <c:v>2490</c:v>
                </c:pt>
                <c:pt idx="219">
                  <c:v>2500</c:v>
                </c:pt>
                <c:pt idx="220">
                  <c:v>2510</c:v>
                </c:pt>
                <c:pt idx="221">
                  <c:v>2520</c:v>
                </c:pt>
                <c:pt idx="222">
                  <c:v>2530</c:v>
                </c:pt>
                <c:pt idx="223">
                  <c:v>2540</c:v>
                </c:pt>
                <c:pt idx="224">
                  <c:v>2550</c:v>
                </c:pt>
                <c:pt idx="225">
                  <c:v>2560</c:v>
                </c:pt>
                <c:pt idx="226">
                  <c:v>2570</c:v>
                </c:pt>
                <c:pt idx="227">
                  <c:v>2580</c:v>
                </c:pt>
                <c:pt idx="228">
                  <c:v>2590</c:v>
                </c:pt>
                <c:pt idx="229">
                  <c:v>2600</c:v>
                </c:pt>
              </c:numCache>
            </c:numRef>
          </c:xVal>
          <c:yVal>
            <c:numRef>
              <c:f>'[Data-graficos 11 12 2017-v21.02.18.xlsx]Sheet1'!$M$7:$M$236</c:f>
              <c:numCache>
                <c:formatCode>0.0</c:formatCode>
                <c:ptCount val="230"/>
                <c:pt idx="0">
                  <c:v>70.294784580498856</c:v>
                </c:pt>
                <c:pt idx="1">
                  <c:v>71.111111111111114</c:v>
                </c:pt>
                <c:pt idx="2">
                  <c:v>71.895424836601308</c:v>
                </c:pt>
                <c:pt idx="3">
                  <c:v>72.649572649572647</c:v>
                </c:pt>
                <c:pt idx="4">
                  <c:v>73.375262054507346</c:v>
                </c:pt>
                <c:pt idx="5">
                  <c:v>74.074074074074076</c:v>
                </c:pt>
                <c:pt idx="6">
                  <c:v>74.747474747474726</c:v>
                </c:pt>
                <c:pt idx="7">
                  <c:v>75.396825396825392</c:v>
                </c:pt>
                <c:pt idx="8">
                  <c:v>76.023391812865484</c:v>
                </c:pt>
                <c:pt idx="9">
                  <c:v>76.628352490421449</c:v>
                </c:pt>
                <c:pt idx="10">
                  <c:v>77.212806026365357</c:v>
                </c:pt>
                <c:pt idx="11">
                  <c:v>77.777777777777771</c:v>
                </c:pt>
                <c:pt idx="12">
                  <c:v>78.324225865209456</c:v>
                </c:pt>
                <c:pt idx="13">
                  <c:v>78.853046594982075</c:v>
                </c:pt>
                <c:pt idx="14">
                  <c:v>79.365079365079367</c:v>
                </c:pt>
                <c:pt idx="15">
                  <c:v>79.8611111111111</c:v>
                </c:pt>
                <c:pt idx="16">
                  <c:v>80.341880341880341</c:v>
                </c:pt>
                <c:pt idx="17">
                  <c:v>80.808080808080803</c:v>
                </c:pt>
                <c:pt idx="18">
                  <c:v>81.260364842454393</c:v>
                </c:pt>
                <c:pt idx="19">
                  <c:v>81.699346405228738</c:v>
                </c:pt>
                <c:pt idx="20">
                  <c:v>82.125603864734288</c:v>
                </c:pt>
                <c:pt idx="21">
                  <c:v>82.539682539682545</c:v>
                </c:pt>
                <c:pt idx="22">
                  <c:v>82.94209702660406</c:v>
                </c:pt>
                <c:pt idx="23">
                  <c:v>83.333333333333329</c:v>
                </c:pt>
                <c:pt idx="24">
                  <c:v>83.713850837138509</c:v>
                </c:pt>
                <c:pt idx="25">
                  <c:v>84.084084084084068</c:v>
                </c:pt>
                <c:pt idx="26">
                  <c:v>84.444444444444443</c:v>
                </c:pt>
                <c:pt idx="27">
                  <c:v>84.795321637426909</c:v>
                </c:pt>
                <c:pt idx="28">
                  <c:v>85.137085137085123</c:v>
                </c:pt>
                <c:pt idx="29">
                  <c:v>85.470085470085465</c:v>
                </c:pt>
                <c:pt idx="30">
                  <c:v>85.794655414908576</c:v>
                </c:pt>
                <c:pt idx="31">
                  <c:v>86.1111111111111</c:v>
                </c:pt>
                <c:pt idx="32">
                  <c:v>86.419753086419746</c:v>
                </c:pt>
                <c:pt idx="33">
                  <c:v>86.72086720867209</c:v>
                </c:pt>
                <c:pt idx="34">
                  <c:v>87.014725568942424</c:v>
                </c:pt>
                <c:pt idx="35">
                  <c:v>87.30158730158729</c:v>
                </c:pt>
                <c:pt idx="36">
                  <c:v>87.58169934640523</c:v>
                </c:pt>
                <c:pt idx="37">
                  <c:v>87.855297157622729</c:v>
                </c:pt>
                <c:pt idx="38">
                  <c:v>88.122605363984675</c:v>
                </c:pt>
                <c:pt idx="39">
                  <c:v>88.383838383838381</c:v>
                </c:pt>
                <c:pt idx="40">
                  <c:v>88.639200998751548</c:v>
                </c:pt>
                <c:pt idx="41">
                  <c:v>88.888888888888872</c:v>
                </c:pt>
                <c:pt idx="42">
                  <c:v>89.133089133089143</c:v>
                </c:pt>
                <c:pt idx="43">
                  <c:v>89.371980676328491</c:v>
                </c:pt>
                <c:pt idx="44">
                  <c:v>89.605734767025083</c:v>
                </c:pt>
                <c:pt idx="45">
                  <c:v>89.834515366430253</c:v>
                </c:pt>
                <c:pt idx="46">
                  <c:v>90.05847953216373</c:v>
                </c:pt>
                <c:pt idx="47">
                  <c:v>90.277777777777771</c:v>
                </c:pt>
                <c:pt idx="48">
                  <c:v>90.492554410080203</c:v>
                </c:pt>
                <c:pt idx="49">
                  <c:v>90.702947845804971</c:v>
                </c:pt>
                <c:pt idx="50">
                  <c:v>90.909090909090907</c:v>
                </c:pt>
                <c:pt idx="51">
                  <c:v>91.111111111111114</c:v>
                </c:pt>
                <c:pt idx="52">
                  <c:v>91.309130913091295</c:v>
                </c:pt>
                <c:pt idx="53">
                  <c:v>91.503267973856211</c:v>
                </c:pt>
                <c:pt idx="54">
                  <c:v>91.693635382955776</c:v>
                </c:pt>
                <c:pt idx="55">
                  <c:v>91.880341880341874</c:v>
                </c:pt>
                <c:pt idx="56">
                  <c:v>92.063492063492049</c:v>
                </c:pt>
                <c:pt idx="57">
                  <c:v>92.24318658280923</c:v>
                </c:pt>
                <c:pt idx="58">
                  <c:v>92.419522326064353</c:v>
                </c:pt>
                <c:pt idx="59">
                  <c:v>92.592592592592581</c:v>
                </c:pt>
                <c:pt idx="60">
                  <c:v>92.762487257900119</c:v>
                </c:pt>
                <c:pt idx="61">
                  <c:v>92.929292929292913</c:v>
                </c:pt>
                <c:pt idx="62">
                  <c:v>93.093093093093088</c:v>
                </c:pt>
                <c:pt idx="63">
                  <c:v>93.253968253968253</c:v>
                </c:pt>
                <c:pt idx="64">
                  <c:v>93.41199606686331</c:v>
                </c:pt>
                <c:pt idx="65">
                  <c:v>93.567251461988292</c:v>
                </c:pt>
                <c:pt idx="66">
                  <c:v>93.719806763285007</c:v>
                </c:pt>
                <c:pt idx="67">
                  <c:v>93.869731800766289</c:v>
                </c:pt>
                <c:pt idx="68">
                  <c:v>94.01709401709401</c:v>
                </c:pt>
                <c:pt idx="69">
                  <c:v>94.161958568738214</c:v>
                </c:pt>
                <c:pt idx="70">
                  <c:v>94.304388422035473</c:v>
                </c:pt>
                <c:pt idx="71">
                  <c:v>94.444444444444443</c:v>
                </c:pt>
                <c:pt idx="72">
                  <c:v>94.582185491276391</c:v>
                </c:pt>
                <c:pt idx="73">
                  <c:v>94.717668488160285</c:v>
                </c:pt>
                <c:pt idx="74">
                  <c:v>94.850948509485093</c:v>
                </c:pt>
                <c:pt idx="75">
                  <c:v>94.982078853046573</c:v>
                </c:pt>
                <c:pt idx="76">
                  <c:v>95.111111111111114</c:v>
                </c:pt>
                <c:pt idx="77">
                  <c:v>95.238095238095241</c:v>
                </c:pt>
                <c:pt idx="78">
                  <c:v>95.363079615048107</c:v>
                </c:pt>
                <c:pt idx="79">
                  <c:v>95.486111111111114</c:v>
                </c:pt>
                <c:pt idx="80">
                  <c:v>95.607235142118853</c:v>
                </c:pt>
                <c:pt idx="81">
                  <c:v>95.726495726495713</c:v>
                </c:pt>
                <c:pt idx="82">
                  <c:v>95.843935538592021</c:v>
                </c:pt>
                <c:pt idx="83">
                  <c:v>95.959595959595958</c:v>
                </c:pt>
                <c:pt idx="84">
                  <c:v>96.073517126148701</c:v>
                </c:pt>
                <c:pt idx="85">
                  <c:v>96.185737976782747</c:v>
                </c:pt>
                <c:pt idx="86">
                  <c:v>96.296296296296291</c:v>
                </c:pt>
                <c:pt idx="87">
                  <c:v>96.405228758169912</c:v>
                </c:pt>
                <c:pt idx="88">
                  <c:v>96.512570965125704</c:v>
                </c:pt>
                <c:pt idx="89">
                  <c:v>96.618357487922694</c:v>
                </c:pt>
                <c:pt idx="90">
                  <c:v>96.722621902478011</c:v>
                </c:pt>
                <c:pt idx="91">
                  <c:v>96.825396825396822</c:v>
                </c:pt>
                <c:pt idx="92">
                  <c:v>96.926713947990535</c:v>
                </c:pt>
                <c:pt idx="93">
                  <c:v>97.02660406885758</c:v>
                </c:pt>
                <c:pt idx="94">
                  <c:v>97.125097125097113</c:v>
                </c:pt>
                <c:pt idx="95">
                  <c:v>97.222222222222214</c:v>
                </c:pt>
                <c:pt idx="96">
                  <c:v>97.318007662835242</c:v>
                </c:pt>
                <c:pt idx="97">
                  <c:v>97.412480974124804</c:v>
                </c:pt>
                <c:pt idx="98">
                  <c:v>97.505668934240362</c:v>
                </c:pt>
                <c:pt idx="99">
                  <c:v>97.597597597597584</c:v>
                </c:pt>
                <c:pt idx="100">
                  <c:v>97.688292319164802</c:v>
                </c:pt>
                <c:pt idx="101">
                  <c:v>97.777777777777771</c:v>
                </c:pt>
                <c:pt idx="102">
                  <c:v>97.866077998528311</c:v>
                </c:pt>
                <c:pt idx="103">
                  <c:v>97.953216374269005</c:v>
                </c:pt>
                <c:pt idx="104">
                  <c:v>98.039215686274503</c:v>
                </c:pt>
                <c:pt idx="105">
                  <c:v>98.124098124098111</c:v>
                </c:pt>
                <c:pt idx="106">
                  <c:v>98.207885304659484</c:v>
                </c:pt>
                <c:pt idx="107">
                  <c:v>98.290598290598282</c:v>
                </c:pt>
                <c:pt idx="108">
                  <c:v>98.372257607926386</c:v>
                </c:pt>
                <c:pt idx="109">
                  <c:v>98.452883263009838</c:v>
                </c:pt>
                <c:pt idx="110">
                  <c:v>98.532494758909849</c:v>
                </c:pt>
                <c:pt idx="111">
                  <c:v>98.6111111111111</c:v>
                </c:pt>
                <c:pt idx="112">
                  <c:v>98.688750862663909</c:v>
                </c:pt>
                <c:pt idx="113">
                  <c:v>98.765432098765416</c:v>
                </c:pt>
                <c:pt idx="114">
                  <c:v>98.841172460804344</c:v>
                </c:pt>
                <c:pt idx="115">
                  <c:v>98.915989159891595</c:v>
                </c:pt>
                <c:pt idx="116">
                  <c:v>98.989898989898975</c:v>
                </c:pt>
                <c:pt idx="117">
                  <c:v>99.062918340026769</c:v>
                </c:pt>
                <c:pt idx="118">
                  <c:v>99.135063206919483</c:v>
                </c:pt>
                <c:pt idx="119">
                  <c:v>99.206349206349202</c:v>
                </c:pt>
                <c:pt idx="120">
                  <c:v>99.276791584483888</c:v>
                </c:pt>
                <c:pt idx="121">
                  <c:v>99.346405228758172</c:v>
                </c:pt>
                <c:pt idx="122">
                  <c:v>99.415204678362571</c:v>
                </c:pt>
                <c:pt idx="123">
                  <c:v>99.483204134366915</c:v>
                </c:pt>
                <c:pt idx="124">
                  <c:v>99.550417469492615</c:v>
                </c:pt>
                <c:pt idx="125">
                  <c:v>99.616858237547888</c:v>
                </c:pt>
                <c:pt idx="126">
                  <c:v>99.682539682539669</c:v>
                </c:pt>
                <c:pt idx="127">
                  <c:v>99.747474747474755</c:v>
                </c:pt>
                <c:pt idx="128">
                  <c:v>99.811676082862519</c:v>
                </c:pt>
                <c:pt idx="129">
                  <c:v>99.87515605493131</c:v>
                </c:pt>
                <c:pt idx="130">
                  <c:v>99.937926753569215</c:v>
                </c:pt>
                <c:pt idx="131">
                  <c:v>99.999999999999986</c:v>
                </c:pt>
                <c:pt idx="132">
                  <c:v>100.06138735420502</c:v>
                </c:pt>
                <c:pt idx="133">
                  <c:v>100.12210012210012</c:v>
                </c:pt>
                <c:pt idx="134">
                  <c:v>100.18214936247722</c:v>
                </c:pt>
                <c:pt idx="135">
                  <c:v>100.24154589371979</c:v>
                </c:pt>
                <c:pt idx="136">
                  <c:v>100.30030030030029</c:v>
                </c:pt>
                <c:pt idx="137">
                  <c:v>100.35842293906809</c:v>
                </c:pt>
                <c:pt idx="138">
                  <c:v>100.41592394533571</c:v>
                </c:pt>
                <c:pt idx="139">
                  <c:v>100.47281323877067</c:v>
                </c:pt>
                <c:pt idx="140">
                  <c:v>100.52910052910052</c:v>
                </c:pt>
                <c:pt idx="141">
                  <c:v>100.58479532163742</c:v>
                </c:pt>
                <c:pt idx="142">
                  <c:v>100.63990692262942</c:v>
                </c:pt>
                <c:pt idx="143">
                  <c:v>100.69444444444444</c:v>
                </c:pt>
                <c:pt idx="144">
                  <c:v>100.74841681059296</c:v>
                </c:pt>
                <c:pt idx="145">
                  <c:v>100.80183276059566</c:v>
                </c:pt>
                <c:pt idx="146">
                  <c:v>100.85470085470085</c:v>
                </c:pt>
                <c:pt idx="147">
                  <c:v>100.90702947845803</c:v>
                </c:pt>
                <c:pt idx="148">
                  <c:v>100.95882684715174</c:v>
                </c:pt>
                <c:pt idx="149">
                  <c:v>101.01010101010101</c:v>
                </c:pt>
                <c:pt idx="150">
                  <c:v>101.06085985482969</c:v>
                </c:pt>
                <c:pt idx="151">
                  <c:v>101.11111111111111</c:v>
                </c:pt>
                <c:pt idx="152">
                  <c:v>101.1608623548922</c:v>
                </c:pt>
                <c:pt idx="153">
                  <c:v>101.2101210121012</c:v>
                </c:pt>
                <c:pt idx="154">
                  <c:v>101.25889436234264</c:v>
                </c:pt>
                <c:pt idx="155">
                  <c:v>101.30718954248367</c:v>
                </c:pt>
                <c:pt idx="156">
                  <c:v>101.35501355013548</c:v>
                </c:pt>
                <c:pt idx="157">
                  <c:v>101.40237324703345</c:v>
                </c:pt>
                <c:pt idx="158">
                  <c:v>101.44927536231883</c:v>
                </c:pt>
                <c:pt idx="159">
                  <c:v>101.49572649572649</c:v>
                </c:pt>
                <c:pt idx="160">
                  <c:v>101.54173312068049</c:v>
                </c:pt>
                <c:pt idx="161">
                  <c:v>101.58730158730158</c:v>
                </c:pt>
                <c:pt idx="162">
                  <c:v>101.63243812532913</c:v>
                </c:pt>
                <c:pt idx="163">
                  <c:v>101.67714884696016</c:v>
                </c:pt>
                <c:pt idx="164">
                  <c:v>101.72143974960875</c:v>
                </c:pt>
                <c:pt idx="165">
                  <c:v>101.76531671858774</c:v>
                </c:pt>
                <c:pt idx="166">
                  <c:v>101.80878552971575</c:v>
                </c:pt>
                <c:pt idx="167">
                  <c:v>101.85185185185185</c:v>
                </c:pt>
                <c:pt idx="168">
                  <c:v>101.89452124935995</c:v>
                </c:pt>
                <c:pt idx="169">
                  <c:v>101.9367991845056</c:v>
                </c:pt>
                <c:pt idx="170">
                  <c:v>101.97869101978691</c:v>
                </c:pt>
                <c:pt idx="171">
                  <c:v>102.02020202020202</c:v>
                </c:pt>
                <c:pt idx="172">
                  <c:v>102.06133735545498</c:v>
                </c:pt>
                <c:pt idx="173">
                  <c:v>102.10210210210209</c:v>
                </c:pt>
                <c:pt idx="174">
                  <c:v>102.14250124564026</c:v>
                </c:pt>
                <c:pt idx="175">
                  <c:v>102.18253968253967</c:v>
                </c:pt>
                <c:pt idx="176">
                  <c:v>102.22222222222223</c:v>
                </c:pt>
                <c:pt idx="177">
                  <c:v>102.26155358898721</c:v>
                </c:pt>
                <c:pt idx="178">
                  <c:v>102.30053842388642</c:v>
                </c:pt>
                <c:pt idx="179">
                  <c:v>102.33918128654969</c:v>
                </c:pt>
                <c:pt idx="180">
                  <c:v>102.37748665696265</c:v>
                </c:pt>
                <c:pt idx="181">
                  <c:v>102.41545893719805</c:v>
                </c:pt>
                <c:pt idx="182">
                  <c:v>102.45310245310245</c:v>
                </c:pt>
                <c:pt idx="183">
                  <c:v>102.4904214559387</c:v>
                </c:pt>
                <c:pt idx="184">
                  <c:v>102.52742012398663</c:v>
                </c:pt>
                <c:pt idx="185">
                  <c:v>102.56410256410255</c:v>
                </c:pt>
                <c:pt idx="186">
                  <c:v>102.60047281323878</c:v>
                </c:pt>
                <c:pt idx="187">
                  <c:v>102.63653483992466</c:v>
                </c:pt>
                <c:pt idx="188">
                  <c:v>102.67229254571026</c:v>
                </c:pt>
                <c:pt idx="189">
                  <c:v>102.70774976657329</c:v>
                </c:pt>
                <c:pt idx="190">
                  <c:v>102.74291027429102</c:v>
                </c:pt>
                <c:pt idx="191">
                  <c:v>102.77777777777777</c:v>
                </c:pt>
                <c:pt idx="192">
                  <c:v>102.81235592438911</c:v>
                </c:pt>
                <c:pt idx="193">
                  <c:v>102.84664830119375</c:v>
                </c:pt>
                <c:pt idx="194">
                  <c:v>102.88065843621399</c:v>
                </c:pt>
                <c:pt idx="195">
                  <c:v>102.9143897996357</c:v>
                </c:pt>
                <c:pt idx="196">
                  <c:v>102.94784580498865</c:v>
                </c:pt>
                <c:pt idx="197">
                  <c:v>102.9810298102981</c:v>
                </c:pt>
                <c:pt idx="198">
                  <c:v>103.01394511920827</c:v>
                </c:pt>
                <c:pt idx="199">
                  <c:v>103.04659498207883</c:v>
                </c:pt>
                <c:pt idx="200">
                  <c:v>103.07898259705489</c:v>
                </c:pt>
                <c:pt idx="201">
                  <c:v>103.11111111111111</c:v>
                </c:pt>
                <c:pt idx="202">
                  <c:v>103.14298362107125</c:v>
                </c:pt>
                <c:pt idx="203">
                  <c:v>103.17460317460318</c:v>
                </c:pt>
                <c:pt idx="204">
                  <c:v>103.20597277119016</c:v>
                </c:pt>
                <c:pt idx="205">
                  <c:v>103.2370953630796</c:v>
                </c:pt>
                <c:pt idx="206">
                  <c:v>103.26797385620914</c:v>
                </c:pt>
                <c:pt idx="207">
                  <c:v>103.29861111111111</c:v>
                </c:pt>
                <c:pt idx="208">
                  <c:v>103.32900994379592</c:v>
                </c:pt>
                <c:pt idx="209">
                  <c:v>103.35917312661498</c:v>
                </c:pt>
                <c:pt idx="210">
                  <c:v>103.3891033891034</c:v>
                </c:pt>
                <c:pt idx="211">
                  <c:v>103.41880341880341</c:v>
                </c:pt>
                <c:pt idx="212">
                  <c:v>103.44827586206895</c:v>
                </c:pt>
                <c:pt idx="213">
                  <c:v>103.47752332485156</c:v>
                </c:pt>
                <c:pt idx="214">
                  <c:v>103.50654837346852</c:v>
                </c:pt>
                <c:pt idx="215">
                  <c:v>103.53535353535352</c:v>
                </c:pt>
                <c:pt idx="216">
                  <c:v>103.56394129979034</c:v>
                </c:pt>
                <c:pt idx="217">
                  <c:v>103.5923141186299</c:v>
                </c:pt>
                <c:pt idx="218">
                  <c:v>103.62047440699125</c:v>
                </c:pt>
                <c:pt idx="219">
                  <c:v>103.64842454394693</c:v>
                </c:pt>
                <c:pt idx="220">
                  <c:v>103.67616687319288</c:v>
                </c:pt>
                <c:pt idx="221">
                  <c:v>103.7037037037037</c:v>
                </c:pt>
                <c:pt idx="222">
                  <c:v>103.7310373103731</c:v>
                </c:pt>
                <c:pt idx="223">
                  <c:v>103.75816993464051</c:v>
                </c:pt>
                <c:pt idx="224">
                  <c:v>103.78510378510379</c:v>
                </c:pt>
                <c:pt idx="225">
                  <c:v>103.81184103811842</c:v>
                </c:pt>
                <c:pt idx="226">
                  <c:v>103.83838383838382</c:v>
                </c:pt>
                <c:pt idx="227">
                  <c:v>103.8647342995169</c:v>
                </c:pt>
                <c:pt idx="228">
                  <c:v>103.89089450461292</c:v>
                </c:pt>
                <c:pt idx="229">
                  <c:v>103.91686650679455</c:v>
                </c:pt>
              </c:numCache>
            </c:numRef>
          </c:yVal>
          <c:smooth val="1"/>
          <c:extLst>
            <c:ext xmlns:c16="http://schemas.microsoft.com/office/drawing/2014/chart" uri="{C3380CC4-5D6E-409C-BE32-E72D297353CC}">
              <c16:uniqueId val="{00000008-D254-4D4E-B290-50517E212225}"/>
            </c:ext>
          </c:extLst>
        </c:ser>
        <c:ser>
          <c:idx val="4"/>
          <c:order val="9"/>
          <c:tx>
            <c:v>EU LFL T5-HE</c:v>
          </c:tx>
          <c:spPr>
            <a:ln w="19050" cap="rnd">
              <a:solidFill>
                <a:srgbClr val="266196"/>
              </a:solidFill>
              <a:prstDash val="dash"/>
              <a:round/>
            </a:ln>
            <a:effectLst/>
          </c:spPr>
          <c:marker>
            <c:symbol val="none"/>
          </c:marker>
          <c:xVal>
            <c:numRef>
              <c:f>'[Data-graficos 11 12 2017-v21.02.18.xlsx]Sheet1'!$N$7:$N$236</c:f>
              <c:numCache>
                <c:formatCode>General</c:formatCode>
                <c:ptCount val="23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pt idx="60">
                  <c:v>910</c:v>
                </c:pt>
                <c:pt idx="61">
                  <c:v>920</c:v>
                </c:pt>
                <c:pt idx="62">
                  <c:v>930</c:v>
                </c:pt>
                <c:pt idx="63">
                  <c:v>940</c:v>
                </c:pt>
                <c:pt idx="64">
                  <c:v>950</c:v>
                </c:pt>
                <c:pt idx="65">
                  <c:v>960</c:v>
                </c:pt>
                <c:pt idx="66">
                  <c:v>970</c:v>
                </c:pt>
                <c:pt idx="67">
                  <c:v>980</c:v>
                </c:pt>
                <c:pt idx="68">
                  <c:v>990</c:v>
                </c:pt>
                <c:pt idx="69">
                  <c:v>1000</c:v>
                </c:pt>
                <c:pt idx="70">
                  <c:v>1010</c:v>
                </c:pt>
                <c:pt idx="71">
                  <c:v>1020</c:v>
                </c:pt>
                <c:pt idx="72">
                  <c:v>1030</c:v>
                </c:pt>
                <c:pt idx="73">
                  <c:v>1040</c:v>
                </c:pt>
                <c:pt idx="74">
                  <c:v>1050</c:v>
                </c:pt>
                <c:pt idx="75">
                  <c:v>1060</c:v>
                </c:pt>
                <c:pt idx="76">
                  <c:v>1070</c:v>
                </c:pt>
                <c:pt idx="77">
                  <c:v>1080</c:v>
                </c:pt>
                <c:pt idx="78">
                  <c:v>1090</c:v>
                </c:pt>
                <c:pt idx="79">
                  <c:v>1100</c:v>
                </c:pt>
                <c:pt idx="80">
                  <c:v>1110</c:v>
                </c:pt>
                <c:pt idx="81">
                  <c:v>1120</c:v>
                </c:pt>
                <c:pt idx="82">
                  <c:v>1130</c:v>
                </c:pt>
                <c:pt idx="83">
                  <c:v>1140</c:v>
                </c:pt>
                <c:pt idx="84">
                  <c:v>1150</c:v>
                </c:pt>
                <c:pt idx="85">
                  <c:v>1160</c:v>
                </c:pt>
                <c:pt idx="86">
                  <c:v>1170</c:v>
                </c:pt>
                <c:pt idx="87">
                  <c:v>1180</c:v>
                </c:pt>
                <c:pt idx="88">
                  <c:v>1190</c:v>
                </c:pt>
                <c:pt idx="89">
                  <c:v>1200</c:v>
                </c:pt>
                <c:pt idx="90">
                  <c:v>1210</c:v>
                </c:pt>
                <c:pt idx="91">
                  <c:v>1220</c:v>
                </c:pt>
                <c:pt idx="92">
                  <c:v>1230</c:v>
                </c:pt>
                <c:pt idx="93">
                  <c:v>1240</c:v>
                </c:pt>
                <c:pt idx="94">
                  <c:v>1250</c:v>
                </c:pt>
                <c:pt idx="95">
                  <c:v>1260</c:v>
                </c:pt>
                <c:pt idx="96">
                  <c:v>1270</c:v>
                </c:pt>
                <c:pt idx="97">
                  <c:v>1280</c:v>
                </c:pt>
                <c:pt idx="98">
                  <c:v>1290</c:v>
                </c:pt>
                <c:pt idx="99">
                  <c:v>1300</c:v>
                </c:pt>
                <c:pt idx="100">
                  <c:v>1310</c:v>
                </c:pt>
                <c:pt idx="101">
                  <c:v>1320</c:v>
                </c:pt>
                <c:pt idx="102">
                  <c:v>1330</c:v>
                </c:pt>
                <c:pt idx="103">
                  <c:v>1340</c:v>
                </c:pt>
                <c:pt idx="104">
                  <c:v>1350</c:v>
                </c:pt>
                <c:pt idx="105">
                  <c:v>1360</c:v>
                </c:pt>
                <c:pt idx="106">
                  <c:v>1370</c:v>
                </c:pt>
                <c:pt idx="107">
                  <c:v>1380</c:v>
                </c:pt>
                <c:pt idx="108">
                  <c:v>1390</c:v>
                </c:pt>
                <c:pt idx="109">
                  <c:v>1400</c:v>
                </c:pt>
                <c:pt idx="110">
                  <c:v>1410</c:v>
                </c:pt>
                <c:pt idx="111">
                  <c:v>1420</c:v>
                </c:pt>
                <c:pt idx="112">
                  <c:v>1430</c:v>
                </c:pt>
                <c:pt idx="113">
                  <c:v>1440</c:v>
                </c:pt>
                <c:pt idx="114">
                  <c:v>1450</c:v>
                </c:pt>
                <c:pt idx="115">
                  <c:v>1460</c:v>
                </c:pt>
                <c:pt idx="116">
                  <c:v>1470</c:v>
                </c:pt>
                <c:pt idx="117">
                  <c:v>1480</c:v>
                </c:pt>
                <c:pt idx="118">
                  <c:v>1490</c:v>
                </c:pt>
                <c:pt idx="119">
                  <c:v>1500</c:v>
                </c:pt>
                <c:pt idx="120">
                  <c:v>1510</c:v>
                </c:pt>
                <c:pt idx="121">
                  <c:v>1520</c:v>
                </c:pt>
                <c:pt idx="122">
                  <c:v>1530</c:v>
                </c:pt>
                <c:pt idx="123">
                  <c:v>1540</c:v>
                </c:pt>
                <c:pt idx="124">
                  <c:v>1550</c:v>
                </c:pt>
                <c:pt idx="125">
                  <c:v>1560</c:v>
                </c:pt>
                <c:pt idx="126">
                  <c:v>1570</c:v>
                </c:pt>
                <c:pt idx="127">
                  <c:v>1580</c:v>
                </c:pt>
                <c:pt idx="128">
                  <c:v>1590</c:v>
                </c:pt>
                <c:pt idx="129">
                  <c:v>1600</c:v>
                </c:pt>
                <c:pt idx="130">
                  <c:v>1610</c:v>
                </c:pt>
                <c:pt idx="131">
                  <c:v>1620</c:v>
                </c:pt>
                <c:pt idx="132">
                  <c:v>1630</c:v>
                </c:pt>
                <c:pt idx="133">
                  <c:v>1640</c:v>
                </c:pt>
                <c:pt idx="134">
                  <c:v>1650</c:v>
                </c:pt>
                <c:pt idx="135">
                  <c:v>1660</c:v>
                </c:pt>
                <c:pt idx="136">
                  <c:v>1670</c:v>
                </c:pt>
                <c:pt idx="137">
                  <c:v>1680</c:v>
                </c:pt>
                <c:pt idx="138">
                  <c:v>1690</c:v>
                </c:pt>
                <c:pt idx="139">
                  <c:v>1700</c:v>
                </c:pt>
                <c:pt idx="140">
                  <c:v>1710</c:v>
                </c:pt>
                <c:pt idx="141">
                  <c:v>1720</c:v>
                </c:pt>
                <c:pt idx="142">
                  <c:v>1730</c:v>
                </c:pt>
                <c:pt idx="143">
                  <c:v>1740</c:v>
                </c:pt>
                <c:pt idx="144">
                  <c:v>1750</c:v>
                </c:pt>
                <c:pt idx="145">
                  <c:v>1760</c:v>
                </c:pt>
                <c:pt idx="146">
                  <c:v>1770</c:v>
                </c:pt>
                <c:pt idx="147">
                  <c:v>1780</c:v>
                </c:pt>
                <c:pt idx="148">
                  <c:v>1790</c:v>
                </c:pt>
                <c:pt idx="149">
                  <c:v>1800</c:v>
                </c:pt>
                <c:pt idx="150">
                  <c:v>1810</c:v>
                </c:pt>
                <c:pt idx="151">
                  <c:v>1820</c:v>
                </c:pt>
                <c:pt idx="152">
                  <c:v>1830</c:v>
                </c:pt>
                <c:pt idx="153">
                  <c:v>1840</c:v>
                </c:pt>
                <c:pt idx="154">
                  <c:v>1850</c:v>
                </c:pt>
                <c:pt idx="155">
                  <c:v>1860</c:v>
                </c:pt>
                <c:pt idx="156">
                  <c:v>1870</c:v>
                </c:pt>
                <c:pt idx="157">
                  <c:v>1880</c:v>
                </c:pt>
                <c:pt idx="158">
                  <c:v>1890</c:v>
                </c:pt>
                <c:pt idx="159">
                  <c:v>1900</c:v>
                </c:pt>
                <c:pt idx="160">
                  <c:v>1910</c:v>
                </c:pt>
                <c:pt idx="161">
                  <c:v>1920</c:v>
                </c:pt>
                <c:pt idx="162">
                  <c:v>1930</c:v>
                </c:pt>
                <c:pt idx="163">
                  <c:v>1940</c:v>
                </c:pt>
                <c:pt idx="164">
                  <c:v>1950</c:v>
                </c:pt>
                <c:pt idx="165">
                  <c:v>1960</c:v>
                </c:pt>
                <c:pt idx="166">
                  <c:v>1970</c:v>
                </c:pt>
                <c:pt idx="167">
                  <c:v>1980</c:v>
                </c:pt>
                <c:pt idx="168">
                  <c:v>1990</c:v>
                </c:pt>
                <c:pt idx="169">
                  <c:v>2000</c:v>
                </c:pt>
                <c:pt idx="170">
                  <c:v>2010</c:v>
                </c:pt>
                <c:pt idx="171">
                  <c:v>2020</c:v>
                </c:pt>
                <c:pt idx="172">
                  <c:v>2030</c:v>
                </c:pt>
                <c:pt idx="173">
                  <c:v>2040</c:v>
                </c:pt>
                <c:pt idx="174">
                  <c:v>2050</c:v>
                </c:pt>
                <c:pt idx="175">
                  <c:v>2060</c:v>
                </c:pt>
                <c:pt idx="176">
                  <c:v>2070</c:v>
                </c:pt>
                <c:pt idx="177">
                  <c:v>2080</c:v>
                </c:pt>
                <c:pt idx="178">
                  <c:v>2090</c:v>
                </c:pt>
                <c:pt idx="179">
                  <c:v>2100</c:v>
                </c:pt>
                <c:pt idx="180">
                  <c:v>2110</c:v>
                </c:pt>
                <c:pt idx="181">
                  <c:v>2120</c:v>
                </c:pt>
                <c:pt idx="182">
                  <c:v>2130</c:v>
                </c:pt>
                <c:pt idx="183">
                  <c:v>2140</c:v>
                </c:pt>
                <c:pt idx="184">
                  <c:v>2150</c:v>
                </c:pt>
                <c:pt idx="185">
                  <c:v>2160</c:v>
                </c:pt>
                <c:pt idx="186">
                  <c:v>2170</c:v>
                </c:pt>
                <c:pt idx="187">
                  <c:v>2180</c:v>
                </c:pt>
                <c:pt idx="188">
                  <c:v>2190</c:v>
                </c:pt>
                <c:pt idx="189">
                  <c:v>2200</c:v>
                </c:pt>
                <c:pt idx="190">
                  <c:v>2210</c:v>
                </c:pt>
                <c:pt idx="191">
                  <c:v>2220</c:v>
                </c:pt>
                <c:pt idx="192">
                  <c:v>2230</c:v>
                </c:pt>
                <c:pt idx="193">
                  <c:v>2240</c:v>
                </c:pt>
                <c:pt idx="194">
                  <c:v>2250</c:v>
                </c:pt>
                <c:pt idx="195">
                  <c:v>2260</c:v>
                </c:pt>
                <c:pt idx="196">
                  <c:v>2270</c:v>
                </c:pt>
                <c:pt idx="197">
                  <c:v>2280</c:v>
                </c:pt>
                <c:pt idx="198">
                  <c:v>2290</c:v>
                </c:pt>
                <c:pt idx="199">
                  <c:v>2300</c:v>
                </c:pt>
                <c:pt idx="200">
                  <c:v>2310</c:v>
                </c:pt>
                <c:pt idx="201">
                  <c:v>2320</c:v>
                </c:pt>
                <c:pt idx="202">
                  <c:v>2330</c:v>
                </c:pt>
                <c:pt idx="203">
                  <c:v>2340</c:v>
                </c:pt>
                <c:pt idx="204">
                  <c:v>2350</c:v>
                </c:pt>
                <c:pt idx="205">
                  <c:v>2360</c:v>
                </c:pt>
                <c:pt idx="206">
                  <c:v>2370</c:v>
                </c:pt>
                <c:pt idx="207">
                  <c:v>2380</c:v>
                </c:pt>
                <c:pt idx="208">
                  <c:v>2390</c:v>
                </c:pt>
                <c:pt idx="209">
                  <c:v>2400</c:v>
                </c:pt>
                <c:pt idx="210">
                  <c:v>2410</c:v>
                </c:pt>
                <c:pt idx="211">
                  <c:v>2420</c:v>
                </c:pt>
                <c:pt idx="212">
                  <c:v>2430</c:v>
                </c:pt>
                <c:pt idx="213">
                  <c:v>2440</c:v>
                </c:pt>
                <c:pt idx="214">
                  <c:v>2450</c:v>
                </c:pt>
                <c:pt idx="215">
                  <c:v>2460</c:v>
                </c:pt>
                <c:pt idx="216">
                  <c:v>2470</c:v>
                </c:pt>
                <c:pt idx="217">
                  <c:v>2480</c:v>
                </c:pt>
                <c:pt idx="218">
                  <c:v>2490</c:v>
                </c:pt>
                <c:pt idx="219">
                  <c:v>2500</c:v>
                </c:pt>
                <c:pt idx="220">
                  <c:v>2510</c:v>
                </c:pt>
                <c:pt idx="221">
                  <c:v>2520</c:v>
                </c:pt>
                <c:pt idx="222">
                  <c:v>2530</c:v>
                </c:pt>
                <c:pt idx="223">
                  <c:v>2540</c:v>
                </c:pt>
                <c:pt idx="224">
                  <c:v>2550</c:v>
                </c:pt>
                <c:pt idx="225">
                  <c:v>2560</c:v>
                </c:pt>
                <c:pt idx="226">
                  <c:v>2570</c:v>
                </c:pt>
                <c:pt idx="227">
                  <c:v>2580</c:v>
                </c:pt>
                <c:pt idx="228">
                  <c:v>2590</c:v>
                </c:pt>
                <c:pt idx="229">
                  <c:v>2600</c:v>
                </c:pt>
              </c:numCache>
            </c:numRef>
          </c:xVal>
          <c:yVal>
            <c:numRef>
              <c:f>'[Data-graficos 11 12 2017-v21.02.18.xlsx]Sheet1'!$P$7:$P$236</c:f>
              <c:numCache>
                <c:formatCode>0.0</c:formatCode>
                <c:ptCount val="230"/>
                <c:pt idx="0">
                  <c:v>56.978339747768338</c:v>
                </c:pt>
                <c:pt idx="1">
                  <c:v>57.657910017478287</c:v>
                </c:pt>
                <c:pt idx="2">
                  <c:v>58.311227862336565</c:v>
                </c:pt>
                <c:pt idx="3">
                  <c:v>58.939785688819263</c:v>
                </c:pt>
                <c:pt idx="4">
                  <c:v>59.544964886034577</c:v>
                </c:pt>
                <c:pt idx="5">
                  <c:v>60.128045960222984</c:v>
                </c:pt>
                <c:pt idx="6">
                  <c:v>60.690217578978967</c:v>
                </c:pt>
                <c:pt idx="7">
                  <c:v>61.232584659626148</c:v>
                </c:pt>
                <c:pt idx="8">
                  <c:v>61.756175617561745</c:v>
                </c:pt>
                <c:pt idx="9">
                  <c:v>62.261948874621567</c:v>
                </c:pt>
                <c:pt idx="10">
                  <c:v>62.750798714126013</c:v>
                </c:pt>
                <c:pt idx="11">
                  <c:v>63.223560557859244</c:v>
                </c:pt>
                <c:pt idx="12">
                  <c:v>63.681015730487985</c:v>
                </c:pt>
                <c:pt idx="13">
                  <c:v>64.123895768578109</c:v>
                </c:pt>
                <c:pt idx="14">
                  <c:v>64.552886324196606</c:v>
                </c:pt>
                <c:pt idx="15">
                  <c:v>64.968630706912677</c:v>
                </c:pt>
                <c:pt idx="16">
                  <c:v>65.371733102682427</c:v>
                </c:pt>
                <c:pt idx="17">
                  <c:v>65.762761503491149</c:v>
                </c:pt>
                <c:pt idx="18">
                  <c:v>66.142250377627818</c:v>
                </c:pt>
                <c:pt idx="19">
                  <c:v>66.510703106992295</c:v>
                </c:pt>
                <c:pt idx="20">
                  <c:v>66.868594214807601</c:v>
                </c:pt>
                <c:pt idx="21">
                  <c:v>67.216371404468376</c:v>
                </c:pt>
                <c:pt idx="22">
                  <c:v>67.554457427945678</c:v>
                </c:pt>
                <c:pt idx="23">
                  <c:v>67.883251800142915</c:v>
                </c:pt>
                <c:pt idx="24">
                  <c:v>68.203132373820438</c:v>
                </c:pt>
                <c:pt idx="25">
                  <c:v>68.514456788142127</c:v>
                </c:pt>
                <c:pt idx="26">
                  <c:v>68.817563802518663</c:v>
                </c:pt>
                <c:pt idx="27">
                  <c:v>69.112774526206493</c:v>
                </c:pt>
                <c:pt idx="28">
                  <c:v>69.400393553044893</c:v>
                </c:pt>
                <c:pt idx="29">
                  <c:v>69.680710009760929</c:v>
                </c:pt>
                <c:pt idx="30">
                  <c:v>69.953998525427096</c:v>
                </c:pt>
                <c:pt idx="31">
                  <c:v>70.220520128904226</c:v>
                </c:pt>
                <c:pt idx="32">
                  <c:v>70.48052308043502</c:v>
                </c:pt>
                <c:pt idx="33">
                  <c:v>70.734243642956741</c:v>
                </c:pt>
                <c:pt idx="34">
                  <c:v>70.981906798169987</c:v>
                </c:pt>
                <c:pt idx="35">
                  <c:v>71.223726911925837</c:v>
                </c:pt>
                <c:pt idx="36">
                  <c:v>71.45990835306695</c:v>
                </c:pt>
                <c:pt idx="37">
                  <c:v>71.69064606947795</c:v>
                </c:pt>
                <c:pt idx="38">
                  <c:v>71.916126124757568</c:v>
                </c:pt>
                <c:pt idx="39">
                  <c:v>72.136526198617844</c:v>
                </c:pt>
                <c:pt idx="40">
                  <c:v>72.35201605383844</c:v>
                </c:pt>
                <c:pt idx="41">
                  <c:v>72.562757972355627</c:v>
                </c:pt>
                <c:pt idx="42">
                  <c:v>72.768907162839952</c:v>
                </c:pt>
                <c:pt idx="43">
                  <c:v>72.970612141913833</c:v>
                </c:pt>
                <c:pt idx="44">
                  <c:v>73.168015090977164</c:v>
                </c:pt>
                <c:pt idx="45">
                  <c:v>73.361252190442244</c:v>
                </c:pt>
                <c:pt idx="46">
                  <c:v>73.550453933029218</c:v>
                </c:pt>
                <c:pt idx="47">
                  <c:v>73.735745417636863</c:v>
                </c:pt>
                <c:pt idx="48">
                  <c:v>73.917246625179359</c:v>
                </c:pt>
                <c:pt idx="49">
                  <c:v>74.095072677666934</c:v>
                </c:pt>
                <c:pt idx="50">
                  <c:v>74.269334081706276</c:v>
                </c:pt>
                <c:pt idx="51">
                  <c:v>74.440136957502887</c:v>
                </c:pt>
                <c:pt idx="52">
                  <c:v>74.607583254362325</c:v>
                </c:pt>
                <c:pt idx="53">
                  <c:v>74.771770953610343</c:v>
                </c:pt>
                <c:pt idx="54">
                  <c:v>74.932794259780337</c:v>
                </c:pt>
                <c:pt idx="55">
                  <c:v>75.090743780851824</c:v>
                </c:pt>
                <c:pt idx="56">
                  <c:v>75.245706698265025</c:v>
                </c:pt>
                <c:pt idx="57">
                  <c:v>75.397766927381426</c:v>
                </c:pt>
                <c:pt idx="58">
                  <c:v>75.547005269010981</c:v>
                </c:pt>
                <c:pt idx="59">
                  <c:v>75.693499552580917</c:v>
                </c:pt>
                <c:pt idx="60">
                  <c:v>75.837324771479189</c:v>
                </c:pt>
                <c:pt idx="61">
                  <c:v>75.978553211066838</c:v>
                </c:pt>
                <c:pt idx="62">
                  <c:v>76.117254569818712</c:v>
                </c:pt>
                <c:pt idx="63">
                  <c:v>76.253496074018898</c:v>
                </c:pt>
                <c:pt idx="64">
                  <c:v>76.387342586407385</c:v>
                </c:pt>
                <c:pt idx="65">
                  <c:v>76.518856709147002</c:v>
                </c:pt>
                <c:pt idx="66">
                  <c:v>76.648098881454089</c:v>
                </c:pt>
                <c:pt idx="67">
                  <c:v>76.77512747221239</c:v>
                </c:pt>
                <c:pt idx="68">
                  <c:v>76.899998867868973</c:v>
                </c:pt>
                <c:pt idx="69">
                  <c:v>77.022767555889828</c:v>
                </c:pt>
                <c:pt idx="70">
                  <c:v>77.143486204034573</c:v>
                </c:pt>
                <c:pt idx="71">
                  <c:v>77.262205735692959</c:v>
                </c:pt>
                <c:pt idx="72">
                  <c:v>77.378975401509308</c:v>
                </c:pt>
                <c:pt idx="73">
                  <c:v>77.493842847506542</c:v>
                </c:pt>
                <c:pt idx="74">
                  <c:v>77.606854179907842</c:v>
                </c:pt>
                <c:pt idx="75">
                  <c:v>77.718054026841244</c:v>
                </c:pt>
                <c:pt idx="76">
                  <c:v>77.827485597100448</c:v>
                </c:pt>
                <c:pt idx="77">
                  <c:v>77.935190736124696</c:v>
                </c:pt>
                <c:pt idx="78">
                  <c:v>78.041209979349773</c:v>
                </c:pt>
                <c:pt idx="79">
                  <c:v>78.14558260307335</c:v>
                </c:pt>
                <c:pt idx="80">
                  <c:v>78.24834667296831</c:v>
                </c:pt>
                <c:pt idx="81">
                  <c:v>78.349539090370456</c:v>
                </c:pt>
                <c:pt idx="82">
                  <c:v>78.449195636458484</c:v>
                </c:pt>
                <c:pt idx="83">
                  <c:v>78.547351014437439</c:v>
                </c:pt>
                <c:pt idx="84">
                  <c:v>78.644038889830227</c:v>
                </c:pt>
                <c:pt idx="85">
                  <c:v>78.739291928975234</c:v>
                </c:pt>
                <c:pt idx="86">
                  <c:v>78.833141835822786</c:v>
                </c:pt>
                <c:pt idx="87">
                  <c:v>78.925619387117351</c:v>
                </c:pt>
                <c:pt idx="88">
                  <c:v>79.016754466047487</c:v>
                </c:pt>
                <c:pt idx="89">
                  <c:v>79.106576094441067</c:v>
                </c:pt>
                <c:pt idx="90">
                  <c:v>79.195112463578241</c:v>
                </c:pt>
                <c:pt idx="91">
                  <c:v>79.282390963691228</c:v>
                </c:pt>
                <c:pt idx="92">
                  <c:v>79.368438212215537</c:v>
                </c:pt>
                <c:pt idx="93">
                  <c:v>79.4532800808541</c:v>
                </c:pt>
                <c:pt idx="94">
                  <c:v>79.536941721511724</c:v>
                </c:pt>
                <c:pt idx="95">
                  <c:v>79.619447591154824</c:v>
                </c:pt>
                <c:pt idx="96">
                  <c:v>79.700821475647913</c:v>
                </c:pt>
                <c:pt idx="97">
                  <c:v>79.781086512615687</c:v>
                </c:pt>
                <c:pt idx="98">
                  <c:v>79.860265213376763</c:v>
                </c:pt>
                <c:pt idx="99">
                  <c:v>79.93837948399289</c:v>
                </c:pt>
                <c:pt idx="100">
                  <c:v>80.015450645474928</c:v>
                </c:pt>
                <c:pt idx="101">
                  <c:v>80.091499453184639</c:v>
                </c:pt>
                <c:pt idx="102">
                  <c:v>80.166546115469501</c:v>
                </c:pt>
                <c:pt idx="103">
                  <c:v>80.240610311565717</c:v>
                </c:pt>
                <c:pt idx="104">
                  <c:v>80.313711208802644</c:v>
                </c:pt>
                <c:pt idx="105">
                  <c:v>80.385867479140146</c:v>
                </c:pt>
                <c:pt idx="106">
                  <c:v>80.45709731506922</c:v>
                </c:pt>
                <c:pt idx="107">
                  <c:v>80.527418444903702</c:v>
                </c:pt>
                <c:pt idx="108">
                  <c:v>80.596848147490832</c:v>
                </c:pt>
                <c:pt idx="109">
                  <c:v>80.665403266365644</c:v>
                </c:pt>
                <c:pt idx="110">
                  <c:v>80.733100223373867</c:v>
                </c:pt>
                <c:pt idx="111">
                  <c:v>80.799955031786439</c:v>
                </c:pt>
                <c:pt idx="112">
                  <c:v>80.865983308927682</c:v>
                </c:pt>
                <c:pt idx="113">
                  <c:v>80.931200288337877</c:v>
                </c:pt>
                <c:pt idx="114">
                  <c:v>80.9956208314902</c:v>
                </c:pt>
                <c:pt idx="115">
                  <c:v>81.059259439081259</c:v>
                </c:pt>
                <c:pt idx="116">
                  <c:v>81.122130261912616</c:v>
                </c:pt>
                <c:pt idx="117">
                  <c:v>81.184247111381154</c:v>
                </c:pt>
                <c:pt idx="118">
                  <c:v>81.245623469594094</c:v>
                </c:pt>
                <c:pt idx="119">
                  <c:v>81.306272499124375</c:v>
                </c:pt>
                <c:pt idx="120">
                  <c:v>81.366207052421501</c:v>
                </c:pt>
                <c:pt idx="121">
                  <c:v>81.425439680891387</c:v>
                </c:pt>
                <c:pt idx="122">
                  <c:v>81.483982643659431</c:v>
                </c:pt>
                <c:pt idx="123">
                  <c:v>81.5418479160289</c:v>
                </c:pt>
                <c:pt idx="124">
                  <c:v>81.599047197647664</c:v>
                </c:pt>
                <c:pt idx="125">
                  <c:v>81.655591920394059</c:v>
                </c:pt>
                <c:pt idx="126">
                  <c:v>81.711493255994071</c:v>
                </c:pt>
                <c:pt idx="127">
                  <c:v>81.766762123379692</c:v>
                </c:pt>
                <c:pt idx="128">
                  <c:v>81.821409195798864</c:v>
                </c:pt>
                <c:pt idx="129">
                  <c:v>81.875444907687083</c:v>
                </c:pt>
                <c:pt idx="130">
                  <c:v>81.928879461309421</c:v>
                </c:pt>
                <c:pt idx="131">
                  <c:v>81.981722833182133</c:v>
                </c:pt>
                <c:pt idx="132">
                  <c:v>82.033984780282339</c:v>
                </c:pt>
                <c:pt idx="133">
                  <c:v>82.085674846053905</c:v>
                </c:pt>
                <c:pt idx="134">
                  <c:v>82.136802366217083</c:v>
                </c:pt>
                <c:pt idx="135">
                  <c:v>82.187376474389652</c:v>
                </c:pt>
                <c:pt idx="136">
                  <c:v>82.237406107526468</c:v>
                </c:pt>
                <c:pt idx="137">
                  <c:v>82.286900011184159</c:v>
                </c:pt>
                <c:pt idx="138">
                  <c:v>82.335866744617789</c:v>
                </c:pt>
                <c:pt idx="139">
                  <c:v>82.384314685715324</c:v>
                </c:pt>
                <c:pt idx="140">
                  <c:v>82.432252035776273</c:v>
                </c:pt>
                <c:pt idx="141">
                  <c:v>82.479686824139876</c:v>
                </c:pt>
                <c:pt idx="142">
                  <c:v>82.526626912668661</c:v>
                </c:pt>
                <c:pt idx="143">
                  <c:v>82.573080000092219</c:v>
                </c:pt>
                <c:pt idx="144">
                  <c:v>82.619053626216683</c:v>
                </c:pt>
                <c:pt idx="145">
                  <c:v>82.66455517600447</c:v>
                </c:pt>
                <c:pt idx="146">
                  <c:v>82.709591883528915</c:v>
                </c:pt>
                <c:pt idx="147">
                  <c:v>82.754170835808466</c:v>
                </c:pt>
                <c:pt idx="148">
                  <c:v>82.798298976524407</c:v>
                </c:pt>
                <c:pt idx="149">
                  <c:v>82.841983109626426</c:v>
                </c:pt>
                <c:pt idx="150">
                  <c:v>82.885229902829977</c:v>
                </c:pt>
                <c:pt idx="151">
                  <c:v>82.92804589100885</c:v>
                </c:pt>
                <c:pt idx="152">
                  <c:v>82.970437479487302</c:v>
                </c:pt>
                <c:pt idx="153">
                  <c:v>83.012410947234287</c:v>
                </c:pt>
                <c:pt idx="154">
                  <c:v>83.053972449964036</c:v>
                </c:pt>
                <c:pt idx="155">
                  <c:v>83.09512802314552</c:v>
                </c:pt>
                <c:pt idx="156">
                  <c:v>83.135883584924272</c:v>
                </c:pt>
                <c:pt idx="157">
                  <c:v>83.176244938959428</c:v>
                </c:pt>
                <c:pt idx="158">
                  <c:v>83.216217777178827</c:v>
                </c:pt>
                <c:pt idx="159">
                  <c:v>83.255807682454929</c:v>
                </c:pt>
                <c:pt idx="160">
                  <c:v>83.295020131204168</c:v>
                </c:pt>
                <c:pt idx="161">
                  <c:v>83.333860495912376</c:v>
                </c:pt>
                <c:pt idx="162">
                  <c:v>83.372334047588566</c:v>
                </c:pt>
                <c:pt idx="163">
                  <c:v>83.410445958149595</c:v>
                </c:pt>
                <c:pt idx="164">
                  <c:v>83.448201302737914</c:v>
                </c:pt>
                <c:pt idx="165">
                  <c:v>83.485605061974411</c:v>
                </c:pt>
                <c:pt idx="166">
                  <c:v>83.52266212414888</c:v>
                </c:pt>
                <c:pt idx="167">
                  <c:v>83.559377287349534</c:v>
                </c:pt>
                <c:pt idx="168">
                  <c:v>83.595755261534137</c:v>
                </c:pt>
                <c:pt idx="169">
                  <c:v>83.631800670544209</c:v>
                </c:pt>
                <c:pt idx="170">
                  <c:v>83.667518054064104</c:v>
                </c:pt>
                <c:pt idx="171">
                  <c:v>83.702911869527199</c:v>
                </c:pt>
                <c:pt idx="172">
                  <c:v>83.737986493970112</c:v>
                </c:pt>
                <c:pt idx="173">
                  <c:v>83.772746225837281</c:v>
                </c:pt>
                <c:pt idx="174">
                  <c:v>83.807195286736956</c:v>
                </c:pt>
                <c:pt idx="175">
                  <c:v>83.841337823150496</c:v>
                </c:pt>
                <c:pt idx="176">
                  <c:v>83.875177908096077</c:v>
                </c:pt>
                <c:pt idx="177">
                  <c:v>83.908719542748429</c:v>
                </c:pt>
                <c:pt idx="178">
                  <c:v>83.941966658016042</c:v>
                </c:pt>
                <c:pt idx="179">
                  <c:v>83.974923116076752</c:v>
                </c:pt>
                <c:pt idx="180">
                  <c:v>84.007592711873485</c:v>
                </c:pt>
                <c:pt idx="181">
                  <c:v>84.039979174570888</c:v>
                </c:pt>
                <c:pt idx="182">
                  <c:v>84.072086168974479</c:v>
                </c:pt>
                <c:pt idx="183">
                  <c:v>84.103917296913011</c:v>
                </c:pt>
                <c:pt idx="184">
                  <c:v>84.135476098585443</c:v>
                </c:pt>
                <c:pt idx="185">
                  <c:v>84.166766053873545</c:v>
                </c:pt>
                <c:pt idx="186">
                  <c:v>84.197790583620957</c:v>
                </c:pt>
                <c:pt idx="187">
                  <c:v>84.228553050880009</c:v>
                </c:pt>
                <c:pt idx="188">
                  <c:v>84.259056762126917</c:v>
                </c:pt>
                <c:pt idx="189">
                  <c:v>84.289304968446572</c:v>
                </c:pt>
                <c:pt idx="190">
                  <c:v>84.319300866687556</c:v>
                </c:pt>
                <c:pt idx="191">
                  <c:v>84.349047600588477</c:v>
                </c:pt>
                <c:pt idx="192">
                  <c:v>84.378548261876361</c:v>
                </c:pt>
                <c:pt idx="193">
                  <c:v>84.407805891337759</c:v>
                </c:pt>
                <c:pt idx="194">
                  <c:v>84.436823479863691</c:v>
                </c:pt>
                <c:pt idx="195">
                  <c:v>84.465603969468788</c:v>
                </c:pt>
                <c:pt idx="196">
                  <c:v>84.494150254285657</c:v>
                </c:pt>
                <c:pt idx="197">
                  <c:v>84.522465181535097</c:v>
                </c:pt>
                <c:pt idx="198">
                  <c:v>84.550551552472669</c:v>
                </c:pt>
                <c:pt idx="199">
                  <c:v>84.578412123312674</c:v>
                </c:pt>
                <c:pt idx="200">
                  <c:v>84.606049606129673</c:v>
                </c:pt>
                <c:pt idx="201">
                  <c:v>84.633466669738652</c:v>
                </c:pt>
                <c:pt idx="202">
                  <c:v>84.660665940554097</c:v>
                </c:pt>
                <c:pt idx="203">
                  <c:v>84.687650003428644</c:v>
                </c:pt>
                <c:pt idx="204">
                  <c:v>84.714421402472098</c:v>
                </c:pt>
                <c:pt idx="205">
                  <c:v>84.740982641850863</c:v>
                </c:pt>
                <c:pt idx="206">
                  <c:v>84.76733618656894</c:v>
                </c:pt>
                <c:pt idx="207">
                  <c:v>84.793484463230385</c:v>
                </c:pt>
                <c:pt idx="208">
                  <c:v>84.819429860784226</c:v>
                </c:pt>
                <c:pt idx="209">
                  <c:v>84.845174731252044</c:v>
                </c:pt>
                <c:pt idx="210">
                  <c:v>84.870721390438675</c:v>
                </c:pt>
                <c:pt idx="211">
                  <c:v>84.896072118626691</c:v>
                </c:pt>
                <c:pt idx="212">
                  <c:v>84.921229161254828</c:v>
                </c:pt>
                <c:pt idx="213">
                  <c:v>84.94619472958108</c:v>
                </c:pt>
                <c:pt idx="214">
                  <c:v>84.970971001330554</c:v>
                </c:pt>
                <c:pt idx="215">
                  <c:v>84.995560121328694</c:v>
                </c:pt>
                <c:pt idx="216">
                  <c:v>85.019964202120335</c:v>
                </c:pt>
                <c:pt idx="217">
                  <c:v>85.04418532457457</c:v>
                </c:pt>
                <c:pt idx="218">
                  <c:v>85.068225538476341</c:v>
                </c:pt>
                <c:pt idx="219">
                  <c:v>85.092086863104669</c:v>
                </c:pt>
                <c:pt idx="220">
                  <c:v>85.115771287798026</c:v>
                </c:pt>
                <c:pt idx="221">
                  <c:v>85.139280772507249</c:v>
                </c:pt>
                <c:pt idx="222">
                  <c:v>85.162617248336161</c:v>
                </c:pt>
                <c:pt idx="223">
                  <c:v>85.185782618070391</c:v>
                </c:pt>
                <c:pt idx="224">
                  <c:v>85.208778756694528</c:v>
                </c:pt>
                <c:pt idx="225">
                  <c:v>85.231607511898076</c:v>
                </c:pt>
                <c:pt idx="226">
                  <c:v>85.254270704570217</c:v>
                </c:pt>
                <c:pt idx="227">
                  <c:v>85.276770129284102</c:v>
                </c:pt>
                <c:pt idx="228">
                  <c:v>85.299107554770472</c:v>
                </c:pt>
                <c:pt idx="229">
                  <c:v>85.321284724381158</c:v>
                </c:pt>
              </c:numCache>
            </c:numRef>
          </c:yVal>
          <c:smooth val="1"/>
          <c:extLst>
            <c:ext xmlns:c16="http://schemas.microsoft.com/office/drawing/2014/chart" uri="{C3380CC4-5D6E-409C-BE32-E72D297353CC}">
              <c16:uniqueId val="{00000009-D254-4D4E-B290-50517E212225}"/>
            </c:ext>
          </c:extLst>
        </c:ser>
        <c:ser>
          <c:idx val="5"/>
          <c:order val="10"/>
          <c:tx>
            <c:v>EU LFL T5-HO</c:v>
          </c:tx>
          <c:spPr>
            <a:ln>
              <a:solidFill>
                <a:srgbClr val="5497D4"/>
              </a:solidFill>
              <a:prstDash val="dash"/>
            </a:ln>
            <a:effectLst/>
          </c:spPr>
          <c:marker>
            <c:symbol val="none"/>
          </c:marker>
          <c:xVal>
            <c:numRef>
              <c:f>'[Data-graficos 11 12 2017-v21.02.18.xlsx]Sheet1'!$Q$7:$Q$236</c:f>
              <c:numCache>
                <c:formatCode>General</c:formatCode>
                <c:ptCount val="23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pt idx="60">
                  <c:v>910</c:v>
                </c:pt>
                <c:pt idx="61">
                  <c:v>920</c:v>
                </c:pt>
                <c:pt idx="62">
                  <c:v>930</c:v>
                </c:pt>
                <c:pt idx="63">
                  <c:v>940</c:v>
                </c:pt>
                <c:pt idx="64">
                  <c:v>950</c:v>
                </c:pt>
                <c:pt idx="65">
                  <c:v>960</c:v>
                </c:pt>
                <c:pt idx="66">
                  <c:v>970</c:v>
                </c:pt>
                <c:pt idx="67">
                  <c:v>980</c:v>
                </c:pt>
                <c:pt idx="68">
                  <c:v>990</c:v>
                </c:pt>
                <c:pt idx="69">
                  <c:v>1000</c:v>
                </c:pt>
                <c:pt idx="70">
                  <c:v>1010</c:v>
                </c:pt>
                <c:pt idx="71">
                  <c:v>1020</c:v>
                </c:pt>
                <c:pt idx="72">
                  <c:v>1030</c:v>
                </c:pt>
                <c:pt idx="73">
                  <c:v>1040</c:v>
                </c:pt>
                <c:pt idx="74">
                  <c:v>1050</c:v>
                </c:pt>
                <c:pt idx="75">
                  <c:v>1060</c:v>
                </c:pt>
                <c:pt idx="76">
                  <c:v>1070</c:v>
                </c:pt>
                <c:pt idx="77">
                  <c:v>1080</c:v>
                </c:pt>
                <c:pt idx="78">
                  <c:v>1090</c:v>
                </c:pt>
                <c:pt idx="79">
                  <c:v>1100</c:v>
                </c:pt>
                <c:pt idx="80">
                  <c:v>1110</c:v>
                </c:pt>
                <c:pt idx="81">
                  <c:v>1120</c:v>
                </c:pt>
                <c:pt idx="82">
                  <c:v>1130</c:v>
                </c:pt>
                <c:pt idx="83">
                  <c:v>1140</c:v>
                </c:pt>
                <c:pt idx="84">
                  <c:v>1150</c:v>
                </c:pt>
                <c:pt idx="85">
                  <c:v>1160</c:v>
                </c:pt>
                <c:pt idx="86">
                  <c:v>1170</c:v>
                </c:pt>
                <c:pt idx="87">
                  <c:v>1180</c:v>
                </c:pt>
                <c:pt idx="88">
                  <c:v>1190</c:v>
                </c:pt>
                <c:pt idx="89">
                  <c:v>1200</c:v>
                </c:pt>
                <c:pt idx="90">
                  <c:v>1210</c:v>
                </c:pt>
                <c:pt idx="91">
                  <c:v>1220</c:v>
                </c:pt>
                <c:pt idx="92">
                  <c:v>1230</c:v>
                </c:pt>
                <c:pt idx="93">
                  <c:v>1240</c:v>
                </c:pt>
                <c:pt idx="94">
                  <c:v>1250</c:v>
                </c:pt>
                <c:pt idx="95">
                  <c:v>1260</c:v>
                </c:pt>
                <c:pt idx="96">
                  <c:v>1270</c:v>
                </c:pt>
                <c:pt idx="97">
                  <c:v>1280</c:v>
                </c:pt>
                <c:pt idx="98">
                  <c:v>1290</c:v>
                </c:pt>
                <c:pt idx="99">
                  <c:v>1300</c:v>
                </c:pt>
                <c:pt idx="100">
                  <c:v>1310</c:v>
                </c:pt>
                <c:pt idx="101">
                  <c:v>1320</c:v>
                </c:pt>
                <c:pt idx="102">
                  <c:v>1330</c:v>
                </c:pt>
                <c:pt idx="103">
                  <c:v>1340</c:v>
                </c:pt>
                <c:pt idx="104">
                  <c:v>1350</c:v>
                </c:pt>
                <c:pt idx="105">
                  <c:v>1360</c:v>
                </c:pt>
                <c:pt idx="106">
                  <c:v>1370</c:v>
                </c:pt>
                <c:pt idx="107">
                  <c:v>1380</c:v>
                </c:pt>
                <c:pt idx="108">
                  <c:v>1390</c:v>
                </c:pt>
                <c:pt idx="109">
                  <c:v>1400</c:v>
                </c:pt>
                <c:pt idx="110">
                  <c:v>1410</c:v>
                </c:pt>
                <c:pt idx="111">
                  <c:v>1420</c:v>
                </c:pt>
                <c:pt idx="112">
                  <c:v>1430</c:v>
                </c:pt>
                <c:pt idx="113">
                  <c:v>1440</c:v>
                </c:pt>
                <c:pt idx="114">
                  <c:v>1450</c:v>
                </c:pt>
                <c:pt idx="115">
                  <c:v>1460</c:v>
                </c:pt>
                <c:pt idx="116">
                  <c:v>1470</c:v>
                </c:pt>
                <c:pt idx="117">
                  <c:v>1480</c:v>
                </c:pt>
                <c:pt idx="118">
                  <c:v>1490</c:v>
                </c:pt>
                <c:pt idx="119">
                  <c:v>1500</c:v>
                </c:pt>
                <c:pt idx="120">
                  <c:v>1510</c:v>
                </c:pt>
                <c:pt idx="121">
                  <c:v>1520</c:v>
                </c:pt>
                <c:pt idx="122">
                  <c:v>1530</c:v>
                </c:pt>
                <c:pt idx="123">
                  <c:v>1540</c:v>
                </c:pt>
                <c:pt idx="124">
                  <c:v>1550</c:v>
                </c:pt>
                <c:pt idx="125">
                  <c:v>1560</c:v>
                </c:pt>
                <c:pt idx="126">
                  <c:v>1570</c:v>
                </c:pt>
                <c:pt idx="127">
                  <c:v>1580</c:v>
                </c:pt>
                <c:pt idx="128">
                  <c:v>1590</c:v>
                </c:pt>
                <c:pt idx="129">
                  <c:v>1600</c:v>
                </c:pt>
                <c:pt idx="130">
                  <c:v>1610</c:v>
                </c:pt>
                <c:pt idx="131">
                  <c:v>1620</c:v>
                </c:pt>
                <c:pt idx="132">
                  <c:v>1630</c:v>
                </c:pt>
                <c:pt idx="133">
                  <c:v>1640</c:v>
                </c:pt>
                <c:pt idx="134">
                  <c:v>1650</c:v>
                </c:pt>
                <c:pt idx="135">
                  <c:v>1660</c:v>
                </c:pt>
                <c:pt idx="136">
                  <c:v>1670</c:v>
                </c:pt>
                <c:pt idx="137">
                  <c:v>1680</c:v>
                </c:pt>
                <c:pt idx="138">
                  <c:v>1690</c:v>
                </c:pt>
                <c:pt idx="139">
                  <c:v>1700</c:v>
                </c:pt>
                <c:pt idx="140">
                  <c:v>1710</c:v>
                </c:pt>
                <c:pt idx="141">
                  <c:v>1720</c:v>
                </c:pt>
                <c:pt idx="142">
                  <c:v>1730</c:v>
                </c:pt>
                <c:pt idx="143">
                  <c:v>1740</c:v>
                </c:pt>
                <c:pt idx="144">
                  <c:v>1750</c:v>
                </c:pt>
                <c:pt idx="145">
                  <c:v>1760</c:v>
                </c:pt>
                <c:pt idx="146">
                  <c:v>1770</c:v>
                </c:pt>
                <c:pt idx="147">
                  <c:v>1780</c:v>
                </c:pt>
                <c:pt idx="148">
                  <c:v>1790</c:v>
                </c:pt>
                <c:pt idx="149">
                  <c:v>1800</c:v>
                </c:pt>
                <c:pt idx="150">
                  <c:v>1810</c:v>
                </c:pt>
                <c:pt idx="151">
                  <c:v>1820</c:v>
                </c:pt>
                <c:pt idx="152">
                  <c:v>1830</c:v>
                </c:pt>
                <c:pt idx="153">
                  <c:v>1840</c:v>
                </c:pt>
                <c:pt idx="154">
                  <c:v>1850</c:v>
                </c:pt>
                <c:pt idx="155">
                  <c:v>1860</c:v>
                </c:pt>
                <c:pt idx="156">
                  <c:v>1870</c:v>
                </c:pt>
                <c:pt idx="157">
                  <c:v>1880</c:v>
                </c:pt>
                <c:pt idx="158">
                  <c:v>1890</c:v>
                </c:pt>
                <c:pt idx="159">
                  <c:v>1900</c:v>
                </c:pt>
                <c:pt idx="160">
                  <c:v>1910</c:v>
                </c:pt>
                <c:pt idx="161">
                  <c:v>1920</c:v>
                </c:pt>
                <c:pt idx="162">
                  <c:v>1930</c:v>
                </c:pt>
                <c:pt idx="163">
                  <c:v>1940</c:v>
                </c:pt>
                <c:pt idx="164">
                  <c:v>1950</c:v>
                </c:pt>
                <c:pt idx="165">
                  <c:v>1960</c:v>
                </c:pt>
                <c:pt idx="166">
                  <c:v>1970</c:v>
                </c:pt>
                <c:pt idx="167">
                  <c:v>1980</c:v>
                </c:pt>
                <c:pt idx="168">
                  <c:v>1990</c:v>
                </c:pt>
                <c:pt idx="169">
                  <c:v>2000</c:v>
                </c:pt>
                <c:pt idx="170">
                  <c:v>2010</c:v>
                </c:pt>
                <c:pt idx="171">
                  <c:v>2020</c:v>
                </c:pt>
                <c:pt idx="172">
                  <c:v>2030</c:v>
                </c:pt>
                <c:pt idx="173">
                  <c:v>2040</c:v>
                </c:pt>
                <c:pt idx="174">
                  <c:v>2050</c:v>
                </c:pt>
                <c:pt idx="175">
                  <c:v>2060</c:v>
                </c:pt>
                <c:pt idx="176">
                  <c:v>2070</c:v>
                </c:pt>
                <c:pt idx="177">
                  <c:v>2080</c:v>
                </c:pt>
                <c:pt idx="178">
                  <c:v>2090</c:v>
                </c:pt>
                <c:pt idx="179">
                  <c:v>2100</c:v>
                </c:pt>
                <c:pt idx="180">
                  <c:v>2110</c:v>
                </c:pt>
                <c:pt idx="181">
                  <c:v>2120</c:v>
                </c:pt>
                <c:pt idx="182">
                  <c:v>2130</c:v>
                </c:pt>
                <c:pt idx="183">
                  <c:v>2140</c:v>
                </c:pt>
                <c:pt idx="184">
                  <c:v>2150</c:v>
                </c:pt>
                <c:pt idx="185">
                  <c:v>2160</c:v>
                </c:pt>
                <c:pt idx="186">
                  <c:v>2170</c:v>
                </c:pt>
                <c:pt idx="187">
                  <c:v>2180</c:v>
                </c:pt>
                <c:pt idx="188">
                  <c:v>2190</c:v>
                </c:pt>
                <c:pt idx="189">
                  <c:v>2200</c:v>
                </c:pt>
                <c:pt idx="190">
                  <c:v>2210</c:v>
                </c:pt>
                <c:pt idx="191">
                  <c:v>2220</c:v>
                </c:pt>
                <c:pt idx="192">
                  <c:v>2230</c:v>
                </c:pt>
                <c:pt idx="193">
                  <c:v>2240</c:v>
                </c:pt>
                <c:pt idx="194">
                  <c:v>2250</c:v>
                </c:pt>
                <c:pt idx="195">
                  <c:v>2260</c:v>
                </c:pt>
                <c:pt idx="196">
                  <c:v>2270</c:v>
                </c:pt>
                <c:pt idx="197">
                  <c:v>2280</c:v>
                </c:pt>
                <c:pt idx="198">
                  <c:v>2290</c:v>
                </c:pt>
                <c:pt idx="199">
                  <c:v>2300</c:v>
                </c:pt>
                <c:pt idx="200">
                  <c:v>2310</c:v>
                </c:pt>
                <c:pt idx="201">
                  <c:v>2320</c:v>
                </c:pt>
                <c:pt idx="202">
                  <c:v>2330</c:v>
                </c:pt>
                <c:pt idx="203">
                  <c:v>2340</c:v>
                </c:pt>
                <c:pt idx="204">
                  <c:v>2350</c:v>
                </c:pt>
                <c:pt idx="205">
                  <c:v>2360</c:v>
                </c:pt>
                <c:pt idx="206">
                  <c:v>2370</c:v>
                </c:pt>
                <c:pt idx="207">
                  <c:v>2380</c:v>
                </c:pt>
                <c:pt idx="208">
                  <c:v>2390</c:v>
                </c:pt>
                <c:pt idx="209">
                  <c:v>2400</c:v>
                </c:pt>
                <c:pt idx="210">
                  <c:v>2410</c:v>
                </c:pt>
                <c:pt idx="211">
                  <c:v>2420</c:v>
                </c:pt>
                <c:pt idx="212">
                  <c:v>2430</c:v>
                </c:pt>
                <c:pt idx="213">
                  <c:v>2440</c:v>
                </c:pt>
                <c:pt idx="214">
                  <c:v>2450</c:v>
                </c:pt>
                <c:pt idx="215">
                  <c:v>2460</c:v>
                </c:pt>
                <c:pt idx="216">
                  <c:v>2470</c:v>
                </c:pt>
                <c:pt idx="217">
                  <c:v>2480</c:v>
                </c:pt>
                <c:pt idx="218">
                  <c:v>2490</c:v>
                </c:pt>
                <c:pt idx="219">
                  <c:v>2500</c:v>
                </c:pt>
                <c:pt idx="220">
                  <c:v>2510</c:v>
                </c:pt>
                <c:pt idx="221">
                  <c:v>2520</c:v>
                </c:pt>
                <c:pt idx="222">
                  <c:v>2530</c:v>
                </c:pt>
                <c:pt idx="223">
                  <c:v>2540</c:v>
                </c:pt>
                <c:pt idx="224">
                  <c:v>2550</c:v>
                </c:pt>
                <c:pt idx="225">
                  <c:v>2560</c:v>
                </c:pt>
                <c:pt idx="226">
                  <c:v>2570</c:v>
                </c:pt>
                <c:pt idx="227">
                  <c:v>2580</c:v>
                </c:pt>
                <c:pt idx="228">
                  <c:v>2590</c:v>
                </c:pt>
                <c:pt idx="229">
                  <c:v>2600</c:v>
                </c:pt>
              </c:numCache>
            </c:numRef>
          </c:xVal>
          <c:yVal>
            <c:numRef>
              <c:f>'[Data-graficos 11 12 2017-v21.02.18.xlsx]Sheet1'!$S$7:$S$236</c:f>
              <c:numCache>
                <c:formatCode>0.0</c:formatCode>
                <c:ptCount val="230"/>
                <c:pt idx="0">
                  <c:v>50.93879425716073</c:v>
                </c:pt>
                <c:pt idx="1">
                  <c:v>51.48124888547747</c:v>
                </c:pt>
                <c:pt idx="2">
                  <c:v>52.001458091267395</c:v>
                </c:pt>
                <c:pt idx="3">
                  <c:v>52.500762767992022</c:v>
                </c:pt>
                <c:pt idx="4">
                  <c:v>52.98039816456204</c:v>
                </c:pt>
                <c:pt idx="5">
                  <c:v>53.441504088597007</c:v>
                </c:pt>
                <c:pt idx="6">
                  <c:v>53.885133949564491</c:v>
                </c:pt>
                <c:pt idx="7">
                  <c:v>54.312262792828157</c:v>
                </c:pt>
                <c:pt idx="8">
                  <c:v>54.723794453573525</c:v>
                </c:pt>
                <c:pt idx="9">
                  <c:v>55.120567941080758</c:v>
                </c:pt>
                <c:pt idx="10">
                  <c:v>55.503363148246009</c:v>
                </c:pt>
                <c:pt idx="11">
                  <c:v>55.872905968111098</c:v>
                </c:pt>
                <c:pt idx="12">
                  <c:v>56.229872888031814</c:v>
                </c:pt>
                <c:pt idx="13">
                  <c:v>56.574895122661552</c:v>
                </c:pt>
                <c:pt idx="14">
                  <c:v>56.908562338873345</c:v>
                </c:pt>
                <c:pt idx="15">
                  <c:v>57.231426018863282</c:v>
                </c:pt>
                <c:pt idx="16">
                  <c:v>57.544002501784881</c:v>
                </c:pt>
                <c:pt idx="17">
                  <c:v>57.84677573920164</c:v>
                </c:pt>
                <c:pt idx="18">
                  <c:v>58.140199795287032</c:v>
                </c:pt>
                <c:pt idx="19">
                  <c:v>58.424701118938607</c:v>
                </c:pt>
                <c:pt idx="20">
                  <c:v>58.700680611718496</c:v>
                </c:pt>
                <c:pt idx="21">
                  <c:v>58.968515512709104</c:v>
                </c:pt>
                <c:pt idx="22">
                  <c:v>59.22856111892029</c:v>
                </c:pt>
                <c:pt idx="23">
                  <c:v>59.481152357746879</c:v>
                </c:pt>
                <c:pt idx="24">
                  <c:v>59.726605226110671</c:v>
                </c:pt>
                <c:pt idx="25">
                  <c:v>59.965218109289445</c:v>
                </c:pt>
                <c:pt idx="26">
                  <c:v>60.197272991006663</c:v>
                </c:pt>
                <c:pt idx="27">
                  <c:v>60.423036565099729</c:v>
                </c:pt>
                <c:pt idx="28">
                  <c:v>60.64276125798127</c:v>
                </c:pt>
                <c:pt idx="29">
                  <c:v>60.856686170134758</c:v>
                </c:pt>
                <c:pt idx="30">
                  <c:v>61.065037944027132</c:v>
                </c:pt>
                <c:pt idx="31">
                  <c:v>61.268031565061271</c:v>
                </c:pt>
                <c:pt idx="32">
                  <c:v>61.465871101519184</c:v>
                </c:pt>
                <c:pt idx="33">
                  <c:v>61.65875038884942</c:v>
                </c:pt>
                <c:pt idx="34">
                  <c:v>61.846853663122083</c:v>
                </c:pt>
                <c:pt idx="35">
                  <c:v>62.0303561480032</c:v>
                </c:pt>
                <c:pt idx="36">
                  <c:v>62.209424599179343</c:v>
                </c:pt>
                <c:pt idx="37">
                  <c:v>62.38421780978782</c:v>
                </c:pt>
                <c:pt idx="38">
                  <c:v>62.554887080072866</c:v>
                </c:pt>
                <c:pt idx="39">
                  <c:v>62.721576654187118</c:v>
                </c:pt>
                <c:pt idx="40">
                  <c:v>62.884424126789</c:v>
                </c:pt>
                <c:pt idx="41">
                  <c:v>63.04356082184497</c:v>
                </c:pt>
                <c:pt idx="42">
                  <c:v>63.19911214582838</c:v>
                </c:pt>
                <c:pt idx="43">
                  <c:v>63.351197917311303</c:v>
                </c:pt>
                <c:pt idx="44">
                  <c:v>63.499932674770164</c:v>
                </c:pt>
                <c:pt idx="45">
                  <c:v>63.645425964266536</c:v>
                </c:pt>
                <c:pt idx="46">
                  <c:v>63.787782608522072</c:v>
                </c:pt>
                <c:pt idx="47">
                  <c:v>63.927102958776196</c:v>
                </c:pt>
                <c:pt idx="48">
                  <c:v>64.063483130698486</c:v>
                </c:pt>
                <c:pt idx="49">
                  <c:v>64.197015225521</c:v>
                </c:pt>
                <c:pt idx="50">
                  <c:v>64.32778753745994</c:v>
                </c:pt>
                <c:pt idx="51">
                  <c:v>64.45588474840801</c:v>
                </c:pt>
                <c:pt idx="52">
                  <c:v>64.581388110799864</c:v>
                </c:pt>
                <c:pt idx="53">
                  <c:v>64.704375619480359</c:v>
                </c:pt>
                <c:pt idx="54">
                  <c:v>64.82492217333936</c:v>
                </c:pt>
                <c:pt idx="55">
                  <c:v>64.943099727417305</c:v>
                </c:pt>
                <c:pt idx="56">
                  <c:v>65.058977436130291</c:v>
                </c:pt>
                <c:pt idx="57">
                  <c:v>65.172621788213959</c:v>
                </c:pt>
                <c:pt idx="58">
                  <c:v>65.284096733939236</c:v>
                </c:pt>
                <c:pt idx="59">
                  <c:v>65.393463805111708</c:v>
                </c:pt>
                <c:pt idx="60">
                  <c:v>65.500782228327424</c:v>
                </c:pt>
                <c:pt idx="61">
                  <c:v>65.606109031923253</c:v>
                </c:pt>
                <c:pt idx="62">
                  <c:v>65.70949914702787</c:v>
                </c:pt>
                <c:pt idx="63">
                  <c:v>65.81100550308895</c:v>
                </c:pt>
                <c:pt idx="64">
                  <c:v>65.910679118226284</c:v>
                </c:pt>
                <c:pt idx="65">
                  <c:v>66.008569184734512</c:v>
                </c:pt>
                <c:pt idx="66">
                  <c:v>66.104723150036619</c:v>
                </c:pt>
                <c:pt idx="67">
                  <c:v>66.199186793368028</c:v>
                </c:pt>
                <c:pt idx="68">
                  <c:v>66.292004298451971</c:v>
                </c:pt>
                <c:pt idx="69">
                  <c:v>66.383218322408084</c:v>
                </c:pt>
                <c:pt idx="70">
                  <c:v>66.47287006112046</c:v>
                </c:pt>
                <c:pt idx="71">
                  <c:v>66.560999311275268</c:v>
                </c:pt>
                <c:pt idx="72">
                  <c:v>66.647644529264468</c:v>
                </c:pt>
                <c:pt idx="73">
                  <c:v>66.732842887138617</c:v>
                </c:pt>
                <c:pt idx="74">
                  <c:v>66.81663032577994</c:v>
                </c:pt>
                <c:pt idx="75">
                  <c:v>66.899041605455324</c:v>
                </c:pt>
                <c:pt idx="76">
                  <c:v>66.980110353898723</c:v>
                </c:pt>
                <c:pt idx="77">
                  <c:v>67.059869112062685</c:v>
                </c:pt>
                <c:pt idx="78">
                  <c:v>67.138349377669712</c:v>
                </c:pt>
                <c:pt idx="79">
                  <c:v>67.215581646686047</c:v>
                </c:pt>
                <c:pt idx="80">
                  <c:v>67.29159545283234</c:v>
                </c:pt>
                <c:pt idx="81">
                  <c:v>67.366419405239157</c:v>
                </c:pt>
                <c:pt idx="82">
                  <c:v>67.440081224347736</c:v>
                </c:pt>
                <c:pt idx="83">
                  <c:v>67.512607776150972</c:v>
                </c:pt>
                <c:pt idx="84">
                  <c:v>67.584025104863215</c:v>
                </c:pt>
                <c:pt idx="85">
                  <c:v>67.654358464102714</c:v>
                </c:pt>
                <c:pt idx="86">
                  <c:v>67.723632346664658</c:v>
                </c:pt>
                <c:pt idx="87">
                  <c:v>67.791870512958951</c:v>
                </c:pt>
                <c:pt idx="88">
                  <c:v>67.859096018181859</c:v>
                </c:pt>
                <c:pt idx="89">
                  <c:v>67.925331238286958</c:v>
                </c:pt>
                <c:pt idx="90">
                  <c:v>67.990597894816659</c:v>
                </c:pt>
                <c:pt idx="91">
                  <c:v>68.054917078652295</c:v>
                </c:pt>
                <c:pt idx="92">
                  <c:v>68.118309272737477</c:v>
                </c:pt>
                <c:pt idx="93">
                  <c:v>68.180794373825776</c:v>
                </c:pt>
                <c:pt idx="94">
                  <c:v>68.2423917133017</c:v>
                </c:pt>
                <c:pt idx="95">
                  <c:v>68.303120077120212</c:v>
                </c:pt>
                <c:pt idx="96">
                  <c:v>68.362997724908482</c:v>
                </c:pt>
                <c:pt idx="97">
                  <c:v>68.422042408270414</c:v>
                </c:pt>
                <c:pt idx="98">
                  <c:v>68.48027138833244</c:v>
                </c:pt>
                <c:pt idx="99">
                  <c:v>68.537701452567333</c:v>
                </c:pt>
                <c:pt idx="100">
                  <c:v>68.594348930929968</c:v>
                </c:pt>
                <c:pt idx="101">
                  <c:v>68.650229711338184</c:v>
                </c:pt>
                <c:pt idx="102">
                  <c:v>68.705359254529114</c:v>
                </c:pt>
                <c:pt idx="103">
                  <c:v>68.759752608320426</c:v>
                </c:pt>
                <c:pt idx="104">
                  <c:v>68.813424421303978</c:v>
                </c:pt>
                <c:pt idx="105">
                  <c:v>68.866388955998232</c:v>
                </c:pt>
                <c:pt idx="106">
                  <c:v>68.918660101483951</c:v>
                </c:pt>
                <c:pt idx="107">
                  <c:v>68.970251385546959</c:v>
                </c:pt>
                <c:pt idx="108">
                  <c:v>69.02117598635013</c:v>
                </c:pt>
                <c:pt idx="109">
                  <c:v>69.07144674365577</c:v>
                </c:pt>
                <c:pt idx="110">
                  <c:v>69.121076169618604</c:v>
                </c:pt>
                <c:pt idx="111">
                  <c:v>69.170076459168172</c:v>
                </c:pt>
                <c:pt idx="112">
                  <c:v>69.218459499998829</c:v>
                </c:pt>
                <c:pt idx="113">
                  <c:v>69.266236882184813</c:v>
                </c:pt>
                <c:pt idx="114">
                  <c:v>69.313419907436199</c:v>
                </c:pt>
                <c:pt idx="115">
                  <c:v>69.360019598011817</c:v>
                </c:pt>
                <c:pt idx="116">
                  <c:v>69.406046705303325</c:v>
                </c:pt>
                <c:pt idx="117">
                  <c:v>69.45151171810511</c:v>
                </c:pt>
                <c:pt idx="118">
                  <c:v>69.496424870582786</c:v>
                </c:pt>
                <c:pt idx="119">
                  <c:v>69.540796149953408</c:v>
                </c:pt>
                <c:pt idx="120">
                  <c:v>69.584635303889371</c:v>
                </c:pt>
                <c:pt idx="121">
                  <c:v>69.6279518476574</c:v>
                </c:pt>
                <c:pt idx="122">
                  <c:v>69.670755071003938</c:v>
                </c:pt>
                <c:pt idx="123">
                  <c:v>69.713054044796991</c:v>
                </c:pt>
                <c:pt idx="124">
                  <c:v>69.754857627434774</c:v>
                </c:pt>
                <c:pt idx="125">
                  <c:v>69.796174471030383</c:v>
                </c:pt>
                <c:pt idx="126">
                  <c:v>69.83701302738173</c:v>
                </c:pt>
                <c:pt idx="127">
                  <c:v>69.877381553735361</c:v>
                </c:pt>
                <c:pt idx="128">
                  <c:v>69.917288118352374</c:v>
                </c:pt>
                <c:pt idx="129">
                  <c:v>69.956740605884363</c:v>
                </c:pt>
                <c:pt idx="130">
                  <c:v>69.995746722566878</c:v>
                </c:pt>
                <c:pt idx="131">
                  <c:v>70.034314001237547</c:v>
                </c:pt>
                <c:pt idx="132">
                  <c:v>70.072449806185901</c:v>
                </c:pt>
                <c:pt idx="133">
                  <c:v>70.110161337841149</c:v>
                </c:pt>
                <c:pt idx="134">
                  <c:v>70.147455637304617</c:v>
                </c:pt>
                <c:pt idx="135">
                  <c:v>70.184339590732279</c:v>
                </c:pt>
                <c:pt idx="136">
                  <c:v>70.220819933573665</c:v>
                </c:pt>
                <c:pt idx="137">
                  <c:v>70.25690325467221</c:v>
                </c:pt>
                <c:pt idx="138">
                  <c:v>70.292596000232521</c:v>
                </c:pt>
                <c:pt idx="139">
                  <c:v>70.327904477659558</c:v>
                </c:pt>
                <c:pt idx="140">
                  <c:v>70.362834859274329</c:v>
                </c:pt>
                <c:pt idx="141">
                  <c:v>70.397393185911056</c:v>
                </c:pt>
                <c:pt idx="142">
                  <c:v>70.431585370399802</c:v>
                </c:pt>
                <c:pt idx="143">
                  <c:v>70.465417200939143</c:v>
                </c:pt>
                <c:pt idx="144">
                  <c:v>70.498894344362711</c:v>
                </c:pt>
                <c:pt idx="145">
                  <c:v>70.532022349303475</c:v>
                </c:pt>
                <c:pt idx="146">
                  <c:v>70.564806649259623</c:v>
                </c:pt>
                <c:pt idx="147">
                  <c:v>70.597252565565512</c:v>
                </c:pt>
                <c:pt idx="148">
                  <c:v>70.629365310270984</c:v>
                </c:pt>
                <c:pt idx="149">
                  <c:v>70.661149988932593</c:v>
                </c:pt>
                <c:pt idx="150">
                  <c:v>70.692611603319534</c:v>
                </c:pt>
                <c:pt idx="151">
                  <c:v>70.72375505403771</c:v>
                </c:pt>
                <c:pt idx="152">
                  <c:v>70.754585143074351</c:v>
                </c:pt>
                <c:pt idx="153">
                  <c:v>70.785106576266415</c:v>
                </c:pt>
                <c:pt idx="154">
                  <c:v>70.815323965695029</c:v>
                </c:pt>
                <c:pt idx="155">
                  <c:v>70.845241832008938</c:v>
                </c:pt>
                <c:pt idx="156">
                  <c:v>70.874864606678983</c:v>
                </c:pt>
                <c:pt idx="157">
                  <c:v>70.904196634186334</c:v>
                </c:pt>
                <c:pt idx="158">
                  <c:v>70.933242174146599</c:v>
                </c:pt>
                <c:pt idx="159">
                  <c:v>70.962005403371975</c:v>
                </c:pt>
                <c:pt idx="160">
                  <c:v>70.990490417873502</c:v>
                </c:pt>
                <c:pt idx="161">
                  <c:v>71.018701234805576</c:v>
                </c:pt>
                <c:pt idx="162">
                  <c:v>71.046641794354585</c:v>
                </c:pt>
                <c:pt idx="163">
                  <c:v>71.074315961573433</c:v>
                </c:pt>
                <c:pt idx="164">
                  <c:v>71.10172752816392</c:v>
                </c:pt>
                <c:pt idx="165">
                  <c:v>71.128880214208635</c:v>
                </c:pt>
                <c:pt idx="166">
                  <c:v>71.155777669853904</c:v>
                </c:pt>
                <c:pt idx="167">
                  <c:v>71.18242347694563</c:v>
                </c:pt>
                <c:pt idx="168">
                  <c:v>71.208821150619357</c:v>
                </c:pt>
                <c:pt idx="169">
                  <c:v>71.234974140846134</c:v>
                </c:pt>
                <c:pt idx="170">
                  <c:v>71.260885833935603</c:v>
                </c:pt>
                <c:pt idx="171">
                  <c:v>71.286559553997677</c:v>
                </c:pt>
                <c:pt idx="172">
                  <c:v>71.31199856436406</c:v>
                </c:pt>
                <c:pt idx="173">
                  <c:v>71.337206068971099</c:v>
                </c:pt>
                <c:pt idx="174">
                  <c:v>71.36218521370489</c:v>
                </c:pt>
                <c:pt idx="175">
                  <c:v>71.386939087710161</c:v>
                </c:pt>
                <c:pt idx="176">
                  <c:v>71.411470724663701</c:v>
                </c:pt>
                <c:pt idx="177">
                  <c:v>71.435783104013879</c:v>
                </c:pt>
                <c:pt idx="178">
                  <c:v>71.459879152186843</c:v>
                </c:pt>
                <c:pt idx="179">
                  <c:v>71.483761743760866</c:v>
                </c:pt>
                <c:pt idx="180">
                  <c:v>71.507433702609433</c:v>
                </c:pt>
                <c:pt idx="181">
                  <c:v>71.530897803014398</c:v>
                </c:pt>
                <c:pt idx="182">
                  <c:v>71.554156770749856</c:v>
                </c:pt>
                <c:pt idx="183">
                  <c:v>71.577213284137599</c:v>
                </c:pt>
                <c:pt idx="184">
                  <c:v>71.600069975075399</c:v>
                </c:pt>
                <c:pt idx="185">
                  <c:v>71.622729430038405</c:v>
                </c:pt>
                <c:pt idx="186">
                  <c:v>71.645194191054912</c:v>
                </c:pt>
                <c:pt idx="187">
                  <c:v>71.667466756656992</c:v>
                </c:pt>
                <c:pt idx="188">
                  <c:v>71.689549582806805</c:v>
                </c:pt>
                <c:pt idx="189">
                  <c:v>71.711445083799489</c:v>
                </c:pt>
                <c:pt idx="190">
                  <c:v>71.733155633142957</c:v>
                </c:pt>
                <c:pt idx="191">
                  <c:v>71.754683564415657</c:v>
                </c:pt>
                <c:pt idx="192">
                  <c:v>71.776031172102705</c:v>
                </c:pt>
                <c:pt idx="193">
                  <c:v>71.797200712411112</c:v>
                </c:pt>
                <c:pt idx="194">
                  <c:v>71.818194404064741</c:v>
                </c:pt>
                <c:pt idx="195">
                  <c:v>71.839014429079356</c:v>
                </c:pt>
                <c:pt idx="196">
                  <c:v>71.859662933518848</c:v>
                </c:pt>
                <c:pt idx="197">
                  <c:v>71.880142028232441</c:v>
                </c:pt>
                <c:pt idx="198">
                  <c:v>71.900453789574186</c:v>
                </c:pt>
                <c:pt idx="199">
                  <c:v>71.920600260104663</c:v>
                </c:pt>
                <c:pt idx="200">
                  <c:v>71.940583449275749</c:v>
                </c:pt>
                <c:pt idx="201">
                  <c:v>71.960405334098681</c:v>
                </c:pt>
                <c:pt idx="202">
                  <c:v>71.980067859796108</c:v>
                </c:pt>
                <c:pt idx="203">
                  <c:v>71.99957294043854</c:v>
                </c:pt>
                <c:pt idx="204">
                  <c:v>72.018922459565275</c:v>
                </c:pt>
                <c:pt idx="205">
                  <c:v>72.038118270790946</c:v>
                </c:pt>
                <c:pt idx="206">
                  <c:v>72.057162198397307</c:v>
                </c:pt>
                <c:pt idx="207">
                  <c:v>72.076056037911258</c:v>
                </c:pt>
                <c:pt idx="208">
                  <c:v>72.094801556669111</c:v>
                </c:pt>
                <c:pt idx="209">
                  <c:v>72.113400494367767</c:v>
                </c:pt>
                <c:pt idx="210">
                  <c:v>72.131854563602829</c:v>
                </c:pt>
                <c:pt idx="211">
                  <c:v>72.15016545039434</c:v>
                </c:pt>
                <c:pt idx="212">
                  <c:v>72.168334814700316</c:v>
                </c:pt>
                <c:pt idx="213">
                  <c:v>72.18636429091832</c:v>
                </c:pt>
                <c:pt idx="214">
                  <c:v>72.204255488375594</c:v>
                </c:pt>
                <c:pt idx="215">
                  <c:v>72.222009991807894</c:v>
                </c:pt>
                <c:pt idx="216">
                  <c:v>72.239629361827468</c:v>
                </c:pt>
                <c:pt idx="217">
                  <c:v>72.257115135380303</c:v>
                </c:pt>
                <c:pt idx="218">
                  <c:v>72.274468826192972</c:v>
                </c:pt>
                <c:pt idx="219">
                  <c:v>72.291691925209619</c:v>
                </c:pt>
                <c:pt idx="220">
                  <c:v>72.308785901018894</c:v>
                </c:pt>
                <c:pt idx="221">
                  <c:v>72.325752200271381</c:v>
                </c:pt>
                <c:pt idx="222">
                  <c:v>72.342592248087655</c:v>
                </c:pt>
                <c:pt idx="223">
                  <c:v>72.359307448457457</c:v>
                </c:pt>
                <c:pt idx="224">
                  <c:v>72.37589918462983</c:v>
                </c:pt>
                <c:pt idx="225">
                  <c:v>72.392368819494706</c:v>
                </c:pt>
                <c:pt idx="226">
                  <c:v>72.408717695956014</c:v>
                </c:pt>
                <c:pt idx="227">
                  <c:v>72.424947137296911</c:v>
                </c:pt>
                <c:pt idx="228">
                  <c:v>72.441058447536591</c:v>
                </c:pt>
                <c:pt idx="229">
                  <c:v>72.45705291177967</c:v>
                </c:pt>
              </c:numCache>
            </c:numRef>
          </c:yVal>
          <c:smooth val="1"/>
          <c:extLst>
            <c:ext xmlns:c16="http://schemas.microsoft.com/office/drawing/2014/chart" uri="{C3380CC4-5D6E-409C-BE32-E72D297353CC}">
              <c16:uniqueId val="{0000000A-D254-4D4E-B290-50517E212225}"/>
            </c:ext>
          </c:extLst>
        </c:ser>
        <c:dLbls>
          <c:showLegendKey val="0"/>
          <c:showVal val="0"/>
          <c:showCatName val="0"/>
          <c:showSerName val="0"/>
          <c:showPercent val="0"/>
          <c:showBubbleSize val="0"/>
        </c:dLbls>
        <c:axId val="56675712"/>
        <c:axId val="56676288"/>
      </c:scatterChart>
      <c:valAx>
        <c:axId val="56675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76288"/>
        <c:crosses val="autoZero"/>
        <c:crossBetween val="midCat"/>
      </c:valAx>
      <c:valAx>
        <c:axId val="56676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lm/W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75712"/>
        <c:crosses val="autoZero"/>
        <c:crossBetween val="midCat"/>
      </c:valAx>
      <c:spPr>
        <a:noFill/>
        <a:ln>
          <a:noFill/>
        </a:ln>
        <a:effectLst/>
      </c:spPr>
    </c:plotArea>
    <c:legend>
      <c:legendPos val="r"/>
      <c:layout>
        <c:manualLayout>
          <c:xMode val="edge"/>
          <c:yMode val="edge"/>
          <c:x val="0.67171716246737245"/>
          <c:y val="0.1492194184388369"/>
          <c:w val="0.28475287374425923"/>
          <c:h val="0.85078058156116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DABCD-822A-4ABB-AE3F-F46F1F217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MRC 2016 - Report Template v1.dotx</Template>
  <TotalTime>1</TotalTime>
  <Pages>67</Pages>
  <Words>30510</Words>
  <Characters>173912</Characters>
  <Application>Microsoft Office Word</Application>
  <DocSecurity>0</DocSecurity>
  <Lines>1449</Lines>
  <Paragraphs>408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Análisis de la generación distribuida para autoconsumo</vt:lpstr>
      <vt:lpstr>Análisis de la generación distribuida para autoconsumo</vt:lpstr>
    </vt:vector>
  </TitlesOfParts>
  <Company/>
  <LinksUpToDate>false</LinksUpToDate>
  <CharactersWithSpaces>204014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la generación distribuida para autoconsumo</dc:title>
  <dc:subject>Informe Técnico: Costa Rica</dc:subject>
  <dc:creator>Chema</dc:creator>
  <cp:keywords/>
  <dc:description/>
  <cp:lastModifiedBy>Daniel Alvaro Diez</cp:lastModifiedBy>
  <cp:revision>2</cp:revision>
  <cp:lastPrinted>2018-11-15T18:39:00Z</cp:lastPrinted>
  <dcterms:created xsi:type="dcterms:W3CDTF">2018-12-12T15:46:00Z</dcterms:created>
  <dcterms:modified xsi:type="dcterms:W3CDTF">2018-12-12T15:46:00Z</dcterms:modified>
</cp:coreProperties>
</file>